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2" w:rsidRPr="002C75B8" w:rsidRDefault="002F2312" w:rsidP="002F2312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r>
        <w:rPr>
          <w:b/>
          <w:sz w:val="22"/>
          <w:u w:val="single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u w:val="single"/>
              <w:lang w:val="en-US"/>
            </w:rPr>
            <w:t xml:space="preserve">FORMER YUGOSLAV REPUBLIC OF </w:t>
          </w:r>
          <w:r w:rsidRPr="002C75B8">
            <w:rPr>
              <w:b/>
              <w:sz w:val="22"/>
              <w:u w:val="single"/>
              <w:lang w:val="en-US"/>
            </w:rPr>
            <w:t>MACEDONIA</w:t>
          </w:r>
        </w:smartTag>
      </w:smartTag>
    </w:p>
    <w:p w:rsidR="002F2312" w:rsidRPr="002C75B8" w:rsidRDefault="002F2312" w:rsidP="002F2312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628900" cy="17614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12" w:rsidRPr="002C75B8" w:rsidRDefault="002F2312" w:rsidP="002F2312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2,06</w:t>
      </w:r>
      <w:r>
        <w:rPr>
          <w:bCs/>
          <w:sz w:val="22"/>
          <w:lang w:val="en-US"/>
        </w:rPr>
        <w:t>0,563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1</w:t>
      </w:r>
      <w:r>
        <w:rPr>
          <w:bCs/>
          <w:sz w:val="22"/>
          <w:lang w:val="en-US"/>
        </w:rPr>
        <w:t>8</w:t>
      </w:r>
      <w:r w:rsidRPr="002C75B8">
        <w:rPr>
          <w:bCs/>
          <w:sz w:val="22"/>
          <w:lang w:val="en-US"/>
        </w:rPr>
        <w:t>%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3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>%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</w:t>
      </w:r>
      <w:r>
        <w:rPr>
          <w:bCs/>
          <w:sz w:val="22"/>
          <w:lang w:val="en-US"/>
        </w:rPr>
        <w:t>0.3</w:t>
      </w:r>
      <w:r w:rsidRPr="002C75B8">
        <w:rPr>
          <w:bCs/>
          <w:sz w:val="22"/>
          <w:lang w:val="en-US"/>
        </w:rPr>
        <w:t>%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19</w:t>
      </w:r>
      <w:r w:rsidRPr="002C75B8">
        <w:rPr>
          <w:bCs/>
          <w:sz w:val="22"/>
          <w:lang w:val="en-US"/>
        </w:rPr>
        <w:t>%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</w:t>
      </w:r>
      <w:r>
        <w:rPr>
          <w:bCs/>
          <w:sz w:val="22"/>
          <w:lang w:val="en-US"/>
        </w:rPr>
        <w:t>U</w:t>
      </w:r>
      <w:r w:rsidRPr="002C75B8">
        <w:rPr>
          <w:bCs/>
          <w:sz w:val="22"/>
          <w:lang w:val="en-US"/>
        </w:rPr>
        <w:t>pper middle income</w:t>
      </w:r>
      <w:r>
        <w:rPr>
          <w:bCs/>
          <w:sz w:val="22"/>
          <w:lang w:val="en-US"/>
        </w:rPr>
        <w:t xml:space="preserve"> economy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 High human development (ranking 7</w:t>
      </w:r>
      <w:r>
        <w:rPr>
          <w:bCs/>
          <w:sz w:val="22"/>
          <w:lang w:val="en-US"/>
        </w:rPr>
        <w:t>8</w:t>
      </w:r>
      <w:r w:rsidRPr="002C75B8">
        <w:rPr>
          <w:bCs/>
          <w:sz w:val="22"/>
          <w:lang w:val="en-US"/>
        </w:rPr>
        <w:t>)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314</w:t>
      </w:r>
    </w:p>
    <w:p w:rsidR="002F2312" w:rsidRDefault="002F2312" w:rsidP="002F2312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74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  <w:r>
        <w:rPr>
          <w:bCs/>
          <w:sz w:val="22"/>
          <w:lang w:val="en-US"/>
        </w:rPr>
        <w:t>Healthy life expectancy at birth (years): 63</w:t>
      </w: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</w:p>
    <w:p w:rsidR="002F2312" w:rsidRPr="002C75B8" w:rsidRDefault="002F2312" w:rsidP="002F2312">
      <w:pPr>
        <w:ind w:left="0" w:firstLine="0"/>
        <w:rPr>
          <w:bCs/>
          <w:sz w:val="22"/>
          <w:lang w:val="en-US"/>
        </w:rPr>
      </w:pPr>
    </w:p>
    <w:p w:rsidR="002F2312" w:rsidRPr="002C75B8" w:rsidRDefault="002F2312" w:rsidP="002F2312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US"/>
            </w:rPr>
            <w:t xml:space="preserve">Former Yugoslav Republic of </w:t>
          </w:r>
          <w:r w:rsidRPr="002C75B8">
            <w:rPr>
              <w:sz w:val="22"/>
              <w:lang w:val="en-US"/>
            </w:rPr>
            <w:t>Macedonia</w:t>
          </w:r>
        </w:smartTag>
      </w:smartTag>
      <w:r w:rsidRPr="002C75B8">
        <w:rPr>
          <w:sz w:val="22"/>
          <w:lang w:val="en-US"/>
        </w:rPr>
        <w:t xml:space="preserve"> is endemic for VL. Between 1924 and 1948, nearly all cases were seen in children and infants. </w:t>
      </w:r>
      <w:r>
        <w:rPr>
          <w:sz w:val="22"/>
          <w:lang w:val="en-US"/>
        </w:rPr>
        <w:t>This pattern changed over time: b</w:t>
      </w:r>
      <w:r w:rsidRPr="002C75B8">
        <w:rPr>
          <w:sz w:val="22"/>
          <w:lang w:val="en-US"/>
        </w:rPr>
        <w:t>etween 1996 and 2009, 85 cases were diagnosed, with 50% coming from the central part of the country</w:t>
      </w:r>
      <w:r>
        <w:rPr>
          <w:sz w:val="22"/>
          <w:lang w:val="en-US"/>
        </w:rPr>
        <w:t>;</w:t>
      </w:r>
      <w:r w:rsidRPr="002C75B8">
        <w:rPr>
          <w:sz w:val="22"/>
          <w:lang w:val="en-US"/>
        </w:rPr>
        <w:t xml:space="preserve"> 85% of these cases were males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52% of these cases were between 20 and 40 years</w:t>
      </w:r>
      <w:r>
        <w:rPr>
          <w:sz w:val="22"/>
          <w:lang w:val="en-US"/>
        </w:rPr>
        <w:t xml:space="preserve"> old</w:t>
      </w:r>
      <w:r w:rsidRPr="002C75B8">
        <w:rPr>
          <w:sz w:val="22"/>
          <w:lang w:val="en-US"/>
        </w:rPr>
        <w:t>, and none of the</w:t>
      </w:r>
      <w:r>
        <w:rPr>
          <w:sz w:val="22"/>
          <w:lang w:val="en-US"/>
        </w:rPr>
        <w:t>m</w:t>
      </w:r>
      <w:r w:rsidRPr="002C75B8">
        <w:rPr>
          <w:sz w:val="22"/>
          <w:lang w:val="en-US"/>
        </w:rPr>
        <w:t xml:space="preserve"> occurred in children. In a survey</w:t>
      </w:r>
      <w:r>
        <w:rPr>
          <w:sz w:val="22"/>
          <w:lang w:val="en-US"/>
        </w:rPr>
        <w:t xml:space="preserve"> held</w:t>
      </w:r>
      <w:r w:rsidRPr="002C75B8">
        <w:rPr>
          <w:sz w:val="22"/>
          <w:lang w:val="en-US"/>
        </w:rPr>
        <w:t xml:space="preserve"> in 2005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13% of dogs were found to be infected.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is not prevalent in the country.  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There are no cases of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 xml:space="preserve">infection. </w:t>
      </w: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Default="002F2312" w:rsidP="002F2312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2F2312" w:rsidRDefault="002F2312" w:rsidP="002F2312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630"/>
        <w:gridCol w:w="2103"/>
        <w:gridCol w:w="2161"/>
      </w:tblGrid>
      <w:tr w:rsidR="002F2312" w:rsidRPr="002C75B8" w:rsidTr="00A7768B">
        <w:tc>
          <w:tcPr>
            <w:tcW w:w="2628" w:type="dxa"/>
            <w:vAlign w:val="center"/>
          </w:tcPr>
          <w:p w:rsidR="002F2312" w:rsidRPr="007574ED" w:rsidRDefault="002F2312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r w:rsidRPr="007574ED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7574ED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630" w:type="dxa"/>
            <w:vAlign w:val="center"/>
          </w:tcPr>
          <w:p w:rsidR="002F2312" w:rsidRPr="007574ED" w:rsidRDefault="002F2312" w:rsidP="00A7768B">
            <w:pPr>
              <w:ind w:left="0" w:firstLine="0"/>
              <w:jc w:val="left"/>
              <w:rPr>
                <w:b/>
                <w:bCs/>
                <w:sz w:val="22"/>
              </w:rPr>
            </w:pPr>
          </w:p>
          <w:p w:rsidR="002F2312" w:rsidRPr="007574ED" w:rsidRDefault="002F2312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proofErr w:type="spellStart"/>
            <w:r w:rsidRPr="007574ED">
              <w:rPr>
                <w:b/>
                <w:bCs/>
                <w:sz w:val="22"/>
              </w:rPr>
              <w:t>Clinical</w:t>
            </w:r>
            <w:proofErr w:type="spellEnd"/>
            <w:r w:rsidRPr="007574ED">
              <w:rPr>
                <w:b/>
                <w:bCs/>
                <w:sz w:val="22"/>
              </w:rPr>
              <w:t xml:space="preserve"> </w:t>
            </w:r>
            <w:proofErr w:type="spellStart"/>
            <w:r w:rsidRPr="007574ED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103" w:type="dxa"/>
            <w:vAlign w:val="center"/>
          </w:tcPr>
          <w:p w:rsidR="002F2312" w:rsidRPr="007574ED" w:rsidRDefault="002F2312" w:rsidP="00A7768B">
            <w:pPr>
              <w:ind w:left="0" w:firstLine="0"/>
              <w:jc w:val="left"/>
              <w:rPr>
                <w:b/>
                <w:bCs/>
                <w:sz w:val="22"/>
              </w:rPr>
            </w:pPr>
          </w:p>
          <w:p w:rsidR="002F2312" w:rsidRPr="007574ED" w:rsidRDefault="002F2312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r w:rsidRPr="007574ED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7574ED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61" w:type="dxa"/>
            <w:vAlign w:val="center"/>
          </w:tcPr>
          <w:p w:rsidR="002F2312" w:rsidRPr="007574ED" w:rsidRDefault="002F2312" w:rsidP="00A7768B">
            <w:pPr>
              <w:ind w:left="0" w:firstLine="0"/>
              <w:jc w:val="left"/>
              <w:rPr>
                <w:b/>
                <w:bCs/>
                <w:sz w:val="22"/>
              </w:rPr>
            </w:pPr>
          </w:p>
          <w:p w:rsidR="002F2312" w:rsidRPr="007574ED" w:rsidRDefault="002F2312" w:rsidP="00A7768B">
            <w:pPr>
              <w:ind w:left="0" w:firstLine="0"/>
              <w:jc w:val="left"/>
              <w:rPr>
                <w:sz w:val="22"/>
                <w:lang w:val="en-US"/>
              </w:rPr>
            </w:pPr>
            <w:proofErr w:type="spellStart"/>
            <w:r w:rsidRPr="007574ED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2F2312" w:rsidRPr="002C75B8" w:rsidTr="00A7768B">
        <w:tc>
          <w:tcPr>
            <w:tcW w:w="2628" w:type="dxa"/>
            <w:vAlign w:val="center"/>
          </w:tcPr>
          <w:p w:rsidR="002F2312" w:rsidRPr="007574ED" w:rsidRDefault="002F2312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sz w:val="22"/>
                <w:szCs w:val="22"/>
              </w:rPr>
            </w:pPr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630" w:type="dxa"/>
            <w:vAlign w:val="center"/>
          </w:tcPr>
          <w:p w:rsidR="002F2312" w:rsidRPr="007574ED" w:rsidRDefault="002F2312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sz w:val="22"/>
                <w:szCs w:val="22"/>
              </w:rPr>
            </w:pPr>
            <w:r w:rsidRPr="007574ED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2103" w:type="dxa"/>
            <w:vAlign w:val="center"/>
          </w:tcPr>
          <w:p w:rsidR="002F2312" w:rsidRPr="008004AB" w:rsidRDefault="002F2312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sz w:val="22"/>
                <w:szCs w:val="22"/>
              </w:rPr>
            </w:pPr>
            <w:r w:rsidRPr="008004AB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161" w:type="dxa"/>
            <w:vAlign w:val="center"/>
          </w:tcPr>
          <w:p w:rsidR="002F2312" w:rsidRPr="007574ED" w:rsidRDefault="002F2312" w:rsidP="00A7768B">
            <w:pPr>
              <w:pStyle w:val="NormalWeb"/>
              <w:spacing w:before="0" w:beforeAutospacing="0" w:after="0" w:afterAutospacing="0" w:line="313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7574ED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2F2312" w:rsidRDefault="002F2312" w:rsidP="002F2312">
      <w:pPr>
        <w:ind w:left="0" w:firstLine="0"/>
        <w:rPr>
          <w:b/>
          <w:bCs/>
          <w:sz w:val="22"/>
        </w:rPr>
      </w:pPr>
    </w:p>
    <w:p w:rsidR="002F2312" w:rsidRDefault="002F2312" w:rsidP="002F2312">
      <w:pPr>
        <w:ind w:left="0" w:firstLine="0"/>
        <w:rPr>
          <w:b/>
          <w:bCs/>
          <w:sz w:val="22"/>
        </w:rPr>
      </w:pPr>
    </w:p>
    <w:p w:rsidR="002F2312" w:rsidRDefault="002F2312" w:rsidP="002F2312">
      <w:pPr>
        <w:ind w:left="0" w:firstLine="0"/>
        <w:rPr>
          <w:b/>
          <w:bCs/>
          <w:sz w:val="22"/>
        </w:rPr>
      </w:pPr>
    </w:p>
    <w:p w:rsidR="002F2312" w:rsidRPr="002C75B8" w:rsidRDefault="002F2312" w:rsidP="002F2312">
      <w:pPr>
        <w:ind w:left="0" w:firstLine="0"/>
        <w:rPr>
          <w:b/>
          <w:bCs/>
          <w:sz w:val="22"/>
        </w:rPr>
      </w:pPr>
    </w:p>
    <w:p w:rsidR="002F2312" w:rsidRPr="002C75B8" w:rsidRDefault="002F2312" w:rsidP="002F2312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2F2312" w:rsidRPr="002C75B8" w:rsidRDefault="002F2312" w:rsidP="002F2312">
      <w:pPr>
        <w:ind w:left="0" w:firstLine="0"/>
        <w:rPr>
          <w:b/>
          <w:bCs/>
          <w:sz w:val="22"/>
        </w:rPr>
      </w:pPr>
    </w:p>
    <w:p w:rsidR="002F2312" w:rsidRPr="00E61615" w:rsidRDefault="002F2312" w:rsidP="002F2312">
      <w:pPr>
        <w:ind w:left="0" w:firstLine="0"/>
        <w:rPr>
          <w:b/>
          <w:bCs/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21590</wp:posOffset>
            </wp:positionV>
            <wp:extent cx="2987675" cy="211264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21590</wp:posOffset>
            </wp:positionV>
            <wp:extent cx="3035300" cy="2145030"/>
            <wp:effectExtent l="19050" t="0" r="0" b="0"/>
            <wp:wrapNone/>
            <wp:docPr id="5" name="Picture 5" descr="MK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K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615">
        <w:rPr>
          <w:b/>
          <w:bCs/>
          <w:sz w:val="22"/>
        </w:rPr>
        <w:t>Visceral leishmania</w:t>
      </w:r>
      <w:r>
        <w:rPr>
          <w:b/>
          <w:bCs/>
          <w:sz w:val="22"/>
        </w:rPr>
        <w:t>s</w:t>
      </w:r>
      <w:r w:rsidRPr="00E61615">
        <w:rPr>
          <w:b/>
          <w:bCs/>
          <w:sz w:val="22"/>
        </w:rPr>
        <w:t>is</w:t>
      </w: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Default="002F2312" w:rsidP="002F2312">
      <w:pPr>
        <w:ind w:left="0" w:firstLine="0"/>
        <w:rPr>
          <w:sz w:val="22"/>
        </w:rPr>
      </w:pPr>
    </w:p>
    <w:p w:rsidR="002F2312" w:rsidRPr="00E61615" w:rsidRDefault="002F2312" w:rsidP="002F2312">
      <w:pPr>
        <w:ind w:left="0" w:firstLine="0"/>
        <w:rPr>
          <w:b/>
          <w:bCs/>
          <w:sz w:val="22"/>
        </w:rPr>
      </w:pPr>
      <w:r w:rsidRPr="00E61615">
        <w:rPr>
          <w:b/>
          <w:bCs/>
          <w:sz w:val="22"/>
        </w:rPr>
        <w:t xml:space="preserve">Visceral </w:t>
      </w:r>
      <w:proofErr w:type="spellStart"/>
      <w:r>
        <w:rPr>
          <w:b/>
          <w:bCs/>
          <w:sz w:val="22"/>
        </w:rPr>
        <w:t>l</w:t>
      </w:r>
      <w:r w:rsidRPr="00E61615">
        <w:rPr>
          <w:b/>
          <w:bCs/>
          <w:sz w:val="22"/>
        </w:rPr>
        <w:t>eishmaniais</w:t>
      </w:r>
      <w:proofErr w:type="spellEnd"/>
      <w:r w:rsidRPr="00E61615">
        <w:rPr>
          <w:b/>
          <w:bCs/>
          <w:sz w:val="22"/>
        </w:rPr>
        <w:t xml:space="preserve"> </w:t>
      </w:r>
      <w:proofErr w:type="spellStart"/>
      <w:r w:rsidRPr="00E61615">
        <w:rPr>
          <w:b/>
          <w:bCs/>
          <w:sz w:val="22"/>
        </w:rPr>
        <w:t>trend</w:t>
      </w:r>
      <w:proofErr w:type="spellEnd"/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76835</wp:posOffset>
            </wp:positionV>
            <wp:extent cx="6743700" cy="285496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Pr="002C75B8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  <w:r w:rsidRPr="002C75B8">
        <w:rPr>
          <w:rFonts w:eastAsia="Times New Roman"/>
          <w:b/>
          <w:bCs/>
          <w:sz w:val="22"/>
          <w:lang w:eastAsia="es-ES"/>
        </w:rPr>
        <w:t>CONTROL</w:t>
      </w:r>
    </w:p>
    <w:p w:rsidR="002F2312" w:rsidRPr="002C75B8" w:rsidRDefault="002F2312" w:rsidP="002F2312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2F2312" w:rsidRPr="002C75B8" w:rsidRDefault="002F2312" w:rsidP="002F2312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mandatory in the country.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</w:t>
      </w:r>
      <w:r>
        <w:rPr>
          <w:rFonts w:eastAsia="Times New Roman"/>
          <w:sz w:val="22"/>
          <w:lang w:val="en-US" w:eastAsia="es-ES"/>
        </w:rPr>
        <w:t>, nor a</w:t>
      </w:r>
      <w:r w:rsidRPr="002C75B8">
        <w:rPr>
          <w:rFonts w:eastAsia="Times New Roman"/>
          <w:sz w:val="22"/>
          <w:lang w:val="en-US" w:eastAsia="es-ES"/>
        </w:rPr>
        <w:t xml:space="preserve"> leishmaniasis vector control program. </w:t>
      </w:r>
      <w:r>
        <w:rPr>
          <w:rFonts w:eastAsia="Times New Roman"/>
          <w:sz w:val="22"/>
          <w:lang w:val="en-US" w:eastAsia="es-ES"/>
        </w:rPr>
        <w:t>However, t</w:t>
      </w:r>
      <w:r w:rsidRPr="002C75B8">
        <w:rPr>
          <w:rFonts w:eastAsia="Times New Roman"/>
          <w:sz w:val="22"/>
          <w:lang w:val="en-US" w:eastAsia="es-ES"/>
        </w:rPr>
        <w:t xml:space="preserve">here is a leishmaniasis reservoir control program. Serological surveys of dogs are regularly performed and it is recommended that positive dogs are sacrificed. </w:t>
      </w:r>
    </w:p>
    <w:p w:rsidR="002F2312" w:rsidRPr="002C75B8" w:rsidRDefault="002F2312" w:rsidP="002F2312">
      <w:pPr>
        <w:ind w:left="0" w:firstLine="0"/>
        <w:rPr>
          <w:rFonts w:eastAsia="Times New Roman"/>
          <w:sz w:val="22"/>
          <w:lang w:val="en-US" w:eastAsia="es-ES"/>
        </w:rPr>
      </w:pPr>
    </w:p>
    <w:p w:rsidR="002F2312" w:rsidRPr="002C75B8" w:rsidRDefault="002F2312" w:rsidP="002F2312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2F2312" w:rsidRDefault="002F2312" w:rsidP="002F2312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  <w:r w:rsidRPr="00E61615">
        <w:rPr>
          <w:sz w:val="22"/>
          <w:lang w:val="en-US"/>
        </w:rPr>
        <w:t xml:space="preserve"> </w:t>
      </w:r>
    </w:p>
    <w:p w:rsidR="002F2312" w:rsidRPr="002C75B8" w:rsidRDefault="002F2312" w:rsidP="002F2312">
      <w:pPr>
        <w:ind w:left="0" w:firstLine="0"/>
        <w:rPr>
          <w:b/>
          <w:bCs/>
          <w:sz w:val="22"/>
          <w:lang w:val="en-US"/>
        </w:rPr>
      </w:pPr>
      <w:r>
        <w:rPr>
          <w:sz w:val="22"/>
          <w:lang w:val="en-US"/>
        </w:rPr>
        <w:t xml:space="preserve">VL: </w:t>
      </w:r>
      <w:r w:rsidRPr="00E61615">
        <w:rPr>
          <w:sz w:val="22"/>
          <w:lang w:val="en-US"/>
        </w:rPr>
        <w:t>IFAT, DAT, and microscopic examination of bone marrow aspirate</w:t>
      </w:r>
      <w:r>
        <w:rPr>
          <w:sz w:val="22"/>
          <w:lang w:val="en-US"/>
        </w:rPr>
        <w:t>.</w:t>
      </w:r>
      <w:r w:rsidRPr="00E61615">
        <w:rPr>
          <w:sz w:val="22"/>
          <w:lang w:val="en-US"/>
        </w:rPr>
        <w:t xml:space="preserve"> </w:t>
      </w:r>
    </w:p>
    <w:p w:rsidR="002F2312" w:rsidRPr="002C75B8" w:rsidRDefault="002F2312" w:rsidP="002F2312">
      <w:pPr>
        <w:ind w:left="0" w:firstLine="0"/>
        <w:rPr>
          <w:b/>
          <w:bCs/>
          <w:sz w:val="22"/>
          <w:lang w:val="en-US"/>
        </w:rPr>
      </w:pPr>
    </w:p>
    <w:p w:rsidR="002F2312" w:rsidRDefault="002F2312" w:rsidP="002F2312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2F2312" w:rsidRPr="00E61615" w:rsidRDefault="002F2312" w:rsidP="002F2312">
      <w:pPr>
        <w:ind w:left="0" w:firstLine="0"/>
        <w:rPr>
          <w:sz w:val="22"/>
          <w:lang w:val="en-GB"/>
        </w:rPr>
      </w:pPr>
      <w:r>
        <w:rPr>
          <w:b/>
          <w:bCs/>
          <w:sz w:val="22"/>
          <w:lang w:val="en-US"/>
        </w:rPr>
        <w:t xml:space="preserve">VL: </w:t>
      </w:r>
      <w:r>
        <w:rPr>
          <w:sz w:val="22"/>
          <w:lang w:val="en-US"/>
        </w:rPr>
        <w:t>an</w:t>
      </w:r>
      <w:r w:rsidRPr="00E61615">
        <w:rPr>
          <w:sz w:val="22"/>
          <w:lang w:val="en-US"/>
        </w:rPr>
        <w:t>timonials 20</w:t>
      </w:r>
      <w:r>
        <w:rPr>
          <w:sz w:val="22"/>
          <w:lang w:val="en-US"/>
        </w:rPr>
        <w:t xml:space="preserve"> </w:t>
      </w:r>
      <w:r w:rsidRPr="00E61615">
        <w:rPr>
          <w:sz w:val="22"/>
          <w:lang w:val="en-US"/>
        </w:rPr>
        <w:t xml:space="preserve">mg </w:t>
      </w:r>
      <w:proofErr w:type="spellStart"/>
      <w:r w:rsidRPr="00E61615">
        <w:rPr>
          <w:sz w:val="22"/>
          <w:lang w:val="en-US"/>
        </w:rPr>
        <w:t>Sb</w:t>
      </w:r>
      <w:r w:rsidRPr="00E61615">
        <w:rPr>
          <w:sz w:val="22"/>
          <w:vertAlign w:val="superscript"/>
          <w:lang w:val="en-US"/>
        </w:rPr>
        <w:t>v</w:t>
      </w:r>
      <w:proofErr w:type="spellEnd"/>
      <w:r w:rsidRPr="00E61615">
        <w:rPr>
          <w:sz w:val="22"/>
          <w:lang w:val="en-US"/>
        </w:rPr>
        <w:t>/kg/day for 28</w:t>
      </w:r>
      <w:r>
        <w:rPr>
          <w:sz w:val="22"/>
          <w:lang w:val="en-US"/>
        </w:rPr>
        <w:t xml:space="preserve"> </w:t>
      </w:r>
      <w:r w:rsidRPr="00E61615">
        <w:rPr>
          <w:sz w:val="22"/>
          <w:lang w:val="en-US"/>
        </w:rPr>
        <w:t xml:space="preserve">days. Cure rate is </w:t>
      </w:r>
      <w:proofErr w:type="gramStart"/>
      <w:r w:rsidRPr="00E61615">
        <w:rPr>
          <w:sz w:val="22"/>
          <w:lang w:val="en-US"/>
        </w:rPr>
        <w:t>98%,</w:t>
      </w:r>
      <w:proofErr w:type="gramEnd"/>
      <w:r w:rsidRPr="00E61615">
        <w:rPr>
          <w:sz w:val="22"/>
          <w:lang w:val="en-US"/>
        </w:rPr>
        <w:t xml:space="preserve"> and mortality rate 2%. Second line treatment is with amphotericin B, 0</w:t>
      </w:r>
      <w:r>
        <w:rPr>
          <w:sz w:val="22"/>
          <w:lang w:val="en-US"/>
        </w:rPr>
        <w:t>.</w:t>
      </w:r>
      <w:r w:rsidRPr="00562689">
        <w:rPr>
          <w:sz w:val="22"/>
          <w:lang w:val="en-US"/>
        </w:rPr>
        <w:t>5 mg/kg/day</w:t>
      </w:r>
      <w:r w:rsidRPr="00E61615">
        <w:rPr>
          <w:sz w:val="22"/>
          <w:lang w:val="en-US"/>
        </w:rPr>
        <w:t xml:space="preserve"> for 20 days.</w:t>
      </w: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spacing w:line="360" w:lineRule="auto"/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Care for leishmaniasis is provided for free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but sometimes health workers charge informal</w:t>
      </w:r>
      <w:r>
        <w:rPr>
          <w:sz w:val="22"/>
          <w:lang w:val="en-US"/>
        </w:rPr>
        <w:t xml:space="preserve"> fees</w:t>
      </w:r>
      <w:r w:rsidRPr="002C75B8">
        <w:rPr>
          <w:sz w:val="22"/>
          <w:lang w:val="en-US"/>
        </w:rPr>
        <w:t xml:space="preserve"> to patients. All patients are thought to have access to care. 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The government did not purchase antimonials in 2007 and 2008, but donations of a private agent of Glucantime, </w:t>
      </w:r>
      <w:proofErr w:type="spellStart"/>
      <w:r>
        <w:rPr>
          <w:sz w:val="22"/>
          <w:lang w:val="en-US"/>
        </w:rPr>
        <w:t>Sanofi</w:t>
      </w:r>
      <w:proofErr w:type="spellEnd"/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were sufficient to treat all patients th</w:t>
      </w:r>
      <w:r>
        <w:rPr>
          <w:sz w:val="22"/>
          <w:lang w:val="en-US"/>
        </w:rPr>
        <w:t>o</w:t>
      </w:r>
      <w:r w:rsidRPr="002C75B8">
        <w:rPr>
          <w:sz w:val="22"/>
          <w:lang w:val="en-US"/>
        </w:rPr>
        <w:t>se years. The average time unti</w:t>
      </w:r>
      <w:r>
        <w:rPr>
          <w:sz w:val="22"/>
          <w:lang w:val="en-US"/>
        </w:rPr>
        <w:t>l diagnosis is o</w:t>
      </w:r>
      <w:r w:rsidRPr="002C75B8">
        <w:rPr>
          <w:sz w:val="22"/>
          <w:lang w:val="en-US"/>
        </w:rPr>
        <w:t xml:space="preserve">ne month in 60% of patients, but in 40% of cases it took longer, </w:t>
      </w:r>
      <w:r>
        <w:rPr>
          <w:sz w:val="22"/>
          <w:lang w:val="en-US"/>
        </w:rPr>
        <w:t xml:space="preserve">even </w:t>
      </w:r>
      <w:r w:rsidRPr="002C75B8">
        <w:rPr>
          <w:sz w:val="22"/>
          <w:lang w:val="en-US"/>
        </w:rPr>
        <w:t xml:space="preserve">up to 7-8 months </w:t>
      </w:r>
      <w:r>
        <w:rPr>
          <w:sz w:val="22"/>
          <w:lang w:val="en-US"/>
        </w:rPr>
        <w:t>for</w:t>
      </w:r>
      <w:r w:rsidRPr="002C75B8">
        <w:rPr>
          <w:sz w:val="22"/>
          <w:lang w:val="en-US"/>
        </w:rPr>
        <w:t xml:space="preserve"> 3 patients. Diagnosis is only possible in secondary and tertiary hospitals. </w:t>
      </w:r>
    </w:p>
    <w:p w:rsidR="002F2312" w:rsidRPr="002C75B8" w:rsidRDefault="002F2312" w:rsidP="002F2312">
      <w:pPr>
        <w:spacing w:line="360" w:lineRule="auto"/>
        <w:ind w:left="0" w:firstLine="0"/>
        <w:rPr>
          <w:sz w:val="22"/>
          <w:lang w:val="en-US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Meglumine antimoniate is included in the National Essential Drug List. Antimonials are not registered and drugs for leishmaniasis are not available </w:t>
      </w:r>
      <w:r>
        <w:rPr>
          <w:sz w:val="22"/>
          <w:lang w:val="en-US"/>
        </w:rPr>
        <w:t>at</w:t>
      </w:r>
      <w:r w:rsidRPr="002C75B8">
        <w:rPr>
          <w:sz w:val="22"/>
          <w:lang w:val="en-US"/>
        </w:rPr>
        <w:t xml:space="preserve"> private pharmacies.</w:t>
      </w: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ind w:left="0" w:firstLine="0"/>
        <w:rPr>
          <w:sz w:val="22"/>
          <w:lang w:val="en-GB"/>
        </w:rPr>
      </w:pPr>
    </w:p>
    <w:p w:rsidR="002F2312" w:rsidRPr="002C75B8" w:rsidRDefault="002F2312" w:rsidP="002F2312">
      <w:pPr>
        <w:spacing w:line="360" w:lineRule="auto"/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</w:p>
    <w:p w:rsidR="002F2312" w:rsidRDefault="002F2312" w:rsidP="002F2312">
      <w:pPr>
        <w:ind w:left="36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• </w:t>
      </w:r>
      <w:r>
        <w:rPr>
          <w:sz w:val="22"/>
          <w:lang w:val="en-US"/>
        </w:rPr>
        <w:t xml:space="preserve">Dr </w:t>
      </w:r>
      <w:proofErr w:type="spellStart"/>
      <w:r>
        <w:rPr>
          <w:sz w:val="22"/>
          <w:lang w:val="en-US"/>
        </w:rPr>
        <w:t>Sarja</w:t>
      </w:r>
      <w:proofErr w:type="spellEnd"/>
      <w:r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Caparoska</w:t>
      </w:r>
      <w:proofErr w:type="spellEnd"/>
      <w:r w:rsidRPr="002C75B8">
        <w:rPr>
          <w:sz w:val="22"/>
          <w:lang w:val="en-US"/>
        </w:rPr>
        <w:t xml:space="preserve">. </w:t>
      </w:r>
      <w:proofErr w:type="gramStart"/>
      <w:smartTag w:uri="urn:schemas-microsoft-com:office:smarttags" w:element="PlaceType">
        <w:r w:rsidRPr="002C75B8">
          <w:rPr>
            <w:sz w:val="22"/>
            <w:lang w:val="en-US"/>
          </w:rPr>
          <w:t>University</w:t>
        </w:r>
      </w:smartTag>
      <w:r w:rsidRPr="002C75B8">
        <w:rPr>
          <w:sz w:val="22"/>
          <w:lang w:val="en-US"/>
        </w:rPr>
        <w:t xml:space="preserve"> </w:t>
      </w:r>
      <w:smartTag w:uri="urn:schemas-microsoft-com:office:smarttags" w:element="PlaceType">
        <w:r w:rsidRPr="002C75B8">
          <w:rPr>
            <w:sz w:val="22"/>
            <w:lang w:val="en-US"/>
          </w:rPr>
          <w:t>Hospital</w:t>
        </w:r>
      </w:smartTag>
      <w:r>
        <w:rPr>
          <w:sz w:val="22"/>
          <w:lang w:val="en-US"/>
        </w:rPr>
        <w:t xml:space="preserve"> for Infectious Diseases and Febrile Conditions, Medical F</w:t>
      </w:r>
      <w:r w:rsidRPr="002C75B8">
        <w:rPr>
          <w:sz w:val="22"/>
          <w:lang w:val="en-US"/>
        </w:rPr>
        <w:t xml:space="preserve">aculty, University "St. Cyril and </w:t>
      </w:r>
      <w:proofErr w:type="spellStart"/>
      <w:r w:rsidRPr="002C75B8">
        <w:rPr>
          <w:sz w:val="22"/>
          <w:lang w:val="en-US"/>
        </w:rPr>
        <w:t>Methodious</w:t>
      </w:r>
      <w:proofErr w:type="spellEnd"/>
      <w:r w:rsidRPr="002C75B8">
        <w:rPr>
          <w:sz w:val="22"/>
          <w:lang w:val="en-US"/>
        </w:rPr>
        <w:t>", Skopje</w:t>
      </w:r>
      <w:r>
        <w:rPr>
          <w:sz w:val="22"/>
          <w:lang w:val="en-US"/>
        </w:rPr>
        <w:t>.</w:t>
      </w:r>
      <w:proofErr w:type="gramEnd"/>
    </w:p>
    <w:p w:rsidR="002F2312" w:rsidRPr="005A6C3C" w:rsidRDefault="002F2312" w:rsidP="002F2312">
      <w:pPr>
        <w:ind w:left="360" w:firstLine="0"/>
        <w:rPr>
          <w:i/>
          <w:iCs/>
          <w:sz w:val="22"/>
          <w:lang w:val="en-GB"/>
        </w:rPr>
      </w:pPr>
      <w:proofErr w:type="gramStart"/>
      <w:r w:rsidRPr="002C75B8">
        <w:rPr>
          <w:sz w:val="22"/>
          <w:lang w:val="en-US"/>
        </w:rPr>
        <w:t>•</w:t>
      </w:r>
      <w:r>
        <w:rPr>
          <w:sz w:val="22"/>
          <w:lang w:val="en-US"/>
        </w:rPr>
        <w:t xml:space="preserve"> </w:t>
      </w:r>
      <w:r w:rsidRPr="005A6C3C">
        <w:rPr>
          <w:sz w:val="22"/>
          <w:lang w:val="en-GB"/>
        </w:rPr>
        <w:t xml:space="preserve">Dr </w:t>
      </w:r>
      <w:proofErr w:type="spellStart"/>
      <w:r w:rsidRPr="005A6C3C">
        <w:rPr>
          <w:sz w:val="22"/>
          <w:lang w:val="en-GB"/>
        </w:rPr>
        <w:t>Žaklina</w:t>
      </w:r>
      <w:proofErr w:type="spellEnd"/>
      <w:r w:rsidRPr="005A6C3C">
        <w:rPr>
          <w:sz w:val="22"/>
          <w:lang w:val="en-GB"/>
        </w:rPr>
        <w:t xml:space="preserve"> </w:t>
      </w:r>
      <w:proofErr w:type="spellStart"/>
      <w:r w:rsidRPr="005A6C3C">
        <w:rPr>
          <w:sz w:val="22"/>
          <w:lang w:val="en-GB"/>
        </w:rPr>
        <w:t>Sopova</w:t>
      </w:r>
      <w:proofErr w:type="spellEnd"/>
      <w:r>
        <w:rPr>
          <w:i/>
          <w:iCs/>
          <w:sz w:val="22"/>
          <w:lang w:val="en-GB"/>
        </w:rPr>
        <w:t>.</w:t>
      </w:r>
      <w:proofErr w:type="gramEnd"/>
      <w:r w:rsidRPr="0041252F">
        <w:rPr>
          <w:sz w:val="22"/>
          <w:lang w:val="en-US"/>
        </w:rPr>
        <w:t xml:space="preserve"> </w:t>
      </w:r>
      <w:proofErr w:type="gramStart"/>
      <w:smartTag w:uri="urn:schemas-microsoft-com:office:smarttags" w:element="PlaceType">
        <w:r w:rsidRPr="002C75B8">
          <w:rPr>
            <w:sz w:val="22"/>
            <w:lang w:val="en-US"/>
          </w:rPr>
          <w:t>University</w:t>
        </w:r>
      </w:smartTag>
      <w:r w:rsidRPr="002C75B8">
        <w:rPr>
          <w:sz w:val="22"/>
          <w:lang w:val="en-US"/>
        </w:rPr>
        <w:t xml:space="preserve"> </w:t>
      </w:r>
      <w:smartTag w:uri="urn:schemas-microsoft-com:office:smarttags" w:element="PlaceType">
        <w:r w:rsidRPr="002C75B8">
          <w:rPr>
            <w:sz w:val="22"/>
            <w:lang w:val="en-US"/>
          </w:rPr>
          <w:t>Hospital</w:t>
        </w:r>
      </w:smartTag>
      <w:r>
        <w:rPr>
          <w:sz w:val="22"/>
          <w:lang w:val="en-US"/>
        </w:rPr>
        <w:t xml:space="preserve"> for Infectious Diseases and Febrile Conditions, Medical F</w:t>
      </w:r>
      <w:r w:rsidRPr="002C75B8">
        <w:rPr>
          <w:sz w:val="22"/>
          <w:lang w:val="en-US"/>
        </w:rPr>
        <w:t xml:space="preserve">aculty, University "St. Cyril and </w:t>
      </w:r>
      <w:proofErr w:type="spellStart"/>
      <w:r w:rsidRPr="002C75B8">
        <w:rPr>
          <w:sz w:val="22"/>
          <w:lang w:val="en-US"/>
        </w:rPr>
        <w:t>Methodious</w:t>
      </w:r>
      <w:proofErr w:type="spellEnd"/>
      <w:r w:rsidRPr="002C75B8">
        <w:rPr>
          <w:sz w:val="22"/>
          <w:lang w:val="en-US"/>
        </w:rPr>
        <w:t xml:space="preserve">", </w:t>
      </w:r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US"/>
            </w:rPr>
            <w:t>Skopje</w:t>
          </w:r>
        </w:smartTag>
      </w:smartTag>
      <w:r>
        <w:rPr>
          <w:sz w:val="22"/>
          <w:lang w:val="en-US"/>
        </w:rPr>
        <w:t>.</w:t>
      </w:r>
      <w:proofErr w:type="gramEnd"/>
      <w:r w:rsidRPr="005A6C3C">
        <w:rPr>
          <w:i/>
          <w:iCs/>
          <w:sz w:val="22"/>
          <w:lang w:val="en-GB"/>
        </w:rPr>
        <w:t xml:space="preserve"> </w:t>
      </w:r>
      <w:proofErr w:type="gramStart"/>
      <w:r w:rsidRPr="005A6C3C">
        <w:rPr>
          <w:i/>
          <w:iCs/>
          <w:sz w:val="22"/>
          <w:lang w:val="en-GB"/>
        </w:rPr>
        <w:t>WHO exploratory meeting on Leishmaniasis in the Balkan Countries.</w:t>
      </w:r>
      <w:proofErr w:type="gramEnd"/>
      <w:r w:rsidRPr="005A6C3C">
        <w:rPr>
          <w:i/>
          <w:iCs/>
          <w:sz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A6C3C">
            <w:rPr>
              <w:i/>
              <w:iCs/>
              <w:sz w:val="22"/>
              <w:lang w:val="en-GB"/>
            </w:rPr>
            <w:t>Dubrovnik</w:t>
          </w:r>
        </w:smartTag>
        <w:r w:rsidRPr="005A6C3C">
          <w:rPr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5A6C3C">
            <w:rPr>
              <w:i/>
              <w:iCs/>
              <w:sz w:val="22"/>
              <w:lang w:val="en-GB"/>
            </w:rPr>
            <w:t>Croatia</w:t>
          </w:r>
        </w:smartTag>
      </w:smartTag>
      <w:r w:rsidRPr="005A6C3C">
        <w:rPr>
          <w:i/>
          <w:iCs/>
          <w:sz w:val="22"/>
          <w:lang w:val="en-GB"/>
        </w:rPr>
        <w:t>, 10-12 February 2010</w:t>
      </w:r>
      <w:r>
        <w:rPr>
          <w:i/>
          <w:iCs/>
          <w:sz w:val="22"/>
          <w:lang w:val="en-GB"/>
        </w:rPr>
        <w:t>.</w:t>
      </w: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</w:p>
    <w:p w:rsidR="002F2312" w:rsidRPr="002C75B8" w:rsidRDefault="002F2312" w:rsidP="002F2312">
      <w:pPr>
        <w:ind w:left="0" w:firstLine="0"/>
        <w:rPr>
          <w:sz w:val="22"/>
          <w:lang w:val="en-US"/>
        </w:rPr>
      </w:pPr>
    </w:p>
    <w:sectPr w:rsidR="002F2312" w:rsidRPr="002C75B8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2312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0766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2312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2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2F231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12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4827586206896579E-2"/>
          <c:w val="0.90401146131805155"/>
          <c:h val="0.77931034482758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6</c:v>
                </c:pt>
                <c:pt idx="6">
                  <c:v>9</c:v>
                </c:pt>
                <c:pt idx="7">
                  <c:v>5</c:v>
                </c:pt>
                <c:pt idx="8">
                  <c:v>8</c:v>
                </c:pt>
                <c:pt idx="9">
                  <c:v>7</c:v>
                </c:pt>
                <c:pt idx="10">
                  <c:v>9</c:v>
                </c:pt>
                <c:pt idx="11">
                  <c:v>7</c:v>
                </c:pt>
                <c:pt idx="12">
                  <c:v>9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</c:numCache>
            </c:numRef>
          </c:val>
        </c:ser>
        <c:gapDepth val="0"/>
        <c:shape val="box"/>
        <c:axId val="285525120"/>
        <c:axId val="285527040"/>
        <c:axId val="0"/>
      </c:bar3DChart>
      <c:catAx>
        <c:axId val="28552512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7040"/>
        <c:crosses val="autoZero"/>
        <c:auto val="1"/>
        <c:lblAlgn val="ctr"/>
        <c:lblOffset val="100"/>
        <c:tickLblSkip val="1"/>
        <c:tickMarkSkip val="1"/>
      </c:catAx>
      <c:valAx>
        <c:axId val="285527040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5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2012-04-02T15:06:00Z</dcterms:created>
  <dcterms:modified xsi:type="dcterms:W3CDTF">2012-04-02T18:39:00Z</dcterms:modified>
</cp:coreProperties>
</file>