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12" w:rsidRDefault="00B54812" w:rsidP="00B54812">
      <w:pPr>
        <w:ind w:left="0" w:firstLine="0"/>
        <w:rPr>
          <w:b/>
          <w:bCs/>
          <w:sz w:val="22"/>
          <w:u w:val="single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2C75B8">
            <w:rPr>
              <w:b/>
              <w:bCs/>
              <w:sz w:val="22"/>
              <w:u w:val="single"/>
              <w:lang w:val="en-US"/>
            </w:rPr>
            <w:t>SYRIAN</w:t>
          </w:r>
        </w:smartTag>
        <w:r w:rsidRPr="002C75B8">
          <w:rPr>
            <w:b/>
            <w:bCs/>
            <w:sz w:val="22"/>
            <w:u w:val="single"/>
            <w:lang w:val="en-US"/>
          </w:rPr>
          <w:t xml:space="preserve"> </w:t>
        </w:r>
        <w:smartTag w:uri="urn:schemas-microsoft-com:office:smarttags" w:element="PlaceName">
          <w:r w:rsidRPr="002C75B8">
            <w:rPr>
              <w:b/>
              <w:bCs/>
              <w:sz w:val="22"/>
              <w:u w:val="single"/>
              <w:lang w:val="en-US"/>
            </w:rPr>
            <w:t>ARAB</w:t>
          </w:r>
        </w:smartTag>
        <w:r w:rsidRPr="002C75B8">
          <w:rPr>
            <w:b/>
            <w:bCs/>
            <w:sz w:val="22"/>
            <w:u w:val="single"/>
            <w:lang w:val="en-US"/>
          </w:rPr>
          <w:t xml:space="preserve"> </w:t>
        </w:r>
        <w:smartTag w:uri="urn:schemas-microsoft-com:office:smarttags" w:element="PlaceType">
          <w:r w:rsidRPr="002C75B8">
            <w:rPr>
              <w:b/>
              <w:bCs/>
              <w:sz w:val="22"/>
              <w:u w:val="single"/>
              <w:lang w:val="en-US"/>
            </w:rPr>
            <w:t>REPUBLIC</w:t>
          </w:r>
        </w:smartTag>
      </w:smartTag>
    </w:p>
    <w:p w:rsidR="00B54812" w:rsidRPr="002C75B8" w:rsidRDefault="00B54812" w:rsidP="00B54812">
      <w:pPr>
        <w:ind w:left="0" w:firstLine="0"/>
        <w:rPr>
          <w:b/>
          <w:bCs/>
          <w:sz w:val="22"/>
          <w:u w:val="single"/>
          <w:lang w:val="en-US"/>
        </w:rPr>
      </w:pPr>
    </w:p>
    <w:p w:rsidR="00B54812" w:rsidRPr="002C75B8" w:rsidRDefault="00B54812" w:rsidP="00B54812">
      <w:pPr>
        <w:spacing w:line="480" w:lineRule="auto"/>
        <w:ind w:left="0" w:firstLine="0"/>
        <w:rPr>
          <w:bCs/>
          <w:sz w:val="22"/>
          <w:lang w:val="en-US"/>
        </w:rPr>
      </w:pPr>
      <w:r>
        <w:rPr>
          <w:bCs/>
          <w:noProof/>
          <w:sz w:val="22"/>
          <w:lang w:val="en-US"/>
        </w:rPr>
        <w:drawing>
          <wp:inline distT="0" distB="0" distL="0" distR="0">
            <wp:extent cx="2971800" cy="19907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812" w:rsidRPr="002C75B8" w:rsidRDefault="00B54812" w:rsidP="00B54812">
      <w:pPr>
        <w:spacing w:line="480" w:lineRule="auto"/>
        <w:ind w:left="0" w:firstLine="0"/>
        <w:rPr>
          <w:bCs/>
          <w:sz w:val="22"/>
          <w:lang w:val="en-US"/>
        </w:rPr>
      </w:pPr>
      <w:r w:rsidRPr="002C75B8">
        <w:rPr>
          <w:b/>
          <w:sz w:val="22"/>
          <w:lang w:val="en-US"/>
        </w:rPr>
        <w:t>BASIC COUNTRY DATA</w:t>
      </w:r>
    </w:p>
    <w:p w:rsidR="00B54812" w:rsidRPr="002C75B8" w:rsidRDefault="00B54812" w:rsidP="00B54812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Total Population: </w:t>
      </w:r>
      <w:r>
        <w:rPr>
          <w:bCs/>
          <w:sz w:val="22"/>
          <w:lang w:val="en-US"/>
        </w:rPr>
        <w:t>20,446,609</w:t>
      </w:r>
      <w:r w:rsidRPr="002C75B8">
        <w:rPr>
          <w:bCs/>
          <w:sz w:val="22"/>
          <w:lang w:val="en-US"/>
        </w:rPr>
        <w:t xml:space="preserve"> </w:t>
      </w:r>
    </w:p>
    <w:p w:rsidR="00B54812" w:rsidRPr="002C75B8" w:rsidRDefault="00B54812" w:rsidP="00B54812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Population 0-14 years: 3</w:t>
      </w:r>
      <w:r>
        <w:rPr>
          <w:bCs/>
          <w:sz w:val="22"/>
          <w:lang w:val="en-US"/>
        </w:rPr>
        <w:t>7</w:t>
      </w:r>
      <w:r w:rsidRPr="002C75B8">
        <w:rPr>
          <w:bCs/>
          <w:sz w:val="22"/>
          <w:lang w:val="en-US"/>
        </w:rPr>
        <w:t xml:space="preserve">% </w:t>
      </w:r>
    </w:p>
    <w:p w:rsidR="00B54812" w:rsidRPr="002C75B8" w:rsidRDefault="00B54812" w:rsidP="00B54812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Rural population: 4</w:t>
      </w:r>
      <w:r>
        <w:rPr>
          <w:bCs/>
          <w:sz w:val="22"/>
          <w:lang w:val="en-US"/>
        </w:rPr>
        <w:t>5</w:t>
      </w:r>
      <w:r w:rsidRPr="002C75B8">
        <w:rPr>
          <w:bCs/>
          <w:sz w:val="22"/>
          <w:lang w:val="en-US"/>
        </w:rPr>
        <w:t xml:space="preserve">% </w:t>
      </w:r>
    </w:p>
    <w:p w:rsidR="00B54812" w:rsidRPr="002C75B8" w:rsidRDefault="00B54812" w:rsidP="00B54812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Population living under USD 1</w:t>
      </w:r>
      <w:r>
        <w:rPr>
          <w:bCs/>
          <w:sz w:val="22"/>
          <w:lang w:val="en-US"/>
        </w:rPr>
        <w:t>.</w:t>
      </w:r>
      <w:r w:rsidRPr="002C75B8">
        <w:rPr>
          <w:bCs/>
          <w:sz w:val="22"/>
          <w:lang w:val="en-US"/>
        </w:rPr>
        <w:t>25 a day: no data</w:t>
      </w:r>
    </w:p>
    <w:p w:rsidR="00B54812" w:rsidRPr="002C75B8" w:rsidRDefault="00B54812" w:rsidP="00B54812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Population living under the national poverty line: no data</w:t>
      </w:r>
    </w:p>
    <w:p w:rsidR="00B54812" w:rsidRPr="002C75B8" w:rsidRDefault="00B54812" w:rsidP="00B54812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Income status: Lower middle income economy </w:t>
      </w:r>
    </w:p>
    <w:p w:rsidR="00B54812" w:rsidRPr="002C75B8" w:rsidRDefault="00B54812" w:rsidP="00B54812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Ranking: Medium human development </w:t>
      </w:r>
      <w:r>
        <w:rPr>
          <w:bCs/>
          <w:sz w:val="22"/>
          <w:lang w:val="en-US"/>
        </w:rPr>
        <w:t>(ranking 119)</w:t>
      </w:r>
    </w:p>
    <w:p w:rsidR="00B54812" w:rsidRPr="002C75B8" w:rsidRDefault="00B54812" w:rsidP="00B54812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Per capita total expenditure on health at average exchange rate (US dollar): </w:t>
      </w:r>
      <w:r>
        <w:rPr>
          <w:bCs/>
          <w:sz w:val="22"/>
          <w:lang w:val="en-US"/>
        </w:rPr>
        <w:t>72</w:t>
      </w:r>
    </w:p>
    <w:p w:rsidR="00B54812" w:rsidRPr="002C75B8" w:rsidRDefault="00B54812" w:rsidP="00B54812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Life expectancy at birth (years): 7</w:t>
      </w:r>
      <w:r>
        <w:rPr>
          <w:bCs/>
          <w:sz w:val="22"/>
          <w:lang w:val="en-US"/>
        </w:rPr>
        <w:t>6</w:t>
      </w:r>
      <w:r w:rsidRPr="002C75B8">
        <w:rPr>
          <w:bCs/>
          <w:sz w:val="22"/>
          <w:lang w:val="en-US"/>
        </w:rPr>
        <w:t xml:space="preserve"> </w:t>
      </w:r>
    </w:p>
    <w:p w:rsidR="00B54812" w:rsidRPr="002C75B8" w:rsidRDefault="00B54812" w:rsidP="00B54812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Health</w:t>
      </w:r>
      <w:r>
        <w:rPr>
          <w:bCs/>
          <w:sz w:val="22"/>
          <w:lang w:val="en-US"/>
        </w:rPr>
        <w:t>y</w:t>
      </w:r>
      <w:r w:rsidRPr="002C75B8">
        <w:rPr>
          <w:bCs/>
          <w:sz w:val="22"/>
          <w:lang w:val="en-US"/>
        </w:rPr>
        <w:t xml:space="preserve"> life expectancy at birth (years): 62 </w:t>
      </w:r>
    </w:p>
    <w:p w:rsidR="00B54812" w:rsidRPr="002C75B8" w:rsidRDefault="00B54812" w:rsidP="00B54812">
      <w:pPr>
        <w:ind w:left="0" w:firstLine="0"/>
        <w:rPr>
          <w:bCs/>
          <w:sz w:val="22"/>
          <w:lang w:val="en-US"/>
        </w:rPr>
      </w:pPr>
    </w:p>
    <w:p w:rsidR="00B54812" w:rsidRPr="002C75B8" w:rsidRDefault="00B54812" w:rsidP="00B54812">
      <w:pPr>
        <w:ind w:left="0" w:firstLine="0"/>
        <w:rPr>
          <w:bCs/>
          <w:sz w:val="22"/>
          <w:lang w:val="en-US"/>
        </w:rPr>
      </w:pPr>
    </w:p>
    <w:p w:rsidR="00B54812" w:rsidRPr="002C75B8" w:rsidRDefault="00B54812" w:rsidP="00B54812">
      <w:pPr>
        <w:spacing w:line="480" w:lineRule="auto"/>
        <w:ind w:left="0" w:firstLine="0"/>
        <w:rPr>
          <w:sz w:val="22"/>
          <w:lang w:val="en-GB"/>
        </w:rPr>
      </w:pPr>
      <w:r w:rsidRPr="002C75B8">
        <w:rPr>
          <w:b/>
          <w:sz w:val="22"/>
          <w:lang w:val="en-US"/>
        </w:rPr>
        <w:t xml:space="preserve">BACKGROUND INFORMATION </w:t>
      </w:r>
    </w:p>
    <w:p w:rsidR="00B54812" w:rsidRDefault="00B54812" w:rsidP="00B54812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Only a few cases of VL are recorded yearly, mainly from </w:t>
      </w:r>
      <w:proofErr w:type="spellStart"/>
      <w:r w:rsidRPr="002C75B8">
        <w:rPr>
          <w:sz w:val="22"/>
          <w:lang w:val="en-US"/>
        </w:rPr>
        <w:t>Edlib</w:t>
      </w:r>
      <w:proofErr w:type="spellEnd"/>
      <w:r w:rsidRPr="002C75B8">
        <w:rPr>
          <w:sz w:val="22"/>
          <w:lang w:val="en-US"/>
        </w:rPr>
        <w:t xml:space="preserve"> province. VL is probably underreported. </w:t>
      </w:r>
      <w:r>
        <w:rPr>
          <w:sz w:val="22"/>
          <w:lang w:val="en-US"/>
        </w:rPr>
        <w:t>Serological screenings show</w:t>
      </w:r>
      <w:r>
        <w:rPr>
          <w:sz w:val="22"/>
          <w:lang w:val="en-US"/>
        </w:rPr>
        <w:t>ed</w:t>
      </w:r>
      <w:r>
        <w:rPr>
          <w:sz w:val="22"/>
          <w:lang w:val="en-US"/>
        </w:rPr>
        <w:t xml:space="preserve"> up to 23% </w:t>
      </w:r>
      <w:proofErr w:type="spellStart"/>
      <w:r>
        <w:rPr>
          <w:sz w:val="22"/>
          <w:lang w:val="en-US"/>
        </w:rPr>
        <w:t>seropositiv</w:t>
      </w:r>
      <w:r>
        <w:rPr>
          <w:sz w:val="22"/>
          <w:lang w:val="en-US"/>
        </w:rPr>
        <w:t>it</w:t>
      </w:r>
      <w:r>
        <w:rPr>
          <w:sz w:val="22"/>
          <w:lang w:val="en-US"/>
        </w:rPr>
        <w:t>y</w:t>
      </w:r>
      <w:proofErr w:type="spellEnd"/>
      <w:r>
        <w:rPr>
          <w:sz w:val="22"/>
          <w:lang w:val="en-US"/>
        </w:rPr>
        <w:t>, but no cases with full-blown disease [1].</w:t>
      </w:r>
    </w:p>
    <w:p w:rsidR="00B54812" w:rsidRPr="002C75B8" w:rsidRDefault="00B54812" w:rsidP="00B54812">
      <w:pPr>
        <w:ind w:left="0" w:firstLine="0"/>
        <w:rPr>
          <w:sz w:val="22"/>
          <w:lang w:val="en-US"/>
        </w:rPr>
      </w:pPr>
    </w:p>
    <w:p w:rsidR="00B54812" w:rsidRDefault="00B54812" w:rsidP="00B54812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CL is a very old endemic disease in </w:t>
      </w:r>
      <w:smartTag w:uri="urn:schemas-microsoft-com:office:smarttags" w:element="place">
        <w:smartTag w:uri="urn:schemas-microsoft-com:office:smarttags" w:element="country-region">
          <w:r w:rsidRPr="002C75B8">
            <w:rPr>
              <w:sz w:val="22"/>
              <w:lang w:val="en-US"/>
            </w:rPr>
            <w:t>Syria</w:t>
          </w:r>
        </w:smartTag>
      </w:smartTag>
      <w:r w:rsidRPr="002C75B8">
        <w:rPr>
          <w:sz w:val="22"/>
          <w:lang w:val="en-US"/>
        </w:rPr>
        <w:t xml:space="preserve">. In the 1950s, </w:t>
      </w:r>
      <w:proofErr w:type="spellStart"/>
      <w:r w:rsidRPr="002C75B8">
        <w:rPr>
          <w:sz w:val="22"/>
          <w:lang w:val="en-US"/>
        </w:rPr>
        <w:t>antimalarial</w:t>
      </w:r>
      <w:proofErr w:type="spellEnd"/>
      <w:r w:rsidRPr="002C75B8">
        <w:rPr>
          <w:sz w:val="22"/>
          <w:lang w:val="en-US"/>
        </w:rPr>
        <w:t xml:space="preserve"> spraying caused a considerable decrease of the incidence and during t</w:t>
      </w:r>
      <w:r>
        <w:rPr>
          <w:sz w:val="22"/>
          <w:lang w:val="en-US"/>
        </w:rPr>
        <w:t>he</w:t>
      </w:r>
      <w:r w:rsidRPr="002C75B8">
        <w:rPr>
          <w:sz w:val="22"/>
          <w:lang w:val="en-US"/>
        </w:rPr>
        <w:t xml:space="preserve"> years</w:t>
      </w:r>
      <w:r>
        <w:rPr>
          <w:sz w:val="22"/>
          <w:lang w:val="en-US"/>
        </w:rPr>
        <w:t xml:space="preserve"> that </w:t>
      </w:r>
      <w:proofErr w:type="gramStart"/>
      <w:r>
        <w:rPr>
          <w:sz w:val="22"/>
          <w:lang w:val="en-US"/>
        </w:rPr>
        <w:t>followed</w:t>
      </w:r>
      <w:r w:rsidRPr="002C75B8">
        <w:rPr>
          <w:sz w:val="22"/>
          <w:lang w:val="en-US"/>
        </w:rPr>
        <w:t>,</w:t>
      </w:r>
      <w:proofErr w:type="gramEnd"/>
      <w:r w:rsidRPr="002C75B8">
        <w:rPr>
          <w:sz w:val="22"/>
          <w:lang w:val="en-US"/>
        </w:rPr>
        <w:t xml:space="preserve"> just a few cases were </w:t>
      </w:r>
      <w:r w:rsidRPr="002C75B8">
        <w:rPr>
          <w:color w:val="000000"/>
          <w:sz w:val="22"/>
          <w:lang w:val="en-US"/>
        </w:rPr>
        <w:t xml:space="preserve">reported </w:t>
      </w:r>
      <w:r>
        <w:rPr>
          <w:color w:val="000000"/>
          <w:sz w:val="22"/>
          <w:lang w:val="en-US"/>
        </w:rPr>
        <w:t>[2]</w:t>
      </w:r>
      <w:r w:rsidRPr="002C75B8">
        <w:rPr>
          <w:color w:val="000000"/>
          <w:sz w:val="22"/>
          <w:lang w:val="en-US"/>
        </w:rPr>
        <w:t>.</w:t>
      </w:r>
      <w:r w:rsidRPr="002C75B8">
        <w:rPr>
          <w:sz w:val="22"/>
          <w:lang w:val="en-US"/>
        </w:rPr>
        <w:t xml:space="preserve"> After this decline, in 1985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the number of CL cases started increasing sharply </w:t>
      </w:r>
      <w:r w:rsidRPr="002C75B8">
        <w:rPr>
          <w:color w:val="000000"/>
          <w:sz w:val="22"/>
          <w:lang w:val="en-US"/>
        </w:rPr>
        <w:t xml:space="preserve">again </w:t>
      </w:r>
      <w:r>
        <w:rPr>
          <w:color w:val="000000"/>
          <w:sz w:val="22"/>
          <w:lang w:val="en-US"/>
        </w:rPr>
        <w:t>[3</w:t>
      </w:r>
      <w:proofErr w:type="gramStart"/>
      <w:r>
        <w:rPr>
          <w:color w:val="000000"/>
          <w:sz w:val="22"/>
          <w:lang w:val="en-US"/>
        </w:rPr>
        <w:t>,4</w:t>
      </w:r>
      <w:proofErr w:type="gramEnd"/>
      <w:r>
        <w:rPr>
          <w:color w:val="000000"/>
          <w:sz w:val="22"/>
          <w:lang w:val="en-US"/>
        </w:rPr>
        <w:t>]</w:t>
      </w:r>
      <w:r w:rsidRPr="002C75B8">
        <w:rPr>
          <w:color w:val="000000"/>
          <w:sz w:val="22"/>
          <w:lang w:val="en-US"/>
        </w:rPr>
        <w:t>, with</w:t>
      </w:r>
      <w:r w:rsidRPr="002C75B8">
        <w:rPr>
          <w:sz w:val="22"/>
          <w:lang w:val="en-US"/>
        </w:rPr>
        <w:t xml:space="preserve"> nearly 30,000 cases reported in 2008, almost double the </w:t>
      </w:r>
      <w:r>
        <w:rPr>
          <w:sz w:val="22"/>
          <w:lang w:val="en-US"/>
        </w:rPr>
        <w:t>number</w:t>
      </w:r>
      <w:r w:rsidRPr="002C75B8">
        <w:rPr>
          <w:sz w:val="22"/>
          <w:lang w:val="en-US"/>
        </w:rPr>
        <w:t xml:space="preserve"> of cases</w:t>
      </w:r>
      <w:r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of </w:t>
      </w:r>
      <w:r w:rsidRPr="002C75B8">
        <w:rPr>
          <w:sz w:val="22"/>
          <w:lang w:val="en-US"/>
        </w:rPr>
        <w:t xml:space="preserve"> the previous year</w:t>
      </w:r>
      <w:r>
        <w:rPr>
          <w:sz w:val="22"/>
          <w:lang w:val="en-US"/>
        </w:rPr>
        <w:t>.</w:t>
      </w:r>
    </w:p>
    <w:p w:rsidR="00B54812" w:rsidRPr="002C75B8" w:rsidRDefault="00B54812" w:rsidP="00B54812">
      <w:pPr>
        <w:ind w:left="0" w:firstLine="0"/>
        <w:rPr>
          <w:sz w:val="22"/>
          <w:lang w:val="en-US"/>
        </w:rPr>
      </w:pPr>
    </w:p>
    <w:p w:rsidR="00B54812" w:rsidRDefault="00B54812" w:rsidP="00B54812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CL caused by </w:t>
      </w:r>
      <w:r w:rsidRPr="002C75B8">
        <w:rPr>
          <w:i/>
          <w:iCs/>
          <w:sz w:val="22"/>
          <w:lang w:val="en-US"/>
        </w:rPr>
        <w:t>L.</w:t>
      </w:r>
      <w:r>
        <w:rPr>
          <w:i/>
          <w:iCs/>
          <w:sz w:val="22"/>
          <w:lang w:val="en-US"/>
        </w:rPr>
        <w:t xml:space="preserve"> </w:t>
      </w:r>
      <w:r w:rsidRPr="002C75B8">
        <w:rPr>
          <w:i/>
          <w:iCs/>
          <w:sz w:val="22"/>
          <w:lang w:val="en-US"/>
        </w:rPr>
        <w:t>tropica</w:t>
      </w:r>
      <w:r w:rsidRPr="002C75B8">
        <w:rPr>
          <w:sz w:val="22"/>
          <w:lang w:val="en-US"/>
        </w:rPr>
        <w:t xml:space="preserve"> is still endemic in its traditional home of </w:t>
      </w:r>
      <w:smartTag w:uri="urn:schemas-microsoft-com:office:smarttags" w:element="City">
        <w:r w:rsidRPr="002C75B8">
          <w:rPr>
            <w:sz w:val="22"/>
            <w:lang w:val="en-US"/>
          </w:rPr>
          <w:t>Aleppo</w:t>
        </w:r>
      </w:smartTag>
      <w:r w:rsidRPr="002C75B8">
        <w:rPr>
          <w:sz w:val="22"/>
          <w:lang w:val="en-US"/>
        </w:rPr>
        <w:t xml:space="preserve">, </w:t>
      </w:r>
      <w:r>
        <w:rPr>
          <w:sz w:val="22"/>
          <w:lang w:val="en-US"/>
        </w:rPr>
        <w:t>but</w:t>
      </w:r>
      <w:r w:rsidRPr="002C75B8">
        <w:rPr>
          <w:sz w:val="22"/>
          <w:lang w:val="en-US"/>
        </w:rPr>
        <w:t xml:space="preserve"> also in </w:t>
      </w:r>
      <w:proofErr w:type="spellStart"/>
      <w:r w:rsidRPr="002C75B8">
        <w:rPr>
          <w:sz w:val="22"/>
          <w:lang w:val="en-US"/>
        </w:rPr>
        <w:t>Edlib</w:t>
      </w:r>
      <w:proofErr w:type="spellEnd"/>
      <w:r w:rsidRPr="002C75B8">
        <w:rPr>
          <w:sz w:val="22"/>
          <w:lang w:val="en-US"/>
        </w:rPr>
        <w:t xml:space="preserve">, </w:t>
      </w:r>
      <w:proofErr w:type="spellStart"/>
      <w:r w:rsidRPr="002C75B8">
        <w:rPr>
          <w:sz w:val="22"/>
          <w:lang w:val="en-US"/>
        </w:rPr>
        <w:t>Lattakia</w:t>
      </w:r>
      <w:proofErr w:type="spellEnd"/>
      <w:r w:rsidRPr="002C75B8">
        <w:rPr>
          <w:sz w:val="22"/>
          <w:lang w:val="en-US"/>
        </w:rPr>
        <w:t xml:space="preserve">, </w:t>
      </w:r>
      <w:proofErr w:type="spellStart"/>
      <w:r w:rsidRPr="002C75B8">
        <w:rPr>
          <w:sz w:val="22"/>
          <w:lang w:val="en-US"/>
        </w:rPr>
        <w:t>Tortous</w:t>
      </w:r>
      <w:proofErr w:type="spellEnd"/>
      <w:r w:rsidRPr="002C75B8">
        <w:rPr>
          <w:sz w:val="22"/>
          <w:lang w:val="en-US"/>
        </w:rPr>
        <w:t xml:space="preserve">, </w:t>
      </w:r>
      <w:smartTag w:uri="urn:schemas-microsoft-com:office:smarttags" w:element="City">
        <w:r w:rsidRPr="002C75B8">
          <w:rPr>
            <w:sz w:val="22"/>
            <w:lang w:val="en-US"/>
          </w:rPr>
          <w:t>Hama</w:t>
        </w:r>
      </w:smartTag>
      <w:r w:rsidRPr="002C75B8">
        <w:rPr>
          <w:sz w:val="22"/>
          <w:lang w:val="en-US"/>
        </w:rPr>
        <w:t xml:space="preserve"> and the city of </w:t>
      </w:r>
      <w:smartTag w:uri="urn:schemas-microsoft-com:office:smarttags" w:element="City">
        <w:smartTag w:uri="urn:schemas-microsoft-com:office:smarttags" w:element="place">
          <w:r w:rsidRPr="002C75B8">
            <w:rPr>
              <w:color w:val="000000"/>
              <w:sz w:val="22"/>
              <w:lang w:val="en-US"/>
            </w:rPr>
            <w:t>Damascus</w:t>
          </w:r>
        </w:smartTag>
      </w:smartTag>
      <w:r w:rsidRPr="002C75B8">
        <w:rPr>
          <w:color w:val="000000"/>
          <w:sz w:val="22"/>
          <w:lang w:val="en-US"/>
        </w:rPr>
        <w:t>.</w:t>
      </w:r>
      <w:r w:rsidRPr="002C75B8">
        <w:rPr>
          <w:sz w:val="22"/>
          <w:lang w:val="en-US"/>
        </w:rPr>
        <w:t xml:space="preserve"> It now represents about 90% of all CL cases and is one of the most important public health problems in </w:t>
      </w:r>
      <w:r>
        <w:rPr>
          <w:sz w:val="22"/>
          <w:lang w:val="en-US"/>
        </w:rPr>
        <w:t xml:space="preserve">the </w:t>
      </w:r>
      <w:smartTag w:uri="urn:schemas-microsoft-com:office:smarttags" w:element="PlaceName">
        <w:r w:rsidRPr="002C75B8">
          <w:rPr>
            <w:sz w:val="22"/>
            <w:lang w:val="en-US"/>
          </w:rPr>
          <w:t>Syria</w:t>
        </w:r>
        <w:r>
          <w:rPr>
            <w:sz w:val="22"/>
            <w:lang w:val="en-US"/>
          </w:rPr>
          <w:t>n</w:t>
        </w:r>
      </w:smartTag>
      <w:r>
        <w:rPr>
          <w:sz w:val="22"/>
          <w:lang w:val="en-US"/>
        </w:rPr>
        <w:t xml:space="preserve"> </w:t>
      </w:r>
      <w:smartTag w:uri="urn:schemas-microsoft-com:office:smarttags" w:element="PlaceName">
        <w:r>
          <w:rPr>
            <w:sz w:val="22"/>
            <w:lang w:val="en-US"/>
          </w:rPr>
          <w:t>Arab</w:t>
        </w:r>
      </w:smartTag>
      <w:r>
        <w:rPr>
          <w:sz w:val="22"/>
          <w:lang w:val="en-US"/>
        </w:rPr>
        <w:t xml:space="preserve"> </w:t>
      </w:r>
      <w:smartTag w:uri="urn:schemas-microsoft-com:office:smarttags" w:element="PlaceType">
        <w:r>
          <w:rPr>
            <w:sz w:val="22"/>
            <w:lang w:val="en-US"/>
          </w:rPr>
          <w:t>Republic</w:t>
        </w:r>
      </w:smartTag>
      <w:r w:rsidRPr="002C75B8">
        <w:rPr>
          <w:sz w:val="22"/>
          <w:lang w:val="en-US"/>
        </w:rPr>
        <w:t xml:space="preserve">, especially in </w:t>
      </w:r>
      <w:smartTag w:uri="urn:schemas-microsoft-com:office:smarttags" w:element="City">
        <w:smartTag w:uri="urn:schemas-microsoft-com:office:smarttags" w:element="place">
          <w:r w:rsidRPr="002C75B8">
            <w:rPr>
              <w:sz w:val="22"/>
              <w:lang w:val="en-US"/>
            </w:rPr>
            <w:t>Aleppo</w:t>
          </w:r>
        </w:smartTag>
      </w:smartTag>
      <w:r w:rsidRPr="002C75B8">
        <w:rPr>
          <w:color w:val="E36C0A"/>
          <w:sz w:val="22"/>
          <w:lang w:val="en-US"/>
        </w:rPr>
        <w:t xml:space="preserve">. </w:t>
      </w:r>
      <w:r w:rsidRPr="002C75B8">
        <w:rPr>
          <w:sz w:val="22"/>
          <w:lang w:val="en-US"/>
        </w:rPr>
        <w:t xml:space="preserve">The population density in urban areas of </w:t>
      </w:r>
      <w:r>
        <w:rPr>
          <w:sz w:val="22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2C75B8">
            <w:rPr>
              <w:sz w:val="22"/>
              <w:lang w:val="en-US"/>
            </w:rPr>
            <w:t>Syria</w:t>
          </w:r>
          <w:r>
            <w:rPr>
              <w:sz w:val="22"/>
              <w:lang w:val="en-US"/>
            </w:rPr>
            <w:t>n</w:t>
          </w:r>
        </w:smartTag>
        <w:r>
          <w:rPr>
            <w:sz w:val="22"/>
            <w:lang w:val="en-US"/>
          </w:rPr>
          <w:t xml:space="preserve"> </w:t>
        </w:r>
        <w:smartTag w:uri="urn:schemas-microsoft-com:office:smarttags" w:element="PlaceName">
          <w:r>
            <w:rPr>
              <w:sz w:val="22"/>
              <w:lang w:val="en-US"/>
            </w:rPr>
            <w:t>Arab</w:t>
          </w:r>
        </w:smartTag>
        <w:r>
          <w:rPr>
            <w:sz w:val="22"/>
            <w:lang w:val="en-US"/>
          </w:rPr>
          <w:t xml:space="preserve"> </w:t>
        </w:r>
        <w:smartTag w:uri="urn:schemas-microsoft-com:office:smarttags" w:element="PlaceType">
          <w:r>
            <w:rPr>
              <w:sz w:val="22"/>
              <w:lang w:val="en-US"/>
            </w:rPr>
            <w:t>Republic</w:t>
          </w:r>
        </w:smartTag>
      </w:smartTag>
      <w:r w:rsidRPr="002C75B8">
        <w:rPr>
          <w:sz w:val="22"/>
          <w:lang w:val="en-US"/>
        </w:rPr>
        <w:t xml:space="preserve"> has increased, as well as population movement across the country, which could explain the rise in cases. As a recent survey estimated that 20% of cases are not reported </w:t>
      </w:r>
      <w:r>
        <w:rPr>
          <w:sz w:val="22"/>
          <w:lang w:val="en-US"/>
        </w:rPr>
        <w:t>or</w:t>
      </w:r>
      <w:r w:rsidRPr="002C75B8">
        <w:rPr>
          <w:sz w:val="22"/>
          <w:lang w:val="en-US"/>
        </w:rPr>
        <w:t xml:space="preserve"> treated, a considerable human reservoir exists. </w:t>
      </w:r>
    </w:p>
    <w:p w:rsidR="00B54812" w:rsidRPr="002C75B8" w:rsidRDefault="00B54812" w:rsidP="00B54812">
      <w:pPr>
        <w:ind w:left="0" w:firstLine="0"/>
        <w:rPr>
          <w:sz w:val="22"/>
          <w:lang w:val="en-US"/>
        </w:rPr>
      </w:pPr>
    </w:p>
    <w:p w:rsidR="00B54812" w:rsidRDefault="00B54812" w:rsidP="00B54812">
      <w:pPr>
        <w:ind w:left="0" w:firstLine="0"/>
        <w:rPr>
          <w:color w:val="000000"/>
          <w:sz w:val="22"/>
          <w:lang w:val="en-US"/>
        </w:rPr>
      </w:pPr>
      <w:r w:rsidRPr="002C75B8">
        <w:rPr>
          <w:sz w:val="22"/>
          <w:lang w:val="en-US"/>
        </w:rPr>
        <w:lastRenderedPageBreak/>
        <w:t xml:space="preserve">CL caused by </w:t>
      </w:r>
      <w:proofErr w:type="spellStart"/>
      <w:r w:rsidRPr="002C75B8">
        <w:rPr>
          <w:i/>
          <w:iCs/>
          <w:sz w:val="22"/>
          <w:lang w:val="en-US"/>
        </w:rPr>
        <w:t>L.major</w:t>
      </w:r>
      <w:proofErr w:type="spellEnd"/>
      <w:r w:rsidRPr="002C75B8">
        <w:rPr>
          <w:sz w:val="22"/>
          <w:lang w:val="en-US"/>
        </w:rPr>
        <w:t xml:space="preserve"> is less common and occurs in rural areas close to </w:t>
      </w:r>
      <w:smartTag w:uri="urn:schemas-microsoft-com:office:smarttags" w:element="City">
        <w:smartTag w:uri="urn:schemas-microsoft-com:office:smarttags" w:element="place">
          <w:r w:rsidRPr="002C75B8">
            <w:rPr>
              <w:sz w:val="22"/>
              <w:lang w:val="en-US"/>
            </w:rPr>
            <w:t>Damascus</w:t>
          </w:r>
        </w:smartTag>
      </w:smartTag>
      <w:r w:rsidRPr="002C75B8">
        <w:rPr>
          <w:sz w:val="22"/>
          <w:lang w:val="en-US"/>
        </w:rPr>
        <w:t xml:space="preserve">, </w:t>
      </w:r>
      <w:proofErr w:type="spellStart"/>
      <w:r w:rsidRPr="002C75B8">
        <w:rPr>
          <w:sz w:val="22"/>
          <w:lang w:val="en-US"/>
        </w:rPr>
        <w:t>Deir</w:t>
      </w:r>
      <w:proofErr w:type="spellEnd"/>
      <w:r w:rsidRPr="002C75B8">
        <w:rPr>
          <w:sz w:val="22"/>
          <w:lang w:val="en-US"/>
        </w:rPr>
        <w:t xml:space="preserve"> al </w:t>
      </w:r>
      <w:proofErr w:type="spellStart"/>
      <w:r w:rsidRPr="002C75B8">
        <w:rPr>
          <w:sz w:val="22"/>
          <w:lang w:val="en-US"/>
        </w:rPr>
        <w:t>Zour</w:t>
      </w:r>
      <w:proofErr w:type="spellEnd"/>
      <w:r w:rsidRPr="002C75B8">
        <w:rPr>
          <w:sz w:val="22"/>
          <w:lang w:val="en-US"/>
        </w:rPr>
        <w:t xml:space="preserve"> and Al </w:t>
      </w:r>
      <w:proofErr w:type="spellStart"/>
      <w:r w:rsidRPr="002C75B8">
        <w:rPr>
          <w:color w:val="000000"/>
          <w:sz w:val="22"/>
          <w:lang w:val="en-US"/>
        </w:rPr>
        <w:t>Hasakeh</w:t>
      </w:r>
      <w:proofErr w:type="spellEnd"/>
      <w:r>
        <w:rPr>
          <w:color w:val="000000"/>
          <w:sz w:val="22"/>
          <w:lang w:val="en-US"/>
        </w:rPr>
        <w:t xml:space="preserve"> [5]</w:t>
      </w:r>
      <w:r w:rsidRPr="002C75B8">
        <w:rPr>
          <w:color w:val="000000"/>
          <w:sz w:val="22"/>
          <w:lang w:val="en-US"/>
        </w:rPr>
        <w:t>.</w:t>
      </w:r>
    </w:p>
    <w:p w:rsidR="00B54812" w:rsidRPr="002C75B8" w:rsidRDefault="00B54812" w:rsidP="00B54812">
      <w:pPr>
        <w:ind w:left="0" w:firstLine="0"/>
        <w:rPr>
          <w:color w:val="000000"/>
          <w:sz w:val="22"/>
          <w:lang w:val="en-US"/>
        </w:rPr>
      </w:pPr>
    </w:p>
    <w:p w:rsidR="00B54812" w:rsidRPr="002C75B8" w:rsidRDefault="00B54812" w:rsidP="00B54812">
      <w:pPr>
        <w:ind w:left="0" w:firstLine="0"/>
        <w:rPr>
          <w:sz w:val="22"/>
          <w:lang w:val="en-US"/>
        </w:rPr>
      </w:pPr>
      <w:r>
        <w:rPr>
          <w:sz w:val="22"/>
          <w:lang w:val="en-US"/>
        </w:rPr>
        <w:t>N</w:t>
      </w:r>
      <w:r w:rsidRPr="002C75B8">
        <w:rPr>
          <w:sz w:val="22"/>
          <w:lang w:val="en-US"/>
        </w:rPr>
        <w:t>o cases of HIV/</w:t>
      </w:r>
      <w:r w:rsidRPr="002C75B8">
        <w:rPr>
          <w:i/>
          <w:iCs/>
          <w:sz w:val="22"/>
          <w:lang w:val="en-US"/>
        </w:rPr>
        <w:t>Leishmania</w:t>
      </w:r>
      <w:r w:rsidRPr="002C75B8">
        <w:rPr>
          <w:sz w:val="22"/>
          <w:lang w:val="en-US"/>
        </w:rPr>
        <w:t xml:space="preserve"> co</w:t>
      </w:r>
      <w:r>
        <w:rPr>
          <w:sz w:val="22"/>
          <w:lang w:val="en-US"/>
        </w:rPr>
        <w:t>-</w:t>
      </w:r>
      <w:r w:rsidRPr="002C75B8">
        <w:rPr>
          <w:sz w:val="22"/>
          <w:lang w:val="en-US"/>
        </w:rPr>
        <w:t xml:space="preserve">infection </w:t>
      </w:r>
      <w:r>
        <w:rPr>
          <w:sz w:val="22"/>
          <w:lang w:val="en-US"/>
        </w:rPr>
        <w:t xml:space="preserve">are </w:t>
      </w:r>
      <w:r w:rsidRPr="002C75B8">
        <w:rPr>
          <w:sz w:val="22"/>
          <w:lang w:val="en-US"/>
        </w:rPr>
        <w:t>reported.</w:t>
      </w:r>
    </w:p>
    <w:p w:rsidR="00B54812" w:rsidRPr="002C75B8" w:rsidRDefault="00B54812" w:rsidP="00B54812">
      <w:pPr>
        <w:ind w:left="0" w:firstLine="0"/>
        <w:rPr>
          <w:sz w:val="22"/>
          <w:lang w:val="en-GB"/>
        </w:rPr>
      </w:pPr>
      <w:r w:rsidRPr="002C75B8">
        <w:rPr>
          <w:sz w:val="22"/>
          <w:lang w:val="en-GB"/>
        </w:rPr>
        <w:t xml:space="preserve"> </w:t>
      </w:r>
    </w:p>
    <w:p w:rsidR="00B54812" w:rsidRPr="002C75B8" w:rsidRDefault="00B54812" w:rsidP="00B54812">
      <w:pPr>
        <w:ind w:left="0" w:firstLine="0"/>
        <w:rPr>
          <w:sz w:val="22"/>
          <w:lang w:val="en-GB"/>
        </w:rPr>
      </w:pPr>
    </w:p>
    <w:p w:rsidR="00B54812" w:rsidRPr="002C75B8" w:rsidRDefault="00B54812" w:rsidP="00B54812">
      <w:pPr>
        <w:ind w:left="0" w:firstLine="0"/>
        <w:rPr>
          <w:b/>
          <w:bCs/>
          <w:sz w:val="22"/>
        </w:rPr>
      </w:pPr>
      <w:r w:rsidRPr="002C75B8">
        <w:rPr>
          <w:b/>
          <w:bCs/>
          <w:sz w:val="22"/>
        </w:rPr>
        <w:t>PARASITOLOGICAL INFORMATION</w:t>
      </w:r>
    </w:p>
    <w:p w:rsidR="00B54812" w:rsidRPr="002C75B8" w:rsidRDefault="00B54812" w:rsidP="00B54812">
      <w:pPr>
        <w:ind w:left="0" w:firstLine="0"/>
        <w:rPr>
          <w:sz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1723"/>
        <w:gridCol w:w="2789"/>
        <w:gridCol w:w="2507"/>
      </w:tblGrid>
      <w:tr w:rsidR="00B54812" w:rsidRPr="002C75B8" w:rsidTr="00A7768B">
        <w:tc>
          <w:tcPr>
            <w:tcW w:w="2269" w:type="dxa"/>
            <w:vAlign w:val="center"/>
          </w:tcPr>
          <w:p w:rsidR="00B54812" w:rsidRPr="002C75B8" w:rsidRDefault="00B54812" w:rsidP="00A7768B">
            <w:pPr>
              <w:ind w:left="0" w:firstLine="0"/>
              <w:jc w:val="center"/>
              <w:rPr>
                <w:sz w:val="22"/>
              </w:rPr>
            </w:pPr>
            <w:r w:rsidRPr="002C75B8">
              <w:rPr>
                <w:b/>
                <w:bCs/>
                <w:i/>
                <w:iCs/>
                <w:sz w:val="22"/>
              </w:rPr>
              <w:t xml:space="preserve">Leishmania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1723" w:type="dxa"/>
            <w:vAlign w:val="center"/>
          </w:tcPr>
          <w:p w:rsidR="00B54812" w:rsidRPr="002C75B8" w:rsidRDefault="00B54812" w:rsidP="00A7768B">
            <w:pPr>
              <w:ind w:left="0" w:firstLine="0"/>
              <w:jc w:val="center"/>
              <w:rPr>
                <w:sz w:val="22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Clinical</w:t>
            </w:r>
            <w:proofErr w:type="spellEnd"/>
            <w:r w:rsidRPr="002C75B8">
              <w:rPr>
                <w:b/>
                <w:bCs/>
                <w:sz w:val="22"/>
              </w:rPr>
              <w:t xml:space="preserve"> </w:t>
            </w:r>
            <w:proofErr w:type="spellStart"/>
            <w:r w:rsidRPr="002C75B8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2789" w:type="dxa"/>
            <w:vAlign w:val="center"/>
          </w:tcPr>
          <w:p w:rsidR="00B54812" w:rsidRPr="002C75B8" w:rsidRDefault="00B54812" w:rsidP="00A7768B">
            <w:pPr>
              <w:ind w:left="0" w:firstLine="0"/>
              <w:jc w:val="center"/>
              <w:rPr>
                <w:sz w:val="22"/>
              </w:rPr>
            </w:pPr>
            <w:r w:rsidRPr="002C75B8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507" w:type="dxa"/>
            <w:vAlign w:val="center"/>
          </w:tcPr>
          <w:p w:rsidR="00B54812" w:rsidRPr="002C75B8" w:rsidRDefault="00B54812" w:rsidP="00A7768B">
            <w:pPr>
              <w:ind w:left="0" w:firstLine="0"/>
              <w:jc w:val="center"/>
              <w:rPr>
                <w:sz w:val="22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B54812" w:rsidRPr="002C75B8" w:rsidTr="00A7768B">
        <w:tc>
          <w:tcPr>
            <w:tcW w:w="2269" w:type="dxa"/>
            <w:vAlign w:val="center"/>
          </w:tcPr>
          <w:p w:rsidR="00B54812" w:rsidRPr="002C75B8" w:rsidRDefault="00B54812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L. tropica</w:t>
            </w:r>
          </w:p>
        </w:tc>
        <w:tc>
          <w:tcPr>
            <w:tcW w:w="1723" w:type="dxa"/>
            <w:vAlign w:val="center"/>
          </w:tcPr>
          <w:p w:rsidR="00B54812" w:rsidRPr="002C75B8" w:rsidRDefault="00B54812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ACL</w:t>
            </w:r>
          </w:p>
        </w:tc>
        <w:tc>
          <w:tcPr>
            <w:tcW w:w="2789" w:type="dxa"/>
            <w:vAlign w:val="center"/>
          </w:tcPr>
          <w:p w:rsidR="00B54812" w:rsidRPr="002C75B8" w:rsidRDefault="00B54812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P. </w:t>
            </w:r>
            <w:proofErr w:type="spellStart"/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sergenti</w:t>
            </w:r>
            <w:proofErr w:type="spellEnd"/>
          </w:p>
        </w:tc>
        <w:tc>
          <w:tcPr>
            <w:tcW w:w="2507" w:type="dxa"/>
            <w:vAlign w:val="center"/>
          </w:tcPr>
          <w:p w:rsidR="00B54812" w:rsidRPr="002C75B8" w:rsidRDefault="00B54812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Human</w:t>
            </w:r>
          </w:p>
        </w:tc>
      </w:tr>
      <w:tr w:rsidR="00B54812" w:rsidRPr="0093309E" w:rsidTr="00A7768B">
        <w:tc>
          <w:tcPr>
            <w:tcW w:w="2269" w:type="dxa"/>
            <w:vAlign w:val="center"/>
          </w:tcPr>
          <w:p w:rsidR="00B54812" w:rsidRPr="002C75B8" w:rsidRDefault="00B54812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L. major</w:t>
            </w:r>
          </w:p>
        </w:tc>
        <w:tc>
          <w:tcPr>
            <w:tcW w:w="1723" w:type="dxa"/>
            <w:vAlign w:val="center"/>
          </w:tcPr>
          <w:p w:rsidR="00B54812" w:rsidRPr="002C75B8" w:rsidRDefault="00B54812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ZCL</w:t>
            </w:r>
          </w:p>
        </w:tc>
        <w:tc>
          <w:tcPr>
            <w:tcW w:w="2789" w:type="dxa"/>
            <w:vAlign w:val="center"/>
          </w:tcPr>
          <w:p w:rsidR="00B54812" w:rsidRPr="002C75B8" w:rsidRDefault="00B54812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P. </w:t>
            </w:r>
            <w:proofErr w:type="spellStart"/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papatasi</w:t>
            </w:r>
            <w:proofErr w:type="spellEnd"/>
          </w:p>
        </w:tc>
        <w:tc>
          <w:tcPr>
            <w:tcW w:w="2507" w:type="dxa"/>
            <w:vAlign w:val="center"/>
          </w:tcPr>
          <w:p w:rsidR="00B54812" w:rsidRPr="0093309E" w:rsidRDefault="00B54812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</w:pPr>
            <w:proofErr w:type="spellStart"/>
            <w:r w:rsidRPr="0093309E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Psam</w:t>
            </w:r>
            <w:r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momys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3309E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obesus</w:t>
            </w:r>
            <w:proofErr w:type="spellEnd"/>
            <w:r w:rsidRPr="0093309E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93309E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Meriones</w:t>
            </w:r>
            <w:proofErr w:type="spellEnd"/>
            <w:r w:rsidRPr="0093309E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 spp.,  </w:t>
            </w:r>
          </w:p>
          <w:p w:rsidR="00B54812" w:rsidRPr="0093309E" w:rsidRDefault="00B54812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309E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esokia</w:t>
            </w:r>
            <w:proofErr w:type="spellEnd"/>
            <w:r w:rsidRPr="0093309E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3309E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indica</w:t>
            </w:r>
            <w:proofErr w:type="spellEnd"/>
          </w:p>
        </w:tc>
      </w:tr>
      <w:tr w:rsidR="00B54812" w:rsidRPr="0093309E" w:rsidTr="00A7768B">
        <w:tc>
          <w:tcPr>
            <w:tcW w:w="2269" w:type="dxa"/>
            <w:vAlign w:val="center"/>
          </w:tcPr>
          <w:p w:rsidR="00B54812" w:rsidRPr="002C75B8" w:rsidRDefault="00B54812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L. infantum</w:t>
            </w:r>
          </w:p>
        </w:tc>
        <w:tc>
          <w:tcPr>
            <w:tcW w:w="1723" w:type="dxa"/>
            <w:vAlign w:val="center"/>
          </w:tcPr>
          <w:p w:rsidR="00B54812" w:rsidRPr="002C75B8" w:rsidRDefault="00B54812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ZVL</w:t>
            </w:r>
          </w:p>
        </w:tc>
        <w:tc>
          <w:tcPr>
            <w:tcW w:w="2789" w:type="dxa"/>
            <w:vAlign w:val="center"/>
          </w:tcPr>
          <w:p w:rsidR="00B54812" w:rsidRPr="002C75B8" w:rsidRDefault="00B54812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P. </w:t>
            </w:r>
            <w:proofErr w:type="spellStart"/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galilaeus</w:t>
            </w:r>
            <w:proofErr w:type="spellEnd"/>
            <w:r w:rsidRPr="002C75B8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, </w:t>
            </w: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P. </w:t>
            </w:r>
            <w:proofErr w:type="spellStart"/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syriacus</w:t>
            </w:r>
            <w:proofErr w:type="spellEnd"/>
            <w:r w:rsidRPr="002C75B8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, </w:t>
            </w: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P. </w:t>
            </w:r>
            <w:proofErr w:type="spellStart"/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tobbi</w:t>
            </w:r>
            <w:proofErr w:type="spellEnd"/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,</w:t>
            </w:r>
            <w:r w:rsidRPr="002C75B8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P. </w:t>
            </w:r>
            <w:proofErr w:type="spellStart"/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halepensis</w:t>
            </w:r>
            <w:proofErr w:type="spellEnd"/>
          </w:p>
        </w:tc>
        <w:tc>
          <w:tcPr>
            <w:tcW w:w="2507" w:type="dxa"/>
            <w:vAlign w:val="center"/>
          </w:tcPr>
          <w:p w:rsidR="00B54812" w:rsidRPr="00F6118A" w:rsidRDefault="00B54812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F6118A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Canis</w:t>
            </w:r>
            <w:proofErr w:type="spellEnd"/>
            <w:r w:rsidRPr="00F6118A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F6118A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familiaris</w:t>
            </w:r>
            <w:proofErr w:type="spellEnd"/>
          </w:p>
        </w:tc>
      </w:tr>
    </w:tbl>
    <w:p w:rsidR="00B54812" w:rsidRPr="0093309E" w:rsidRDefault="00B54812" w:rsidP="00B54812">
      <w:pPr>
        <w:ind w:left="0" w:firstLine="0"/>
        <w:rPr>
          <w:b/>
          <w:bCs/>
          <w:sz w:val="22"/>
          <w:lang w:val="en-US"/>
        </w:rPr>
      </w:pPr>
    </w:p>
    <w:p w:rsidR="00B54812" w:rsidRPr="0093309E" w:rsidRDefault="00B54812" w:rsidP="00B54812">
      <w:pPr>
        <w:ind w:left="0" w:firstLine="0"/>
        <w:rPr>
          <w:b/>
          <w:bCs/>
          <w:sz w:val="22"/>
          <w:lang w:val="en-US"/>
        </w:rPr>
      </w:pPr>
    </w:p>
    <w:p w:rsidR="00B54812" w:rsidRPr="002C75B8" w:rsidRDefault="00B54812" w:rsidP="00B54812">
      <w:pPr>
        <w:ind w:left="0" w:firstLine="0"/>
        <w:rPr>
          <w:b/>
          <w:bCs/>
          <w:sz w:val="22"/>
          <w:lang w:val="en-GB"/>
        </w:rPr>
      </w:pPr>
      <w:r w:rsidRPr="002C75B8">
        <w:rPr>
          <w:b/>
          <w:bCs/>
          <w:sz w:val="22"/>
          <w:lang w:val="en-GB"/>
        </w:rPr>
        <w:t>MAPS AND TRENDS</w:t>
      </w:r>
    </w:p>
    <w:p w:rsidR="00B54812" w:rsidRPr="002C75B8" w:rsidRDefault="00B54812" w:rsidP="00B54812">
      <w:pPr>
        <w:ind w:left="0" w:firstLine="0"/>
        <w:rPr>
          <w:b/>
          <w:bCs/>
          <w:sz w:val="22"/>
          <w:lang w:val="en-GB"/>
        </w:rPr>
      </w:pPr>
    </w:p>
    <w:p w:rsidR="00B54812" w:rsidRPr="002C75B8" w:rsidRDefault="00B54812" w:rsidP="00B54812">
      <w:pPr>
        <w:ind w:left="0" w:firstLine="0"/>
        <w:rPr>
          <w:b/>
          <w:bCs/>
          <w:sz w:val="22"/>
          <w:lang w:val="en-GB"/>
        </w:rPr>
      </w:pPr>
      <w:r w:rsidRPr="002C75B8">
        <w:rPr>
          <w:b/>
          <w:bCs/>
          <w:sz w:val="22"/>
          <w:lang w:val="en-GB"/>
        </w:rPr>
        <w:t>Visceral leishmaniasis</w:t>
      </w:r>
    </w:p>
    <w:p w:rsidR="00B54812" w:rsidRDefault="00B54812" w:rsidP="00B54812">
      <w:pPr>
        <w:ind w:left="0" w:firstLine="0"/>
        <w:rPr>
          <w:sz w:val="22"/>
          <w:lang w:val="es-ES"/>
        </w:rPr>
      </w:pPr>
    </w:p>
    <w:p w:rsidR="00B54812" w:rsidRDefault="00B54812" w:rsidP="00B54812">
      <w:pPr>
        <w:ind w:left="0" w:firstLine="0"/>
        <w:rPr>
          <w:sz w:val="22"/>
          <w:lang w:val="es-ES"/>
        </w:rPr>
      </w:pPr>
      <w:r>
        <w:rPr>
          <w:noProof/>
          <w:sz w:val="22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1270</wp:posOffset>
            </wp:positionV>
            <wp:extent cx="2783205" cy="1969135"/>
            <wp:effectExtent l="19050" t="0" r="0" b="0"/>
            <wp:wrapNone/>
            <wp:docPr id="6" name="Picture 6" descr="SYVLIR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YVLIRmo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1270</wp:posOffset>
            </wp:positionV>
            <wp:extent cx="2799080" cy="1978660"/>
            <wp:effectExtent l="19050" t="0" r="1270" b="0"/>
            <wp:wrapNone/>
            <wp:docPr id="5" name="Picture 5" descr="SYVLm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YVLmod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97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812" w:rsidRDefault="00B54812" w:rsidP="00B54812">
      <w:pPr>
        <w:ind w:left="0" w:firstLine="0"/>
        <w:rPr>
          <w:sz w:val="22"/>
          <w:lang w:val="es-ES"/>
        </w:rPr>
      </w:pPr>
    </w:p>
    <w:p w:rsidR="00B54812" w:rsidRDefault="00B54812" w:rsidP="00B54812">
      <w:pPr>
        <w:ind w:left="0" w:firstLine="0"/>
        <w:rPr>
          <w:sz w:val="22"/>
          <w:lang w:val="es-ES"/>
        </w:rPr>
      </w:pPr>
    </w:p>
    <w:p w:rsidR="00B54812" w:rsidRDefault="00B54812" w:rsidP="00B54812">
      <w:pPr>
        <w:ind w:left="0" w:firstLine="0"/>
        <w:rPr>
          <w:sz w:val="22"/>
          <w:lang w:val="es-ES"/>
        </w:rPr>
      </w:pPr>
    </w:p>
    <w:p w:rsidR="00B54812" w:rsidRDefault="00B54812" w:rsidP="00B54812">
      <w:pPr>
        <w:ind w:left="0" w:firstLine="0"/>
        <w:rPr>
          <w:sz w:val="22"/>
          <w:lang w:val="es-ES"/>
        </w:rPr>
      </w:pPr>
    </w:p>
    <w:p w:rsidR="00B54812" w:rsidRDefault="00B54812" w:rsidP="00B54812">
      <w:pPr>
        <w:ind w:left="0" w:firstLine="0"/>
        <w:rPr>
          <w:sz w:val="22"/>
          <w:lang w:val="es-ES"/>
        </w:rPr>
      </w:pPr>
    </w:p>
    <w:p w:rsidR="00B54812" w:rsidRDefault="00B54812" w:rsidP="00B54812">
      <w:pPr>
        <w:ind w:left="0" w:firstLine="0"/>
        <w:rPr>
          <w:sz w:val="22"/>
          <w:lang w:val="es-ES"/>
        </w:rPr>
      </w:pPr>
    </w:p>
    <w:p w:rsidR="00B54812" w:rsidRDefault="00B54812" w:rsidP="00B54812">
      <w:pPr>
        <w:ind w:left="0" w:firstLine="0"/>
        <w:rPr>
          <w:sz w:val="22"/>
          <w:lang w:val="es-ES"/>
        </w:rPr>
      </w:pPr>
    </w:p>
    <w:p w:rsidR="00B54812" w:rsidRDefault="00B54812" w:rsidP="00B54812">
      <w:pPr>
        <w:ind w:left="0" w:firstLine="0"/>
        <w:rPr>
          <w:sz w:val="22"/>
          <w:lang w:val="es-ES"/>
        </w:rPr>
      </w:pPr>
    </w:p>
    <w:p w:rsidR="00B54812" w:rsidRDefault="00B54812" w:rsidP="00B54812">
      <w:pPr>
        <w:ind w:left="0" w:firstLine="0"/>
        <w:rPr>
          <w:sz w:val="22"/>
          <w:lang w:val="es-ES"/>
        </w:rPr>
      </w:pPr>
    </w:p>
    <w:p w:rsidR="00B54812" w:rsidRDefault="00B54812" w:rsidP="00B54812">
      <w:pPr>
        <w:ind w:left="0" w:firstLine="0"/>
        <w:rPr>
          <w:sz w:val="22"/>
          <w:lang w:val="es-ES"/>
        </w:rPr>
      </w:pPr>
    </w:p>
    <w:p w:rsidR="00B54812" w:rsidRDefault="00B54812" w:rsidP="00B54812">
      <w:pPr>
        <w:ind w:left="0" w:firstLine="0"/>
        <w:rPr>
          <w:sz w:val="22"/>
          <w:lang w:val="es-ES"/>
        </w:rPr>
      </w:pPr>
    </w:p>
    <w:p w:rsidR="00B54812" w:rsidRDefault="00B54812" w:rsidP="00B54812">
      <w:pPr>
        <w:ind w:left="0" w:firstLine="0"/>
        <w:rPr>
          <w:sz w:val="22"/>
          <w:lang w:val="es-ES"/>
        </w:rPr>
      </w:pPr>
    </w:p>
    <w:p w:rsidR="00B54812" w:rsidRPr="002C75B8" w:rsidRDefault="00B54812" w:rsidP="00B54812">
      <w:pPr>
        <w:ind w:left="0" w:firstLine="0"/>
        <w:rPr>
          <w:b/>
          <w:bCs/>
          <w:sz w:val="22"/>
        </w:rPr>
      </w:pPr>
      <w:r>
        <w:rPr>
          <w:b/>
          <w:bCs/>
          <w:sz w:val="22"/>
        </w:rPr>
        <w:t>C</w:t>
      </w:r>
      <w:r w:rsidRPr="002C75B8">
        <w:rPr>
          <w:b/>
          <w:bCs/>
          <w:sz w:val="22"/>
        </w:rPr>
        <w:t>utaneous leishmaniasis</w:t>
      </w:r>
    </w:p>
    <w:p w:rsidR="00B54812" w:rsidRPr="002C75B8" w:rsidRDefault="00B54812" w:rsidP="00B54812">
      <w:pPr>
        <w:ind w:left="0" w:firstLine="0"/>
        <w:rPr>
          <w:sz w:val="22"/>
        </w:rPr>
      </w:pPr>
      <w:r>
        <w:rPr>
          <w:noProof/>
          <w:sz w:val="22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38735</wp:posOffset>
            </wp:positionV>
            <wp:extent cx="2768600" cy="1957705"/>
            <wp:effectExtent l="19050" t="0" r="0" b="0"/>
            <wp:wrapNone/>
            <wp:docPr id="7" name="Picture 7" descr="SYCLm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YCLmod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95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38735</wp:posOffset>
            </wp:positionV>
            <wp:extent cx="2815590" cy="1988820"/>
            <wp:effectExtent l="19050" t="0" r="3810" b="0"/>
            <wp:wrapNone/>
            <wp:docPr id="8" name="Picture 8" descr="SYCLIR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YCLIRmo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198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812" w:rsidRPr="002C75B8" w:rsidRDefault="00B54812" w:rsidP="00B54812">
      <w:pPr>
        <w:ind w:left="0" w:firstLine="0"/>
        <w:rPr>
          <w:b/>
          <w:bCs/>
          <w:sz w:val="22"/>
        </w:rPr>
      </w:pPr>
      <w:r w:rsidRPr="002C75B8">
        <w:rPr>
          <w:sz w:val="22"/>
        </w:rPr>
        <w:br w:type="page"/>
      </w:r>
      <w:r w:rsidRPr="002C75B8">
        <w:rPr>
          <w:b/>
          <w:bCs/>
          <w:sz w:val="22"/>
        </w:rPr>
        <w:lastRenderedPageBreak/>
        <w:t xml:space="preserve">Visceral leishmaniasis </w:t>
      </w:r>
      <w:proofErr w:type="spellStart"/>
      <w:r w:rsidRPr="002C75B8">
        <w:rPr>
          <w:b/>
          <w:bCs/>
          <w:sz w:val="22"/>
        </w:rPr>
        <w:t>trend</w:t>
      </w:r>
      <w:proofErr w:type="spellEnd"/>
    </w:p>
    <w:p w:rsidR="00B54812" w:rsidRDefault="00B54812" w:rsidP="00B54812">
      <w:pPr>
        <w:ind w:left="0" w:firstLine="0"/>
        <w:rPr>
          <w:b/>
          <w:bCs/>
          <w:sz w:val="22"/>
        </w:rPr>
      </w:pPr>
      <w:r>
        <w:rPr>
          <w:b/>
          <w:bCs/>
          <w:noProof/>
          <w:sz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67945</wp:posOffset>
            </wp:positionV>
            <wp:extent cx="6743700" cy="2854960"/>
            <wp:effectExtent l="0" t="0" r="0" b="0"/>
            <wp:wrapNone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B54812" w:rsidRDefault="00B54812" w:rsidP="00B54812">
      <w:pPr>
        <w:ind w:left="0" w:firstLine="0"/>
        <w:rPr>
          <w:b/>
          <w:bCs/>
          <w:sz w:val="22"/>
        </w:rPr>
      </w:pPr>
    </w:p>
    <w:p w:rsidR="00B54812" w:rsidRDefault="00B54812" w:rsidP="00B54812">
      <w:pPr>
        <w:ind w:left="0" w:firstLine="0"/>
        <w:rPr>
          <w:b/>
          <w:bCs/>
          <w:sz w:val="22"/>
        </w:rPr>
      </w:pPr>
    </w:p>
    <w:p w:rsidR="00B54812" w:rsidRDefault="00B54812" w:rsidP="00B54812">
      <w:pPr>
        <w:ind w:left="0" w:firstLine="0"/>
        <w:rPr>
          <w:b/>
          <w:bCs/>
          <w:sz w:val="22"/>
        </w:rPr>
      </w:pPr>
    </w:p>
    <w:p w:rsidR="00B54812" w:rsidRDefault="00B54812" w:rsidP="00B54812">
      <w:pPr>
        <w:ind w:left="0" w:firstLine="0"/>
        <w:rPr>
          <w:b/>
          <w:bCs/>
          <w:sz w:val="22"/>
        </w:rPr>
      </w:pPr>
    </w:p>
    <w:p w:rsidR="00B54812" w:rsidRDefault="00B54812" w:rsidP="00B54812">
      <w:pPr>
        <w:ind w:left="0" w:firstLine="0"/>
        <w:rPr>
          <w:b/>
          <w:bCs/>
          <w:sz w:val="22"/>
        </w:rPr>
      </w:pPr>
    </w:p>
    <w:p w:rsidR="00B54812" w:rsidRDefault="00B54812" w:rsidP="00B54812">
      <w:pPr>
        <w:ind w:left="0" w:firstLine="0"/>
        <w:rPr>
          <w:b/>
          <w:bCs/>
          <w:sz w:val="22"/>
        </w:rPr>
      </w:pPr>
    </w:p>
    <w:p w:rsidR="00B54812" w:rsidRDefault="00B54812" w:rsidP="00B54812">
      <w:pPr>
        <w:ind w:left="0" w:firstLine="0"/>
        <w:rPr>
          <w:b/>
          <w:bCs/>
          <w:sz w:val="22"/>
        </w:rPr>
      </w:pPr>
    </w:p>
    <w:p w:rsidR="00B54812" w:rsidRDefault="00B54812" w:rsidP="00B54812">
      <w:pPr>
        <w:ind w:left="0" w:firstLine="0"/>
        <w:rPr>
          <w:b/>
          <w:bCs/>
          <w:sz w:val="22"/>
        </w:rPr>
      </w:pPr>
    </w:p>
    <w:p w:rsidR="00B54812" w:rsidRDefault="00B54812" w:rsidP="00B54812">
      <w:pPr>
        <w:ind w:left="0" w:firstLine="0"/>
        <w:rPr>
          <w:b/>
          <w:bCs/>
          <w:sz w:val="22"/>
        </w:rPr>
      </w:pPr>
    </w:p>
    <w:p w:rsidR="00B54812" w:rsidRDefault="00B54812" w:rsidP="00B54812">
      <w:pPr>
        <w:ind w:left="0" w:firstLine="0"/>
        <w:rPr>
          <w:b/>
          <w:bCs/>
          <w:sz w:val="22"/>
        </w:rPr>
      </w:pPr>
    </w:p>
    <w:p w:rsidR="00B54812" w:rsidRDefault="00B54812" w:rsidP="00B54812">
      <w:pPr>
        <w:ind w:left="0" w:firstLine="0"/>
        <w:rPr>
          <w:b/>
          <w:bCs/>
          <w:sz w:val="22"/>
        </w:rPr>
      </w:pPr>
    </w:p>
    <w:p w:rsidR="00B54812" w:rsidRDefault="00B54812" w:rsidP="00B54812">
      <w:pPr>
        <w:ind w:left="0" w:firstLine="0"/>
        <w:rPr>
          <w:b/>
          <w:bCs/>
          <w:sz w:val="22"/>
        </w:rPr>
      </w:pPr>
    </w:p>
    <w:p w:rsidR="00B54812" w:rsidRDefault="00B54812" w:rsidP="00B54812">
      <w:pPr>
        <w:ind w:left="0" w:firstLine="0"/>
        <w:rPr>
          <w:b/>
          <w:bCs/>
          <w:sz w:val="22"/>
        </w:rPr>
      </w:pPr>
    </w:p>
    <w:p w:rsidR="00B54812" w:rsidRDefault="00B54812" w:rsidP="00B54812">
      <w:pPr>
        <w:ind w:left="0" w:firstLine="0"/>
        <w:rPr>
          <w:b/>
          <w:bCs/>
          <w:sz w:val="22"/>
        </w:rPr>
      </w:pPr>
    </w:p>
    <w:p w:rsidR="00B54812" w:rsidRDefault="00B54812" w:rsidP="00B54812">
      <w:pPr>
        <w:ind w:left="0" w:firstLine="0"/>
        <w:rPr>
          <w:b/>
          <w:bCs/>
          <w:sz w:val="22"/>
        </w:rPr>
      </w:pPr>
    </w:p>
    <w:p w:rsidR="00B54812" w:rsidRPr="002C75B8" w:rsidRDefault="00B54812" w:rsidP="00B54812">
      <w:pPr>
        <w:ind w:left="0" w:firstLine="0"/>
        <w:rPr>
          <w:b/>
          <w:bCs/>
          <w:sz w:val="22"/>
        </w:rPr>
      </w:pPr>
    </w:p>
    <w:p w:rsidR="00B54812" w:rsidRPr="002C75B8" w:rsidRDefault="00B54812" w:rsidP="00B54812">
      <w:pPr>
        <w:ind w:left="0" w:firstLine="0"/>
        <w:rPr>
          <w:rFonts w:eastAsia="Times New Roman"/>
          <w:sz w:val="22"/>
          <w:lang w:eastAsia="es-ES"/>
        </w:rPr>
      </w:pPr>
    </w:p>
    <w:p w:rsidR="00B54812" w:rsidRPr="002C75B8" w:rsidRDefault="00B54812" w:rsidP="00B54812">
      <w:pPr>
        <w:ind w:left="0" w:firstLine="0"/>
        <w:rPr>
          <w:rFonts w:eastAsia="Times New Roman"/>
          <w:sz w:val="22"/>
          <w:lang w:eastAsia="es-ES"/>
        </w:rPr>
      </w:pPr>
    </w:p>
    <w:p w:rsidR="00B54812" w:rsidRPr="002C75B8" w:rsidRDefault="00B54812" w:rsidP="00B54812">
      <w:pPr>
        <w:ind w:left="0" w:firstLine="0"/>
        <w:rPr>
          <w:rFonts w:eastAsia="Times New Roman"/>
          <w:sz w:val="22"/>
          <w:lang w:eastAsia="es-ES"/>
        </w:rPr>
      </w:pPr>
      <w:r w:rsidRPr="002C75B8">
        <w:rPr>
          <w:rFonts w:eastAsia="Times New Roman"/>
          <w:b/>
          <w:bCs/>
          <w:sz w:val="22"/>
          <w:lang w:eastAsia="es-ES"/>
        </w:rPr>
        <w:t xml:space="preserve">Cutaneous leishmaniasis </w:t>
      </w:r>
      <w:proofErr w:type="spellStart"/>
      <w:r w:rsidRPr="002C75B8">
        <w:rPr>
          <w:rFonts w:eastAsia="Times New Roman"/>
          <w:b/>
          <w:bCs/>
          <w:sz w:val="22"/>
          <w:lang w:eastAsia="es-ES"/>
        </w:rPr>
        <w:t>trend</w:t>
      </w:r>
      <w:proofErr w:type="spellEnd"/>
    </w:p>
    <w:p w:rsidR="00B54812" w:rsidRPr="002C75B8" w:rsidRDefault="00B54812" w:rsidP="00B54812">
      <w:pPr>
        <w:ind w:left="0" w:firstLine="0"/>
        <w:rPr>
          <w:rFonts w:eastAsia="Times New Roman"/>
          <w:sz w:val="22"/>
          <w:lang w:eastAsia="es-ES"/>
        </w:rPr>
      </w:pPr>
      <w:r>
        <w:rPr>
          <w:rFonts w:eastAsia="Times New Roman"/>
          <w:noProof/>
          <w:sz w:val="2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55245</wp:posOffset>
            </wp:positionV>
            <wp:extent cx="6743700" cy="2854960"/>
            <wp:effectExtent l="0" t="0" r="0" b="0"/>
            <wp:wrapNone/>
            <wp:docPr id="4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B54812" w:rsidRDefault="00B54812" w:rsidP="00B54812">
      <w:pPr>
        <w:ind w:left="0" w:firstLine="0"/>
        <w:rPr>
          <w:rFonts w:eastAsia="Times New Roman"/>
          <w:sz w:val="22"/>
          <w:lang w:eastAsia="es-ES"/>
        </w:rPr>
      </w:pPr>
    </w:p>
    <w:p w:rsidR="00B54812" w:rsidRDefault="00B54812" w:rsidP="00B54812">
      <w:pPr>
        <w:ind w:left="0" w:firstLine="0"/>
        <w:rPr>
          <w:rFonts w:eastAsia="Times New Roman"/>
          <w:sz w:val="22"/>
          <w:lang w:eastAsia="es-ES"/>
        </w:rPr>
      </w:pPr>
    </w:p>
    <w:p w:rsidR="00B54812" w:rsidRDefault="00B54812" w:rsidP="00B54812">
      <w:pPr>
        <w:ind w:left="0" w:firstLine="0"/>
        <w:rPr>
          <w:rFonts w:eastAsia="Times New Roman"/>
          <w:sz w:val="22"/>
          <w:lang w:eastAsia="es-ES"/>
        </w:rPr>
      </w:pPr>
    </w:p>
    <w:p w:rsidR="00B54812" w:rsidRDefault="00B54812" w:rsidP="00B54812">
      <w:pPr>
        <w:ind w:left="0" w:firstLine="0"/>
        <w:rPr>
          <w:rFonts w:eastAsia="Times New Roman"/>
          <w:sz w:val="22"/>
          <w:lang w:eastAsia="es-ES"/>
        </w:rPr>
      </w:pPr>
    </w:p>
    <w:p w:rsidR="00B54812" w:rsidRDefault="00B54812" w:rsidP="00B54812">
      <w:pPr>
        <w:ind w:left="0" w:firstLine="0"/>
        <w:rPr>
          <w:rFonts w:eastAsia="Times New Roman"/>
          <w:sz w:val="22"/>
          <w:lang w:eastAsia="es-ES"/>
        </w:rPr>
      </w:pPr>
    </w:p>
    <w:p w:rsidR="00B54812" w:rsidRDefault="00B54812" w:rsidP="00B54812">
      <w:pPr>
        <w:ind w:left="0" w:firstLine="0"/>
        <w:rPr>
          <w:rFonts w:eastAsia="Times New Roman"/>
          <w:sz w:val="22"/>
          <w:lang w:eastAsia="es-ES"/>
        </w:rPr>
      </w:pPr>
    </w:p>
    <w:p w:rsidR="00B54812" w:rsidRDefault="00B54812" w:rsidP="00B54812">
      <w:pPr>
        <w:ind w:left="0" w:firstLine="0"/>
        <w:rPr>
          <w:rFonts w:eastAsia="Times New Roman"/>
          <w:sz w:val="22"/>
          <w:lang w:eastAsia="es-ES"/>
        </w:rPr>
      </w:pPr>
    </w:p>
    <w:p w:rsidR="00B54812" w:rsidRDefault="00B54812" w:rsidP="00B54812">
      <w:pPr>
        <w:ind w:left="0" w:firstLine="0"/>
        <w:rPr>
          <w:rFonts w:eastAsia="Times New Roman"/>
          <w:sz w:val="22"/>
          <w:lang w:eastAsia="es-ES"/>
        </w:rPr>
      </w:pPr>
    </w:p>
    <w:p w:rsidR="00B54812" w:rsidRDefault="00B54812" w:rsidP="00B54812">
      <w:pPr>
        <w:ind w:left="0" w:firstLine="0"/>
        <w:rPr>
          <w:rFonts w:eastAsia="Times New Roman"/>
          <w:sz w:val="22"/>
          <w:lang w:eastAsia="es-ES"/>
        </w:rPr>
      </w:pPr>
    </w:p>
    <w:p w:rsidR="00B54812" w:rsidRDefault="00B54812" w:rsidP="00B54812">
      <w:pPr>
        <w:ind w:left="0" w:firstLine="0"/>
        <w:rPr>
          <w:rFonts w:eastAsia="Times New Roman"/>
          <w:sz w:val="22"/>
          <w:lang w:eastAsia="es-ES"/>
        </w:rPr>
      </w:pPr>
    </w:p>
    <w:p w:rsidR="00B54812" w:rsidRDefault="00B54812" w:rsidP="00B54812">
      <w:pPr>
        <w:ind w:left="0" w:firstLine="0"/>
        <w:rPr>
          <w:rFonts w:eastAsia="Times New Roman"/>
          <w:sz w:val="22"/>
          <w:lang w:eastAsia="es-ES"/>
        </w:rPr>
      </w:pPr>
    </w:p>
    <w:p w:rsidR="00B54812" w:rsidRDefault="00B54812" w:rsidP="00B54812">
      <w:pPr>
        <w:ind w:left="0" w:firstLine="0"/>
        <w:rPr>
          <w:rFonts w:eastAsia="Times New Roman"/>
          <w:sz w:val="22"/>
          <w:lang w:eastAsia="es-ES"/>
        </w:rPr>
      </w:pPr>
    </w:p>
    <w:p w:rsidR="00B54812" w:rsidRDefault="00B54812" w:rsidP="00B54812">
      <w:pPr>
        <w:ind w:left="0" w:firstLine="0"/>
        <w:rPr>
          <w:rFonts w:eastAsia="Times New Roman"/>
          <w:sz w:val="22"/>
          <w:lang w:eastAsia="es-ES"/>
        </w:rPr>
      </w:pPr>
    </w:p>
    <w:p w:rsidR="00B54812" w:rsidRDefault="00B54812" w:rsidP="00B54812">
      <w:pPr>
        <w:ind w:left="0" w:firstLine="0"/>
        <w:rPr>
          <w:rFonts w:eastAsia="Times New Roman"/>
          <w:sz w:val="22"/>
          <w:lang w:eastAsia="es-ES"/>
        </w:rPr>
      </w:pPr>
    </w:p>
    <w:p w:rsidR="00B54812" w:rsidRDefault="00B54812" w:rsidP="00B54812">
      <w:pPr>
        <w:ind w:left="0" w:firstLine="0"/>
        <w:rPr>
          <w:rFonts w:eastAsia="Times New Roman"/>
          <w:sz w:val="22"/>
          <w:lang w:eastAsia="es-ES"/>
        </w:rPr>
      </w:pPr>
    </w:p>
    <w:p w:rsidR="00B54812" w:rsidRPr="002C75B8" w:rsidRDefault="00B54812" w:rsidP="00B54812">
      <w:pPr>
        <w:ind w:left="0" w:firstLine="0"/>
        <w:rPr>
          <w:rFonts w:eastAsia="Times New Roman"/>
          <w:sz w:val="22"/>
          <w:lang w:eastAsia="es-ES"/>
        </w:rPr>
      </w:pPr>
    </w:p>
    <w:p w:rsidR="00B54812" w:rsidRPr="002C75B8" w:rsidRDefault="00B54812" w:rsidP="00B54812">
      <w:pPr>
        <w:ind w:left="0" w:firstLine="0"/>
        <w:rPr>
          <w:rFonts w:eastAsia="Times New Roman"/>
          <w:sz w:val="22"/>
          <w:lang w:eastAsia="es-ES"/>
        </w:rPr>
      </w:pPr>
    </w:p>
    <w:p w:rsidR="00B54812" w:rsidRPr="002C75B8" w:rsidRDefault="00B54812" w:rsidP="00B54812">
      <w:pPr>
        <w:ind w:left="0" w:firstLine="0"/>
        <w:rPr>
          <w:rFonts w:eastAsia="Times New Roman"/>
          <w:sz w:val="22"/>
          <w:lang w:eastAsia="es-ES"/>
        </w:rPr>
      </w:pPr>
    </w:p>
    <w:p w:rsidR="00B54812" w:rsidRPr="002C75B8" w:rsidRDefault="00B54812" w:rsidP="00B54812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  <w:r w:rsidRPr="002C75B8">
        <w:rPr>
          <w:rFonts w:eastAsia="Times New Roman"/>
          <w:b/>
          <w:bCs/>
          <w:sz w:val="22"/>
          <w:lang w:val="en-GB" w:eastAsia="es-ES"/>
        </w:rPr>
        <w:t>CONTROL</w:t>
      </w:r>
    </w:p>
    <w:p w:rsidR="00B54812" w:rsidRPr="002C75B8" w:rsidRDefault="00B54812" w:rsidP="00B54812">
      <w:pPr>
        <w:ind w:left="0" w:firstLine="0"/>
        <w:rPr>
          <w:rFonts w:eastAsia="Times New Roman"/>
          <w:sz w:val="22"/>
          <w:lang w:val="en-GB" w:eastAsia="es-ES"/>
        </w:rPr>
      </w:pPr>
    </w:p>
    <w:p w:rsidR="00B54812" w:rsidRPr="00C20CE3" w:rsidRDefault="00B54812" w:rsidP="00B54812">
      <w:pPr>
        <w:shd w:val="clear" w:color="auto" w:fill="FFFFFF"/>
        <w:spacing w:after="83"/>
        <w:ind w:left="0" w:firstLine="0"/>
        <w:rPr>
          <w:rFonts w:eastAsia="Times New Roman"/>
          <w:color w:val="2A2A2A"/>
          <w:sz w:val="22"/>
          <w:lang w:val="en-GB" w:eastAsia="zh-CN"/>
        </w:rPr>
      </w:pPr>
      <w:r w:rsidRPr="00C20CE3">
        <w:rPr>
          <w:rFonts w:eastAsia="Times New Roman"/>
          <w:color w:val="2A2A2A"/>
          <w:sz w:val="22"/>
          <w:lang w:val="en-GB" w:eastAsia="zh-CN"/>
        </w:rPr>
        <w:t xml:space="preserve">The national control program includes passive case detection in primary health </w:t>
      </w:r>
      <w:proofErr w:type="spellStart"/>
      <w:r w:rsidRPr="00C20CE3">
        <w:rPr>
          <w:rFonts w:eastAsia="Times New Roman"/>
          <w:color w:val="2A2A2A"/>
          <w:sz w:val="22"/>
          <w:lang w:val="en-GB" w:eastAsia="zh-CN"/>
        </w:rPr>
        <w:t>centers</w:t>
      </w:r>
      <w:proofErr w:type="spellEnd"/>
      <w:r w:rsidRPr="00C20CE3">
        <w:rPr>
          <w:rFonts w:eastAsia="Times New Roman"/>
          <w:color w:val="2A2A2A"/>
          <w:sz w:val="22"/>
          <w:lang w:val="en-GB" w:eastAsia="zh-CN"/>
        </w:rPr>
        <w:t xml:space="preserve"> (PHCs) and provides diagnosis and treatment free of charge. Active case detection is regularly performed in primary schools </w:t>
      </w:r>
      <w:r>
        <w:rPr>
          <w:rFonts w:eastAsia="Times New Roman"/>
          <w:color w:val="2A2A2A"/>
          <w:sz w:val="22"/>
          <w:lang w:val="en-GB" w:eastAsia="zh-CN"/>
        </w:rPr>
        <w:t>of</w:t>
      </w:r>
      <w:r w:rsidRPr="00C20CE3">
        <w:rPr>
          <w:rFonts w:eastAsia="Times New Roman"/>
          <w:color w:val="2A2A2A"/>
          <w:sz w:val="22"/>
          <w:lang w:val="en-GB" w:eastAsia="zh-CN"/>
        </w:rPr>
        <w:t xml:space="preserve"> ACL endemic areas. The vector control program consists in insecticide spraying (IRS) in the endemic areas twice a year</w:t>
      </w:r>
      <w:r>
        <w:rPr>
          <w:rFonts w:eastAsia="Times New Roman"/>
          <w:color w:val="2A2A2A"/>
          <w:sz w:val="22"/>
          <w:lang w:val="en-GB" w:eastAsia="zh-CN"/>
        </w:rPr>
        <w:t>;</w:t>
      </w:r>
      <w:r w:rsidRPr="00C20CE3">
        <w:rPr>
          <w:rFonts w:eastAsia="Times New Roman"/>
          <w:color w:val="2A2A2A"/>
          <w:sz w:val="22"/>
          <w:lang w:val="en-GB" w:eastAsia="zh-CN"/>
        </w:rPr>
        <w:t xml:space="preserve"> however</w:t>
      </w:r>
      <w:r>
        <w:rPr>
          <w:rFonts w:eastAsia="Times New Roman"/>
          <w:color w:val="2A2A2A"/>
          <w:sz w:val="22"/>
          <w:lang w:val="en-GB" w:eastAsia="zh-CN"/>
        </w:rPr>
        <w:t>,</w:t>
      </w:r>
      <w:r w:rsidRPr="00C20CE3">
        <w:rPr>
          <w:rFonts w:eastAsia="Times New Roman"/>
          <w:color w:val="2A2A2A"/>
          <w:sz w:val="22"/>
          <w:lang w:val="en-GB" w:eastAsia="zh-CN"/>
        </w:rPr>
        <w:t xml:space="preserve"> </w:t>
      </w:r>
      <w:r>
        <w:rPr>
          <w:rFonts w:eastAsia="Times New Roman"/>
          <w:color w:val="2A2A2A"/>
          <w:sz w:val="22"/>
          <w:lang w:val="en-GB" w:eastAsia="zh-CN"/>
        </w:rPr>
        <w:t xml:space="preserve">this </w:t>
      </w:r>
      <w:r w:rsidRPr="00C20CE3">
        <w:rPr>
          <w:rFonts w:eastAsia="Times New Roman"/>
          <w:color w:val="2A2A2A"/>
          <w:sz w:val="22"/>
          <w:lang w:val="en-GB" w:eastAsia="zh-CN"/>
        </w:rPr>
        <w:t>does</w:t>
      </w:r>
      <w:r>
        <w:rPr>
          <w:rFonts w:eastAsia="Times New Roman"/>
          <w:color w:val="2A2A2A"/>
          <w:sz w:val="22"/>
          <w:lang w:val="en-GB" w:eastAsia="zh-CN"/>
        </w:rPr>
        <w:t xml:space="preserve"> </w:t>
      </w:r>
      <w:r w:rsidRPr="00C20CE3">
        <w:rPr>
          <w:rFonts w:eastAsia="Times New Roman"/>
          <w:color w:val="2A2A2A"/>
          <w:sz w:val="22"/>
          <w:lang w:val="en-GB" w:eastAsia="zh-CN"/>
        </w:rPr>
        <w:t>n</w:t>
      </w:r>
      <w:r>
        <w:rPr>
          <w:rFonts w:eastAsia="Times New Roman"/>
          <w:color w:val="2A2A2A"/>
          <w:sz w:val="22"/>
          <w:lang w:val="en-GB" w:eastAsia="zh-CN"/>
        </w:rPr>
        <w:t>o</w:t>
      </w:r>
      <w:r w:rsidRPr="00C20CE3">
        <w:rPr>
          <w:rFonts w:eastAsia="Times New Roman"/>
          <w:color w:val="2A2A2A"/>
          <w:sz w:val="22"/>
          <w:lang w:val="en-GB" w:eastAsia="zh-CN"/>
        </w:rPr>
        <w:t>t seem to be effective in controlling the CL incidence. There is a plan to distribute LLINs. For ZCL, there is a reservoir control program</w:t>
      </w:r>
      <w:r>
        <w:rPr>
          <w:rFonts w:eastAsia="Times New Roman"/>
          <w:color w:val="2A2A2A"/>
          <w:sz w:val="22"/>
          <w:lang w:val="en-GB" w:eastAsia="zh-CN"/>
        </w:rPr>
        <w:t>,</w:t>
      </w:r>
      <w:r w:rsidRPr="00C20CE3">
        <w:rPr>
          <w:rFonts w:eastAsia="Times New Roman"/>
          <w:color w:val="2A2A2A"/>
          <w:sz w:val="22"/>
          <w:lang w:val="en-GB" w:eastAsia="zh-CN"/>
        </w:rPr>
        <w:t xml:space="preserve"> involving regular rodent monitoring and control. This program is updated yearly in order to fit the disease incidence</w:t>
      </w:r>
      <w:r>
        <w:rPr>
          <w:rFonts w:eastAsia="Times New Roman"/>
          <w:color w:val="2A2A2A"/>
          <w:sz w:val="22"/>
          <w:lang w:val="en-GB" w:eastAsia="zh-CN"/>
        </w:rPr>
        <w:t xml:space="preserve"> </w:t>
      </w:r>
      <w:r w:rsidRPr="00C20CE3">
        <w:rPr>
          <w:rFonts w:eastAsia="Times New Roman"/>
          <w:color w:val="2A2A2A"/>
          <w:sz w:val="22"/>
          <w:lang w:val="en-GB" w:eastAsia="zh-CN"/>
        </w:rPr>
        <w:t>more effectively. A national strategy will be established in the near future. Notification of leishmaniasis is mandatory.</w:t>
      </w:r>
      <w:r w:rsidRPr="00C20CE3">
        <w:rPr>
          <w:rFonts w:eastAsia="Times New Roman"/>
          <w:color w:val="2A2A2A"/>
          <w:sz w:val="22"/>
          <w:rtl/>
          <w:lang w:val="en-GB" w:eastAsia="zh-CN"/>
        </w:rPr>
        <w:t xml:space="preserve"> </w:t>
      </w:r>
    </w:p>
    <w:p w:rsidR="00B54812" w:rsidRPr="002C75B8" w:rsidRDefault="00B54812" w:rsidP="00B54812">
      <w:pPr>
        <w:spacing w:line="360" w:lineRule="auto"/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lastRenderedPageBreak/>
        <w:t xml:space="preserve">DIAGNOSIS, TREATMENT </w:t>
      </w:r>
    </w:p>
    <w:p w:rsidR="00B54812" w:rsidRPr="002C75B8" w:rsidRDefault="00B54812" w:rsidP="00B54812">
      <w:pPr>
        <w:ind w:left="0" w:firstLine="0"/>
        <w:rPr>
          <w:b/>
          <w:bCs/>
          <w:sz w:val="22"/>
          <w:lang w:val="en-US"/>
        </w:rPr>
      </w:pPr>
      <w:r w:rsidRPr="002C75B8">
        <w:rPr>
          <w:b/>
          <w:bCs/>
          <w:sz w:val="22"/>
          <w:lang w:val="en-US"/>
        </w:rPr>
        <w:t>Diagnosis</w:t>
      </w:r>
    </w:p>
    <w:p w:rsidR="00B54812" w:rsidRPr="00562689" w:rsidRDefault="00B54812" w:rsidP="00B54812">
      <w:pPr>
        <w:ind w:left="0" w:firstLine="0"/>
        <w:rPr>
          <w:sz w:val="22"/>
        </w:rPr>
      </w:pPr>
      <w:r w:rsidRPr="00562689">
        <w:rPr>
          <w:sz w:val="22"/>
        </w:rPr>
        <w:t xml:space="preserve">CL: </w:t>
      </w:r>
      <w:proofErr w:type="spellStart"/>
      <w:r w:rsidRPr="00562689">
        <w:rPr>
          <w:sz w:val="22"/>
        </w:rPr>
        <w:t>on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clinical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grounds</w:t>
      </w:r>
      <w:proofErr w:type="spellEnd"/>
      <w:r w:rsidRPr="00562689">
        <w:rPr>
          <w:sz w:val="22"/>
        </w:rPr>
        <w:t xml:space="preserve">, </w:t>
      </w:r>
      <w:proofErr w:type="spellStart"/>
      <w:r w:rsidRPr="00562689">
        <w:rPr>
          <w:sz w:val="22"/>
        </w:rPr>
        <w:t>confirmation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with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microscopic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examination</w:t>
      </w:r>
      <w:proofErr w:type="spellEnd"/>
      <w:r w:rsidRPr="00562689">
        <w:rPr>
          <w:sz w:val="22"/>
        </w:rPr>
        <w:t xml:space="preserve"> of </w:t>
      </w:r>
      <w:proofErr w:type="spellStart"/>
      <w:r w:rsidRPr="00562689">
        <w:rPr>
          <w:sz w:val="22"/>
        </w:rPr>
        <w:t>skin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lesion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sample</w:t>
      </w:r>
      <w:proofErr w:type="spellEnd"/>
      <w:r w:rsidRPr="00562689">
        <w:rPr>
          <w:sz w:val="22"/>
        </w:rPr>
        <w:t xml:space="preserve">.  </w:t>
      </w:r>
    </w:p>
    <w:p w:rsidR="00B54812" w:rsidRPr="00562689" w:rsidRDefault="00B54812" w:rsidP="00B54812">
      <w:pPr>
        <w:ind w:left="0" w:firstLine="0"/>
        <w:rPr>
          <w:sz w:val="22"/>
        </w:rPr>
      </w:pPr>
      <w:r w:rsidRPr="00562689">
        <w:rPr>
          <w:sz w:val="22"/>
        </w:rPr>
        <w:t xml:space="preserve">VL: </w:t>
      </w:r>
      <w:proofErr w:type="spellStart"/>
      <w:r w:rsidRPr="00562689">
        <w:rPr>
          <w:sz w:val="22"/>
        </w:rPr>
        <w:t>confirmation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by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microscopic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examination</w:t>
      </w:r>
      <w:proofErr w:type="spellEnd"/>
      <w:r w:rsidRPr="00562689">
        <w:rPr>
          <w:sz w:val="22"/>
        </w:rPr>
        <w:t xml:space="preserve"> of </w:t>
      </w:r>
      <w:proofErr w:type="spellStart"/>
      <w:r w:rsidRPr="00562689">
        <w:rPr>
          <w:sz w:val="22"/>
        </w:rPr>
        <w:t>bone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marrow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aspirate</w:t>
      </w:r>
      <w:proofErr w:type="spellEnd"/>
      <w:r w:rsidRPr="00562689">
        <w:rPr>
          <w:sz w:val="22"/>
        </w:rPr>
        <w:t xml:space="preserve"> and </w:t>
      </w:r>
      <w:proofErr w:type="spellStart"/>
      <w:r w:rsidRPr="00562689">
        <w:rPr>
          <w:sz w:val="22"/>
        </w:rPr>
        <w:t>rapid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diagnostic</w:t>
      </w:r>
      <w:proofErr w:type="spellEnd"/>
      <w:r w:rsidRPr="00562689">
        <w:rPr>
          <w:sz w:val="22"/>
        </w:rPr>
        <w:t xml:space="preserve"> rK39 </w:t>
      </w:r>
      <w:proofErr w:type="spellStart"/>
      <w:r w:rsidRPr="00562689">
        <w:rPr>
          <w:sz w:val="22"/>
        </w:rPr>
        <w:t>antigen-based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tests</w:t>
      </w:r>
      <w:proofErr w:type="spellEnd"/>
      <w:r w:rsidRPr="00562689">
        <w:rPr>
          <w:sz w:val="22"/>
        </w:rPr>
        <w:t xml:space="preserve">. </w:t>
      </w:r>
    </w:p>
    <w:p w:rsidR="00B54812" w:rsidRPr="002C75B8" w:rsidRDefault="00B54812" w:rsidP="00B54812">
      <w:pPr>
        <w:ind w:left="0" w:firstLine="0"/>
        <w:rPr>
          <w:bCs/>
          <w:sz w:val="22"/>
          <w:lang w:val="en-US"/>
        </w:rPr>
      </w:pPr>
    </w:p>
    <w:p w:rsidR="00B54812" w:rsidRPr="002C75B8" w:rsidRDefault="00B54812" w:rsidP="00B54812">
      <w:pPr>
        <w:ind w:left="0" w:firstLine="0"/>
        <w:rPr>
          <w:b/>
          <w:bCs/>
          <w:sz w:val="22"/>
          <w:lang w:val="en-US"/>
        </w:rPr>
      </w:pPr>
      <w:r w:rsidRPr="002C75B8">
        <w:rPr>
          <w:b/>
          <w:bCs/>
          <w:sz w:val="22"/>
          <w:lang w:val="en-US"/>
        </w:rPr>
        <w:t>Treatment</w:t>
      </w:r>
    </w:p>
    <w:p w:rsidR="00B54812" w:rsidRPr="00562689" w:rsidRDefault="00B54812" w:rsidP="00B54812">
      <w:pPr>
        <w:ind w:left="0" w:firstLine="0"/>
        <w:rPr>
          <w:bCs/>
          <w:sz w:val="22"/>
          <w:lang w:val="en-US"/>
        </w:rPr>
      </w:pPr>
      <w:r w:rsidRPr="00562689">
        <w:rPr>
          <w:sz w:val="22"/>
          <w:lang w:val="en-US"/>
        </w:rPr>
        <w:t>CL</w:t>
      </w:r>
      <w:r w:rsidRPr="00562689">
        <w:rPr>
          <w:bCs/>
          <w:sz w:val="22"/>
          <w:lang w:val="en-US"/>
        </w:rPr>
        <w:t xml:space="preserve">: antimonials, intralesional (every 6 days) or systemic, 10-20 mg </w:t>
      </w:r>
      <w:proofErr w:type="spellStart"/>
      <w:r w:rsidRPr="00562689">
        <w:rPr>
          <w:bCs/>
          <w:sz w:val="22"/>
          <w:lang w:val="en-US"/>
        </w:rPr>
        <w:t>Sb</w:t>
      </w:r>
      <w:r w:rsidRPr="00562689">
        <w:rPr>
          <w:bCs/>
          <w:sz w:val="22"/>
          <w:vertAlign w:val="superscript"/>
          <w:lang w:val="en-US"/>
        </w:rPr>
        <w:t>v</w:t>
      </w:r>
      <w:proofErr w:type="spellEnd"/>
      <w:r w:rsidRPr="00562689">
        <w:rPr>
          <w:bCs/>
          <w:sz w:val="22"/>
          <w:lang w:val="en-US"/>
        </w:rPr>
        <w:t xml:space="preserve">/kg/day. Cure rate is 85-90%, with recurring lesions in 8-10% and rare mucosal involvement.  </w:t>
      </w:r>
    </w:p>
    <w:p w:rsidR="00B54812" w:rsidRPr="00562689" w:rsidRDefault="00B54812" w:rsidP="00B54812">
      <w:pPr>
        <w:ind w:left="0" w:firstLine="0"/>
        <w:rPr>
          <w:bCs/>
          <w:sz w:val="22"/>
          <w:lang w:val="en-GB"/>
        </w:rPr>
      </w:pPr>
      <w:proofErr w:type="gramStart"/>
      <w:r w:rsidRPr="00562689">
        <w:rPr>
          <w:sz w:val="22"/>
          <w:lang w:val="en-US"/>
        </w:rPr>
        <w:t>VL</w:t>
      </w:r>
      <w:r w:rsidRPr="00562689">
        <w:rPr>
          <w:bCs/>
          <w:sz w:val="22"/>
          <w:lang w:val="en-US"/>
        </w:rPr>
        <w:t xml:space="preserve">; antimonials, 20 mg </w:t>
      </w:r>
      <w:proofErr w:type="spellStart"/>
      <w:r w:rsidRPr="00562689">
        <w:rPr>
          <w:bCs/>
          <w:sz w:val="22"/>
          <w:lang w:val="en-US"/>
        </w:rPr>
        <w:t>Sb</w:t>
      </w:r>
      <w:r w:rsidRPr="00562689">
        <w:rPr>
          <w:bCs/>
          <w:sz w:val="22"/>
          <w:vertAlign w:val="superscript"/>
          <w:lang w:val="en-US"/>
        </w:rPr>
        <w:t>v</w:t>
      </w:r>
      <w:proofErr w:type="spellEnd"/>
      <w:r w:rsidRPr="00562689">
        <w:rPr>
          <w:bCs/>
          <w:sz w:val="22"/>
          <w:lang w:val="en-US"/>
        </w:rPr>
        <w:t>/kg/day.</w:t>
      </w:r>
      <w:proofErr w:type="gramEnd"/>
      <w:r w:rsidRPr="00562689">
        <w:rPr>
          <w:bCs/>
          <w:sz w:val="22"/>
          <w:lang w:val="en-US"/>
        </w:rPr>
        <w:t xml:space="preserve"> Cure rate is 100% </w:t>
      </w:r>
    </w:p>
    <w:p w:rsidR="00B54812" w:rsidRPr="00562689" w:rsidRDefault="00B54812" w:rsidP="00B54812">
      <w:pPr>
        <w:ind w:left="0" w:firstLine="0"/>
        <w:rPr>
          <w:sz w:val="22"/>
          <w:lang w:val="en-GB"/>
        </w:rPr>
      </w:pPr>
    </w:p>
    <w:p w:rsidR="00B54812" w:rsidRPr="002C75B8" w:rsidRDefault="00B54812" w:rsidP="00B54812">
      <w:pPr>
        <w:ind w:left="0" w:firstLine="0"/>
        <w:rPr>
          <w:sz w:val="22"/>
          <w:lang w:val="en-GB"/>
        </w:rPr>
      </w:pPr>
    </w:p>
    <w:p w:rsidR="00B54812" w:rsidRPr="002C75B8" w:rsidRDefault="00B54812" w:rsidP="00B54812">
      <w:pPr>
        <w:spacing w:line="360" w:lineRule="auto"/>
        <w:ind w:left="0" w:firstLine="0"/>
        <w:rPr>
          <w:sz w:val="22"/>
          <w:lang w:val="en-US"/>
        </w:rPr>
      </w:pPr>
      <w:r w:rsidRPr="002C75B8">
        <w:rPr>
          <w:b/>
          <w:bCs/>
          <w:sz w:val="22"/>
          <w:lang w:val="en-US"/>
        </w:rPr>
        <w:t xml:space="preserve">ACCESS TO CARE </w:t>
      </w:r>
    </w:p>
    <w:p w:rsidR="00B54812" w:rsidRPr="002C75B8" w:rsidRDefault="00B54812" w:rsidP="00B54812">
      <w:pPr>
        <w:ind w:left="0" w:firstLine="0"/>
        <w:rPr>
          <w:sz w:val="22"/>
          <w:lang w:val="en-GB"/>
        </w:rPr>
      </w:pPr>
    </w:p>
    <w:p w:rsidR="00B54812" w:rsidRPr="002C75B8" w:rsidRDefault="00B54812" w:rsidP="00B54812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Medical care is provided for free, which includes diagnosis and treatment of leishmaniasis. CL can be diagnosed and treated in about 250 health cente</w:t>
      </w:r>
      <w:r>
        <w:rPr>
          <w:sz w:val="22"/>
          <w:lang w:val="en-US"/>
        </w:rPr>
        <w:t>r</w:t>
      </w:r>
      <w:r w:rsidRPr="002C75B8">
        <w:rPr>
          <w:sz w:val="22"/>
          <w:lang w:val="en-US"/>
        </w:rPr>
        <w:t>s</w:t>
      </w:r>
      <w:r>
        <w:rPr>
          <w:sz w:val="22"/>
          <w:lang w:val="en-US"/>
        </w:rPr>
        <w:t xml:space="preserve"> around</w:t>
      </w:r>
      <w:r w:rsidRPr="002C75B8">
        <w:rPr>
          <w:sz w:val="22"/>
          <w:lang w:val="en-US"/>
        </w:rPr>
        <w:t xml:space="preserve"> the country. Diagnosis for VL is provided in hospitals, and sometimes in health cente</w:t>
      </w:r>
      <w:r>
        <w:rPr>
          <w:sz w:val="22"/>
          <w:lang w:val="en-US"/>
        </w:rPr>
        <w:t>r</w:t>
      </w:r>
      <w:r w:rsidRPr="002C75B8">
        <w:rPr>
          <w:sz w:val="22"/>
          <w:lang w:val="en-US"/>
        </w:rPr>
        <w:t>s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using rapid diagnostic dipsticks. The Ministry of Health provided sufficient antimonials (Glucantime, </w:t>
      </w:r>
      <w:proofErr w:type="spellStart"/>
      <w:r>
        <w:rPr>
          <w:sz w:val="22"/>
          <w:lang w:val="en-US"/>
        </w:rPr>
        <w:t>Sanofi</w:t>
      </w:r>
      <w:proofErr w:type="spellEnd"/>
      <w:r w:rsidRPr="002C75B8">
        <w:rPr>
          <w:sz w:val="22"/>
          <w:lang w:val="en-US"/>
        </w:rPr>
        <w:t xml:space="preserve"> and generic SSG, Albert David, </w:t>
      </w:r>
      <w:smartTag w:uri="urn:schemas-microsoft-com:office:smarttags" w:element="place">
        <w:smartTag w:uri="urn:schemas-microsoft-com:office:smarttags" w:element="country-region">
          <w:r w:rsidRPr="002C75B8">
            <w:rPr>
              <w:sz w:val="22"/>
              <w:lang w:val="en-US"/>
            </w:rPr>
            <w:t>India</w:t>
          </w:r>
        </w:smartTag>
      </w:smartTag>
      <w:r w:rsidRPr="002C75B8">
        <w:rPr>
          <w:sz w:val="22"/>
          <w:lang w:val="en-US"/>
        </w:rPr>
        <w:t xml:space="preserve">) for all reported patients in 2007 and 2008. All patients are thought to have access to care. The delay </w:t>
      </w:r>
      <w:r>
        <w:rPr>
          <w:sz w:val="22"/>
          <w:lang w:val="en-US"/>
        </w:rPr>
        <w:t xml:space="preserve">between symptoms and </w:t>
      </w:r>
      <w:r w:rsidRPr="002C75B8">
        <w:rPr>
          <w:sz w:val="22"/>
          <w:lang w:val="en-US"/>
        </w:rPr>
        <w:t>seeking treatment is estimated to be less than 2 months. However, the case load can be very high and the treatment is time intensive</w:t>
      </w:r>
      <w:r>
        <w:rPr>
          <w:sz w:val="22"/>
          <w:lang w:val="en-US"/>
        </w:rPr>
        <w:t xml:space="preserve">. </w:t>
      </w:r>
      <w:r>
        <w:rPr>
          <w:sz w:val="22"/>
          <w:lang w:val="en-US"/>
        </w:rPr>
        <w:t>As</w:t>
      </w:r>
      <w:r>
        <w:rPr>
          <w:sz w:val="22"/>
          <w:lang w:val="en-US"/>
        </w:rPr>
        <w:t xml:space="preserve"> </w:t>
      </w:r>
      <w:r w:rsidRPr="002C75B8">
        <w:rPr>
          <w:sz w:val="22"/>
          <w:lang w:val="en-US"/>
        </w:rPr>
        <w:t xml:space="preserve">there are not sufficient health workers qualified to diagnose and treat the disease, </w:t>
      </w:r>
      <w:r>
        <w:rPr>
          <w:sz w:val="22"/>
          <w:lang w:val="en-US"/>
        </w:rPr>
        <w:t xml:space="preserve">treatment delays occur.  </w:t>
      </w:r>
    </w:p>
    <w:p w:rsidR="00B54812" w:rsidRPr="002C75B8" w:rsidRDefault="00B54812" w:rsidP="00B54812">
      <w:pPr>
        <w:ind w:left="0" w:firstLine="0"/>
        <w:rPr>
          <w:sz w:val="22"/>
          <w:lang w:val="en-GB"/>
        </w:rPr>
      </w:pPr>
    </w:p>
    <w:p w:rsidR="00B54812" w:rsidRPr="002C75B8" w:rsidRDefault="00B54812" w:rsidP="00B54812">
      <w:pPr>
        <w:ind w:left="0" w:firstLine="0"/>
        <w:rPr>
          <w:sz w:val="22"/>
          <w:lang w:val="en-GB"/>
        </w:rPr>
      </w:pPr>
      <w:r w:rsidRPr="002C75B8">
        <w:rPr>
          <w:b/>
          <w:sz w:val="22"/>
          <w:lang w:val="en-GB"/>
        </w:rPr>
        <w:t>ACCESS TO DRUGS</w:t>
      </w:r>
      <w:r w:rsidRPr="002C75B8">
        <w:rPr>
          <w:sz w:val="22"/>
          <w:lang w:val="en-GB"/>
        </w:rPr>
        <w:t xml:space="preserve"> </w:t>
      </w:r>
    </w:p>
    <w:p w:rsidR="00B54812" w:rsidRPr="002C75B8" w:rsidRDefault="00B54812" w:rsidP="00B54812">
      <w:pPr>
        <w:ind w:left="0" w:firstLine="0"/>
        <w:rPr>
          <w:sz w:val="22"/>
          <w:lang w:val="en-GB"/>
        </w:rPr>
      </w:pPr>
    </w:p>
    <w:p w:rsidR="00B54812" w:rsidRPr="002C75B8" w:rsidRDefault="00B54812" w:rsidP="00B54812">
      <w:pPr>
        <w:ind w:left="0" w:firstLine="0"/>
        <w:rPr>
          <w:sz w:val="22"/>
          <w:lang w:val="en-GB"/>
        </w:rPr>
      </w:pPr>
      <w:r w:rsidRPr="002C75B8">
        <w:rPr>
          <w:sz w:val="22"/>
          <w:lang w:val="en-GB"/>
        </w:rPr>
        <w:t>No other drugs than antimonials are included in the National Essential Drug List for leishmaniasis. Meg</w:t>
      </w:r>
      <w:r>
        <w:rPr>
          <w:sz w:val="22"/>
          <w:lang w:val="en-GB"/>
        </w:rPr>
        <w:t xml:space="preserve">lumine antimoniate (Glucantime, </w:t>
      </w:r>
      <w:proofErr w:type="spellStart"/>
      <w:r>
        <w:rPr>
          <w:sz w:val="22"/>
          <w:lang w:val="en-GB"/>
        </w:rPr>
        <w:t>Sanofi</w:t>
      </w:r>
      <w:proofErr w:type="spellEnd"/>
      <w:r w:rsidRPr="002C75B8">
        <w:rPr>
          <w:sz w:val="22"/>
          <w:lang w:val="en-GB"/>
        </w:rPr>
        <w:t xml:space="preserve">) and sodium stibogluconate (Pentostam, GSK) are registered for leishmaniasis in Syria. Drugs for leishmaniasis are not available </w:t>
      </w:r>
      <w:r>
        <w:rPr>
          <w:sz w:val="22"/>
          <w:lang w:val="en-GB"/>
        </w:rPr>
        <w:t>at</w:t>
      </w:r>
      <w:r w:rsidRPr="002C75B8">
        <w:rPr>
          <w:sz w:val="22"/>
          <w:lang w:val="en-GB"/>
        </w:rPr>
        <w:t xml:space="preserve"> private pharmacies. </w:t>
      </w:r>
    </w:p>
    <w:p w:rsidR="00B54812" w:rsidRPr="002C75B8" w:rsidRDefault="00B54812" w:rsidP="00B54812">
      <w:pPr>
        <w:ind w:left="0" w:firstLine="0"/>
        <w:rPr>
          <w:sz w:val="22"/>
          <w:lang w:val="en-GB"/>
        </w:rPr>
      </w:pPr>
      <w:r w:rsidRPr="002C75B8">
        <w:rPr>
          <w:sz w:val="22"/>
          <w:lang w:val="en-GB"/>
        </w:rPr>
        <w:t xml:space="preserve"> </w:t>
      </w:r>
    </w:p>
    <w:p w:rsidR="00B54812" w:rsidRPr="002C75B8" w:rsidRDefault="00B54812" w:rsidP="00B54812">
      <w:pPr>
        <w:ind w:left="0" w:firstLine="0"/>
        <w:rPr>
          <w:sz w:val="22"/>
          <w:lang w:val="en-GB"/>
        </w:rPr>
      </w:pPr>
    </w:p>
    <w:p w:rsidR="00B54812" w:rsidRPr="002C75B8" w:rsidRDefault="00B54812" w:rsidP="00B54812">
      <w:pPr>
        <w:spacing w:line="360" w:lineRule="auto"/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SOURCES OF INFORMATION</w:t>
      </w:r>
    </w:p>
    <w:p w:rsidR="00B54812" w:rsidRDefault="00B54812" w:rsidP="00B54812">
      <w:pPr>
        <w:numPr>
          <w:ilvl w:val="0"/>
          <w:numId w:val="6"/>
        </w:numPr>
        <w:rPr>
          <w:rFonts w:eastAsia="+mn-ea"/>
          <w:color w:val="000000"/>
          <w:kern w:val="24"/>
          <w:sz w:val="22"/>
          <w:lang w:val="en-US" w:eastAsia="es-ES"/>
        </w:rPr>
      </w:pPr>
      <w:r w:rsidRPr="002C75B8">
        <w:rPr>
          <w:rFonts w:eastAsia="+mn-ea"/>
          <w:color w:val="000000"/>
          <w:kern w:val="24"/>
          <w:sz w:val="22"/>
          <w:lang w:val="en-US" w:eastAsia="es-ES"/>
        </w:rPr>
        <w:t xml:space="preserve">Dr Hind </w:t>
      </w:r>
      <w:proofErr w:type="spellStart"/>
      <w:r w:rsidRPr="002C75B8">
        <w:rPr>
          <w:rFonts w:eastAsia="+mn-ea"/>
          <w:color w:val="000000"/>
          <w:kern w:val="24"/>
          <w:sz w:val="22"/>
          <w:lang w:val="en-US" w:eastAsia="es-ES"/>
        </w:rPr>
        <w:t>Bakour</w:t>
      </w:r>
      <w:proofErr w:type="spellEnd"/>
      <w:r w:rsidRPr="002C75B8">
        <w:rPr>
          <w:rFonts w:eastAsia="+mn-ea"/>
          <w:color w:val="000000"/>
          <w:kern w:val="24"/>
          <w:sz w:val="22"/>
          <w:lang w:val="en-US" w:eastAsia="es-ES"/>
        </w:rPr>
        <w:t>, Ministry of Health</w:t>
      </w:r>
      <w:r>
        <w:rPr>
          <w:rFonts w:eastAsia="+mn-ea"/>
          <w:color w:val="000000"/>
          <w:kern w:val="24"/>
          <w:sz w:val="22"/>
          <w:lang w:val="en-US" w:eastAsia="es-ES"/>
        </w:rPr>
        <w:t>.</w:t>
      </w:r>
    </w:p>
    <w:p w:rsidR="00B54812" w:rsidRPr="00C23663" w:rsidRDefault="00B54812" w:rsidP="00B54812">
      <w:pPr>
        <w:numPr>
          <w:ilvl w:val="0"/>
          <w:numId w:val="6"/>
        </w:numPr>
        <w:autoSpaceDE w:val="0"/>
        <w:autoSpaceDN w:val="0"/>
        <w:adjustRightInd w:val="0"/>
        <w:rPr>
          <w:i/>
          <w:iCs/>
          <w:sz w:val="22"/>
          <w:lang w:val="en-GB"/>
        </w:rPr>
      </w:pPr>
      <w:r>
        <w:rPr>
          <w:rFonts w:eastAsia="+mn-ea"/>
          <w:color w:val="000000"/>
          <w:kern w:val="24"/>
          <w:sz w:val="22"/>
          <w:lang w:val="en-US" w:eastAsia="es-ES"/>
        </w:rPr>
        <w:t xml:space="preserve">Dr Lama </w:t>
      </w:r>
      <w:proofErr w:type="spellStart"/>
      <w:r>
        <w:rPr>
          <w:rFonts w:eastAsia="+mn-ea"/>
          <w:color w:val="000000"/>
          <w:kern w:val="24"/>
          <w:sz w:val="22"/>
          <w:lang w:val="en-US" w:eastAsia="es-ES"/>
        </w:rPr>
        <w:t>Jalouk</w:t>
      </w:r>
      <w:proofErr w:type="spellEnd"/>
      <w:r>
        <w:rPr>
          <w:rFonts w:eastAsia="+mn-ea"/>
          <w:color w:val="000000"/>
          <w:kern w:val="24"/>
          <w:sz w:val="22"/>
          <w:lang w:val="en-US" w:eastAsia="es-ES"/>
        </w:rPr>
        <w:t>, Leishmaniasis National Program manager, Ministry of Health.</w:t>
      </w:r>
      <w:r w:rsidRPr="00C23663">
        <w:rPr>
          <w:i/>
          <w:iCs/>
          <w:sz w:val="22"/>
          <w:lang w:val="en-GB"/>
        </w:rPr>
        <w:t xml:space="preserve"> WHO Consultative meeting on Cutaneous Leishmaniasis in EMRO countries, </w:t>
      </w:r>
      <w:smartTag w:uri="urn:schemas-microsoft-com:office:smarttags" w:element="City">
        <w:smartTag w:uri="urn:schemas-microsoft-com:office:smarttags" w:element="place">
          <w:r w:rsidRPr="00C23663">
            <w:rPr>
              <w:i/>
              <w:iCs/>
              <w:sz w:val="22"/>
              <w:lang w:val="en-GB"/>
            </w:rPr>
            <w:t>Geneva</w:t>
          </w:r>
        </w:smartTag>
      </w:smartTag>
      <w:r w:rsidRPr="00C23663">
        <w:rPr>
          <w:i/>
          <w:iCs/>
          <w:sz w:val="22"/>
          <w:lang w:val="en-GB"/>
        </w:rPr>
        <w:t>, 30 April to 2 May 2007</w:t>
      </w:r>
      <w:r>
        <w:rPr>
          <w:i/>
          <w:iCs/>
          <w:sz w:val="22"/>
          <w:lang w:val="en-GB"/>
        </w:rPr>
        <w:t>.</w:t>
      </w:r>
    </w:p>
    <w:p w:rsidR="00B54812" w:rsidRPr="005D2877" w:rsidRDefault="00B54812" w:rsidP="00B54812">
      <w:pPr>
        <w:rPr>
          <w:rFonts w:eastAsia="+mn-ea"/>
          <w:color w:val="000000"/>
          <w:kern w:val="24"/>
          <w:sz w:val="22"/>
          <w:lang w:val="en-GB" w:eastAsia="es-ES"/>
        </w:rPr>
      </w:pPr>
    </w:p>
    <w:p w:rsidR="00B54812" w:rsidRDefault="00B54812" w:rsidP="00B54812">
      <w:pPr>
        <w:rPr>
          <w:rFonts w:eastAsia="+mn-ea"/>
          <w:color w:val="000000"/>
          <w:kern w:val="24"/>
          <w:sz w:val="22"/>
          <w:lang w:val="en-US" w:eastAsia="es-ES"/>
        </w:rPr>
      </w:pPr>
    </w:p>
    <w:p w:rsidR="00B54812" w:rsidRDefault="00B54812" w:rsidP="00B54812">
      <w:pPr>
        <w:ind w:left="0" w:firstLine="0"/>
        <w:rPr>
          <w:color w:val="000000"/>
          <w:sz w:val="22"/>
          <w:lang w:val="en-US"/>
        </w:rPr>
      </w:pPr>
    </w:p>
    <w:p w:rsidR="00B54812" w:rsidRPr="00B54812" w:rsidRDefault="00B54812" w:rsidP="00B54812">
      <w:pPr>
        <w:shd w:val="clear" w:color="auto" w:fill="FFFFFF"/>
        <w:ind w:left="0" w:firstLine="0"/>
        <w:rPr>
          <w:color w:val="000000"/>
          <w:sz w:val="22"/>
          <w:lang w:val="en-GB"/>
        </w:rPr>
      </w:pPr>
      <w:r w:rsidRPr="00B54812">
        <w:rPr>
          <w:color w:val="000000"/>
          <w:sz w:val="22"/>
          <w:lang w:val="en-GB"/>
        </w:rPr>
        <w:t xml:space="preserve">1. </w:t>
      </w:r>
      <w:hyperlink r:id="rId12" w:history="1">
        <w:r w:rsidRPr="00B54812">
          <w:rPr>
            <w:rStyle w:val="Hyperlink"/>
            <w:color w:val="000000"/>
            <w:sz w:val="22"/>
            <w:u w:val="none"/>
            <w:lang w:val="en-GB"/>
          </w:rPr>
          <w:t>Al-</w:t>
        </w:r>
        <w:proofErr w:type="spellStart"/>
        <w:r w:rsidRPr="00B54812">
          <w:rPr>
            <w:rStyle w:val="Hyperlink"/>
            <w:color w:val="000000"/>
            <w:sz w:val="22"/>
            <w:u w:val="none"/>
            <w:lang w:val="en-GB"/>
          </w:rPr>
          <w:t>Nahhas</w:t>
        </w:r>
        <w:proofErr w:type="spellEnd"/>
        <w:r w:rsidRPr="00B54812">
          <w:rPr>
            <w:rStyle w:val="Hyperlink"/>
            <w:color w:val="000000"/>
            <w:sz w:val="22"/>
            <w:u w:val="none"/>
            <w:lang w:val="en-GB"/>
          </w:rPr>
          <w:t xml:space="preserve"> S</w:t>
        </w:r>
      </w:hyperlink>
      <w:r w:rsidRPr="00B54812">
        <w:rPr>
          <w:color w:val="000000"/>
          <w:sz w:val="22"/>
          <w:lang w:val="en-GB"/>
        </w:rPr>
        <w:t xml:space="preserve">, </w:t>
      </w:r>
      <w:hyperlink r:id="rId13" w:history="1">
        <w:proofErr w:type="spellStart"/>
        <w:r w:rsidRPr="00B54812">
          <w:rPr>
            <w:rStyle w:val="Hyperlink"/>
            <w:color w:val="000000"/>
            <w:sz w:val="22"/>
            <w:u w:val="none"/>
            <w:lang w:val="en-GB"/>
          </w:rPr>
          <w:t>Shabaan</w:t>
        </w:r>
        <w:proofErr w:type="spellEnd"/>
        <w:r w:rsidRPr="00B54812">
          <w:rPr>
            <w:rStyle w:val="Hyperlink"/>
            <w:color w:val="000000"/>
            <w:sz w:val="22"/>
            <w:u w:val="none"/>
            <w:lang w:val="en-GB"/>
          </w:rPr>
          <w:t xml:space="preserve"> M</w:t>
        </w:r>
      </w:hyperlink>
      <w:r w:rsidRPr="00B54812">
        <w:rPr>
          <w:color w:val="000000"/>
          <w:sz w:val="22"/>
          <w:lang w:val="en-GB"/>
        </w:rPr>
        <w:t xml:space="preserve">, </w:t>
      </w:r>
      <w:hyperlink r:id="rId14" w:history="1">
        <w:proofErr w:type="spellStart"/>
        <w:r w:rsidRPr="00B54812">
          <w:rPr>
            <w:rStyle w:val="Hyperlink"/>
            <w:color w:val="000000"/>
            <w:sz w:val="22"/>
            <w:u w:val="none"/>
            <w:lang w:val="en-GB"/>
          </w:rPr>
          <w:t>Hammoud</w:t>
        </w:r>
        <w:proofErr w:type="spellEnd"/>
        <w:r w:rsidRPr="00B54812">
          <w:rPr>
            <w:rStyle w:val="Hyperlink"/>
            <w:color w:val="000000"/>
            <w:sz w:val="22"/>
            <w:u w:val="none"/>
            <w:lang w:val="en-GB"/>
          </w:rPr>
          <w:t xml:space="preserve"> L</w:t>
        </w:r>
      </w:hyperlink>
      <w:r w:rsidRPr="00B54812">
        <w:rPr>
          <w:color w:val="000000"/>
          <w:sz w:val="22"/>
          <w:lang w:val="en-GB"/>
        </w:rPr>
        <w:t xml:space="preserve">, </w:t>
      </w:r>
      <w:hyperlink r:id="rId15" w:history="1">
        <w:r w:rsidRPr="00B54812">
          <w:rPr>
            <w:rStyle w:val="Hyperlink"/>
            <w:color w:val="000000"/>
            <w:sz w:val="22"/>
            <w:u w:val="none"/>
            <w:lang w:val="en-GB"/>
          </w:rPr>
          <w:t>Al-</w:t>
        </w:r>
        <w:proofErr w:type="spellStart"/>
        <w:r w:rsidRPr="00B54812">
          <w:rPr>
            <w:rStyle w:val="Hyperlink"/>
            <w:color w:val="000000"/>
            <w:sz w:val="22"/>
            <w:u w:val="none"/>
            <w:lang w:val="en-GB"/>
          </w:rPr>
          <w:t>Taweel</w:t>
        </w:r>
        <w:proofErr w:type="spellEnd"/>
        <w:r w:rsidRPr="00B54812">
          <w:rPr>
            <w:rStyle w:val="Hyperlink"/>
            <w:color w:val="000000"/>
            <w:sz w:val="22"/>
            <w:u w:val="none"/>
            <w:lang w:val="en-GB"/>
          </w:rPr>
          <w:t xml:space="preserve"> A</w:t>
        </w:r>
      </w:hyperlink>
      <w:r w:rsidRPr="00B54812">
        <w:rPr>
          <w:color w:val="000000"/>
          <w:sz w:val="22"/>
          <w:lang w:val="en-GB"/>
        </w:rPr>
        <w:t xml:space="preserve">, </w:t>
      </w:r>
      <w:hyperlink r:id="rId16" w:history="1">
        <w:r w:rsidRPr="00B54812">
          <w:rPr>
            <w:rStyle w:val="Hyperlink"/>
            <w:color w:val="000000"/>
            <w:sz w:val="22"/>
            <w:u w:val="none"/>
            <w:lang w:val="en-GB"/>
          </w:rPr>
          <w:t>Al-</w:t>
        </w:r>
        <w:proofErr w:type="spellStart"/>
        <w:r w:rsidRPr="00B54812">
          <w:rPr>
            <w:rStyle w:val="Hyperlink"/>
            <w:color w:val="000000"/>
            <w:sz w:val="22"/>
            <w:u w:val="none"/>
            <w:lang w:val="en-GB"/>
          </w:rPr>
          <w:t>Jorf</w:t>
        </w:r>
        <w:proofErr w:type="spellEnd"/>
        <w:r w:rsidRPr="00B54812">
          <w:rPr>
            <w:rStyle w:val="Hyperlink"/>
            <w:color w:val="000000"/>
            <w:sz w:val="22"/>
            <w:u w:val="none"/>
            <w:lang w:val="en-GB"/>
          </w:rPr>
          <w:t xml:space="preserve"> S</w:t>
        </w:r>
      </w:hyperlink>
      <w:r w:rsidRPr="00B54812">
        <w:rPr>
          <w:color w:val="000000"/>
          <w:sz w:val="22"/>
        </w:rPr>
        <w:t xml:space="preserve"> (2003)</w:t>
      </w:r>
      <w:r w:rsidRPr="00B54812">
        <w:rPr>
          <w:color w:val="000000"/>
          <w:sz w:val="22"/>
          <w:lang w:val="en-GB"/>
        </w:rPr>
        <w:t xml:space="preserve">. Visceral leishmaniasis in the Syrian Arab Republic: early detection using rK39. </w:t>
      </w:r>
      <w:hyperlink r:id="rId17" w:anchor="#" w:tooltip="Eastern Mediterranean health journal = La revue de santé de la Méditerranée orientale = al-Majallah al-ṣiḥḥīyah li-sharq al-mutawassiṭ." w:history="1">
        <w:r w:rsidRPr="00B54812">
          <w:rPr>
            <w:rStyle w:val="Hyperlink"/>
            <w:color w:val="000000"/>
            <w:sz w:val="22"/>
            <w:u w:val="none"/>
            <w:lang w:val="en-GB"/>
          </w:rPr>
          <w:t xml:space="preserve">East </w:t>
        </w:r>
        <w:proofErr w:type="spellStart"/>
        <w:r w:rsidRPr="00B54812">
          <w:rPr>
            <w:rStyle w:val="Hyperlink"/>
            <w:color w:val="000000"/>
            <w:sz w:val="22"/>
            <w:u w:val="none"/>
            <w:lang w:val="en-GB"/>
          </w:rPr>
          <w:t>Mediterr</w:t>
        </w:r>
        <w:proofErr w:type="spellEnd"/>
        <w:r w:rsidRPr="00B54812">
          <w:rPr>
            <w:rStyle w:val="Hyperlink"/>
            <w:color w:val="000000"/>
            <w:sz w:val="22"/>
            <w:u w:val="none"/>
            <w:lang w:val="en-GB"/>
          </w:rPr>
          <w:t xml:space="preserve"> Health J.</w:t>
        </w:r>
      </w:hyperlink>
      <w:r w:rsidRPr="00B54812">
        <w:rPr>
          <w:color w:val="000000"/>
          <w:sz w:val="22"/>
          <w:lang w:val="en-GB"/>
        </w:rPr>
        <w:t xml:space="preserve"> 2003 Jul</w:t>
      </w:r>
      <w:proofErr w:type="gramStart"/>
      <w:r w:rsidRPr="00B54812">
        <w:rPr>
          <w:color w:val="000000"/>
          <w:sz w:val="22"/>
          <w:lang w:val="en-GB"/>
        </w:rPr>
        <w:t>;9</w:t>
      </w:r>
      <w:proofErr w:type="gramEnd"/>
      <w:r w:rsidRPr="00B54812">
        <w:rPr>
          <w:color w:val="000000"/>
          <w:sz w:val="22"/>
          <w:lang w:val="en-GB"/>
        </w:rPr>
        <w:t>(4):856-62.</w:t>
      </w:r>
    </w:p>
    <w:p w:rsidR="00B54812" w:rsidRPr="00B54812" w:rsidRDefault="00B54812" w:rsidP="00B54812">
      <w:pPr>
        <w:shd w:val="clear" w:color="auto" w:fill="FFFFFF"/>
        <w:ind w:left="0" w:firstLine="0"/>
        <w:rPr>
          <w:color w:val="000000"/>
          <w:sz w:val="22"/>
          <w:lang w:val="en-GB"/>
        </w:rPr>
      </w:pPr>
    </w:p>
    <w:p w:rsidR="00B54812" w:rsidRPr="00B54812" w:rsidRDefault="00B54812" w:rsidP="00B54812">
      <w:pPr>
        <w:ind w:left="0" w:firstLine="0"/>
        <w:rPr>
          <w:color w:val="000000"/>
          <w:sz w:val="22"/>
          <w:lang w:val="en-US"/>
        </w:rPr>
      </w:pPr>
      <w:r w:rsidRPr="00B54812">
        <w:rPr>
          <w:color w:val="000000"/>
          <w:sz w:val="22"/>
          <w:lang w:val="en-US"/>
        </w:rPr>
        <w:t>2. Desjeux P (1991) Information on the Epidemiology and Control of the Leishmaniases by Country or Territory. Geneva: World Health Organization.</w:t>
      </w:r>
    </w:p>
    <w:p w:rsidR="00B54812" w:rsidRPr="00B54812" w:rsidRDefault="00B54812" w:rsidP="00B54812">
      <w:pPr>
        <w:ind w:left="0" w:firstLine="0"/>
        <w:rPr>
          <w:color w:val="000000"/>
          <w:sz w:val="22"/>
          <w:lang w:val="en-GB"/>
        </w:rPr>
      </w:pPr>
    </w:p>
    <w:p w:rsidR="00B54812" w:rsidRPr="00B54812" w:rsidRDefault="00B54812" w:rsidP="00B54812">
      <w:pPr>
        <w:ind w:left="0" w:firstLine="0"/>
        <w:rPr>
          <w:color w:val="000000"/>
          <w:sz w:val="22"/>
        </w:rPr>
      </w:pPr>
      <w:r w:rsidRPr="00B54812">
        <w:rPr>
          <w:color w:val="000000"/>
          <w:sz w:val="22"/>
          <w:lang w:val="en-US"/>
        </w:rPr>
        <w:t xml:space="preserve">3. </w:t>
      </w:r>
      <w:hyperlink r:id="rId18" w:history="1">
        <w:r w:rsidRPr="00B54812">
          <w:rPr>
            <w:rStyle w:val="Hyperlink"/>
            <w:color w:val="000000"/>
            <w:sz w:val="22"/>
            <w:u w:val="none"/>
            <w:lang w:val="en-GB"/>
          </w:rPr>
          <w:t>Ashford RW</w:t>
        </w:r>
      </w:hyperlink>
      <w:r w:rsidRPr="00B54812">
        <w:rPr>
          <w:color w:val="000000"/>
          <w:sz w:val="22"/>
          <w:lang w:val="en-GB"/>
        </w:rPr>
        <w:t xml:space="preserve">, </w:t>
      </w:r>
      <w:hyperlink r:id="rId19" w:history="1">
        <w:proofErr w:type="spellStart"/>
        <w:r w:rsidRPr="00B54812">
          <w:rPr>
            <w:rStyle w:val="Hyperlink"/>
            <w:color w:val="000000"/>
            <w:sz w:val="22"/>
            <w:u w:val="none"/>
            <w:lang w:val="en-GB"/>
          </w:rPr>
          <w:t>Rioux</w:t>
        </w:r>
        <w:proofErr w:type="spellEnd"/>
        <w:r w:rsidRPr="00B54812">
          <w:rPr>
            <w:rStyle w:val="Hyperlink"/>
            <w:color w:val="000000"/>
            <w:sz w:val="22"/>
            <w:u w:val="none"/>
            <w:lang w:val="en-GB"/>
          </w:rPr>
          <w:t xml:space="preserve"> JA</w:t>
        </w:r>
      </w:hyperlink>
      <w:r w:rsidRPr="00B54812">
        <w:rPr>
          <w:color w:val="000000"/>
          <w:sz w:val="22"/>
          <w:lang w:val="en-GB"/>
        </w:rPr>
        <w:t xml:space="preserve">, </w:t>
      </w:r>
      <w:hyperlink r:id="rId20" w:history="1">
        <w:proofErr w:type="spellStart"/>
        <w:r w:rsidRPr="00B54812">
          <w:rPr>
            <w:rStyle w:val="Hyperlink"/>
            <w:color w:val="000000"/>
            <w:sz w:val="22"/>
            <w:u w:val="none"/>
            <w:lang w:val="en-GB"/>
          </w:rPr>
          <w:t>Jalouk</w:t>
        </w:r>
        <w:proofErr w:type="spellEnd"/>
        <w:r w:rsidRPr="00B54812">
          <w:rPr>
            <w:rStyle w:val="Hyperlink"/>
            <w:color w:val="000000"/>
            <w:sz w:val="22"/>
            <w:u w:val="none"/>
            <w:lang w:val="en-GB"/>
          </w:rPr>
          <w:t xml:space="preserve"> L</w:t>
        </w:r>
      </w:hyperlink>
      <w:r w:rsidRPr="00B54812">
        <w:rPr>
          <w:color w:val="000000"/>
          <w:sz w:val="22"/>
          <w:lang w:val="en-GB"/>
        </w:rPr>
        <w:t xml:space="preserve">, </w:t>
      </w:r>
      <w:hyperlink r:id="rId21" w:history="1">
        <w:proofErr w:type="spellStart"/>
        <w:r w:rsidRPr="00B54812">
          <w:rPr>
            <w:rStyle w:val="Hyperlink"/>
            <w:color w:val="000000"/>
            <w:sz w:val="22"/>
            <w:u w:val="none"/>
            <w:lang w:val="en-GB"/>
          </w:rPr>
          <w:t>Khiami</w:t>
        </w:r>
        <w:proofErr w:type="spellEnd"/>
        <w:r w:rsidRPr="00B54812">
          <w:rPr>
            <w:rStyle w:val="Hyperlink"/>
            <w:color w:val="000000"/>
            <w:sz w:val="22"/>
            <w:u w:val="none"/>
            <w:lang w:val="en-GB"/>
          </w:rPr>
          <w:t xml:space="preserve"> A</w:t>
        </w:r>
      </w:hyperlink>
      <w:r w:rsidRPr="00B54812">
        <w:rPr>
          <w:color w:val="000000"/>
          <w:sz w:val="22"/>
          <w:lang w:val="en-GB"/>
        </w:rPr>
        <w:t xml:space="preserve">, </w:t>
      </w:r>
      <w:hyperlink r:id="rId22" w:history="1">
        <w:r w:rsidRPr="00B54812">
          <w:rPr>
            <w:rStyle w:val="Hyperlink"/>
            <w:color w:val="000000"/>
            <w:sz w:val="22"/>
            <w:u w:val="none"/>
            <w:lang w:val="en-GB"/>
          </w:rPr>
          <w:t>Dye C</w:t>
        </w:r>
      </w:hyperlink>
      <w:r w:rsidRPr="00B54812">
        <w:rPr>
          <w:color w:val="000000"/>
          <w:sz w:val="22"/>
        </w:rPr>
        <w:t xml:space="preserve"> (1993).</w:t>
      </w:r>
      <w:r w:rsidRPr="00B54812">
        <w:rPr>
          <w:color w:val="000000"/>
          <w:sz w:val="22"/>
          <w:lang w:val="en-GB"/>
        </w:rPr>
        <w:t xml:space="preserve"> </w:t>
      </w:r>
      <w:proofErr w:type="gramStart"/>
      <w:r w:rsidRPr="00B54812">
        <w:rPr>
          <w:color w:val="000000"/>
          <w:sz w:val="22"/>
          <w:lang w:val="en-GB"/>
        </w:rPr>
        <w:t>Evidence for a long-term increase in the incidence of Leishmania tropica in Aleppo, Syria.</w:t>
      </w:r>
      <w:proofErr w:type="gramEnd"/>
      <w:r w:rsidRPr="00B54812">
        <w:rPr>
          <w:color w:val="000000"/>
          <w:sz w:val="22"/>
          <w:lang w:val="en-GB"/>
        </w:rPr>
        <w:t xml:space="preserve"> </w:t>
      </w:r>
      <w:hyperlink r:id="rId23" w:anchor="#" w:tooltip="Transactions of the Royal Society of Tropical Medicine and Hygiene." w:history="1">
        <w:proofErr w:type="spellStart"/>
        <w:r w:rsidRPr="00B54812">
          <w:rPr>
            <w:rStyle w:val="Hyperlink"/>
            <w:color w:val="000000"/>
            <w:sz w:val="22"/>
            <w:u w:val="none"/>
          </w:rPr>
          <w:t>Trans</w:t>
        </w:r>
        <w:proofErr w:type="spellEnd"/>
        <w:r w:rsidRPr="00B54812">
          <w:rPr>
            <w:rStyle w:val="Hyperlink"/>
            <w:color w:val="000000"/>
            <w:sz w:val="22"/>
            <w:u w:val="none"/>
          </w:rPr>
          <w:t xml:space="preserve"> R </w:t>
        </w:r>
        <w:proofErr w:type="spellStart"/>
        <w:r w:rsidRPr="00B54812">
          <w:rPr>
            <w:rStyle w:val="Hyperlink"/>
            <w:color w:val="000000"/>
            <w:sz w:val="22"/>
            <w:u w:val="none"/>
          </w:rPr>
          <w:t>Soc</w:t>
        </w:r>
        <w:proofErr w:type="spellEnd"/>
        <w:r w:rsidRPr="00B54812">
          <w:rPr>
            <w:rStyle w:val="Hyperlink"/>
            <w:color w:val="000000"/>
            <w:sz w:val="22"/>
            <w:u w:val="none"/>
          </w:rPr>
          <w:t xml:space="preserve"> </w:t>
        </w:r>
        <w:proofErr w:type="spellStart"/>
        <w:r w:rsidRPr="00B54812">
          <w:rPr>
            <w:rStyle w:val="Hyperlink"/>
            <w:color w:val="000000"/>
            <w:sz w:val="22"/>
            <w:u w:val="none"/>
          </w:rPr>
          <w:t>Trop</w:t>
        </w:r>
        <w:proofErr w:type="spellEnd"/>
        <w:r w:rsidRPr="00B54812">
          <w:rPr>
            <w:rStyle w:val="Hyperlink"/>
            <w:color w:val="000000"/>
            <w:sz w:val="22"/>
            <w:u w:val="none"/>
          </w:rPr>
          <w:t xml:space="preserve"> </w:t>
        </w:r>
        <w:proofErr w:type="spellStart"/>
        <w:r w:rsidRPr="00B54812">
          <w:rPr>
            <w:rStyle w:val="Hyperlink"/>
            <w:color w:val="000000"/>
            <w:sz w:val="22"/>
            <w:u w:val="none"/>
          </w:rPr>
          <w:t>Med</w:t>
        </w:r>
        <w:proofErr w:type="spellEnd"/>
        <w:r w:rsidRPr="00B54812">
          <w:rPr>
            <w:rStyle w:val="Hyperlink"/>
            <w:color w:val="000000"/>
            <w:sz w:val="22"/>
            <w:u w:val="none"/>
          </w:rPr>
          <w:t xml:space="preserve"> </w:t>
        </w:r>
        <w:proofErr w:type="spellStart"/>
        <w:r w:rsidRPr="00B54812">
          <w:rPr>
            <w:rStyle w:val="Hyperlink"/>
            <w:color w:val="000000"/>
            <w:sz w:val="22"/>
            <w:u w:val="none"/>
          </w:rPr>
          <w:t>Hyg</w:t>
        </w:r>
        <w:proofErr w:type="spellEnd"/>
        <w:r w:rsidRPr="00B54812">
          <w:rPr>
            <w:rStyle w:val="Hyperlink"/>
            <w:color w:val="000000"/>
            <w:sz w:val="22"/>
            <w:u w:val="none"/>
          </w:rPr>
          <w:t xml:space="preserve"> </w:t>
        </w:r>
      </w:hyperlink>
      <w:r w:rsidRPr="00B54812">
        <w:rPr>
          <w:color w:val="000000"/>
          <w:sz w:val="22"/>
        </w:rPr>
        <w:t>87(3):247-9.</w:t>
      </w:r>
    </w:p>
    <w:p w:rsidR="00B54812" w:rsidRPr="00B54812" w:rsidRDefault="00B54812" w:rsidP="00B54812">
      <w:pPr>
        <w:pStyle w:val="Heading1"/>
        <w:numPr>
          <w:ilvl w:val="0"/>
          <w:numId w:val="0"/>
        </w:numPr>
        <w:shd w:val="clear" w:color="auto" w:fill="FFFFFF"/>
        <w:jc w:val="both"/>
        <w:rPr>
          <w:b w:val="0"/>
          <w:bCs w:val="0"/>
          <w:sz w:val="27"/>
          <w:szCs w:val="27"/>
          <w:lang w:val="en-GB"/>
        </w:rPr>
      </w:pPr>
      <w:r w:rsidRPr="00B54812">
        <w:rPr>
          <w:b w:val="0"/>
          <w:bCs w:val="0"/>
          <w:color w:val="000000"/>
          <w:sz w:val="22"/>
          <w:lang w:val="es-CO"/>
        </w:rPr>
        <w:lastRenderedPageBreak/>
        <w:t xml:space="preserve">4. </w:t>
      </w:r>
      <w:proofErr w:type="spellStart"/>
      <w:r w:rsidRPr="00B54812">
        <w:rPr>
          <w:b w:val="0"/>
          <w:bCs w:val="0"/>
          <w:color w:val="000000"/>
          <w:sz w:val="22"/>
          <w:lang w:val="es-CO"/>
        </w:rPr>
        <w:t>Tayeh</w:t>
      </w:r>
      <w:proofErr w:type="spellEnd"/>
      <w:r w:rsidRPr="00B54812">
        <w:rPr>
          <w:b w:val="0"/>
          <w:bCs w:val="0"/>
          <w:color w:val="000000"/>
          <w:sz w:val="22"/>
          <w:lang w:val="es-CO"/>
        </w:rPr>
        <w:t xml:space="preserve"> </w:t>
      </w:r>
      <w:proofErr w:type="gramStart"/>
      <w:r w:rsidRPr="00B54812">
        <w:rPr>
          <w:b w:val="0"/>
          <w:bCs w:val="0"/>
          <w:color w:val="000000"/>
          <w:sz w:val="22"/>
          <w:lang w:val="es-CO"/>
        </w:rPr>
        <w:t>A</w:t>
      </w:r>
      <w:proofErr w:type="gramEnd"/>
      <w:r w:rsidRPr="00B54812">
        <w:rPr>
          <w:b w:val="0"/>
          <w:bCs w:val="0"/>
          <w:color w:val="000000"/>
          <w:sz w:val="22"/>
          <w:lang w:val="es-CO"/>
        </w:rPr>
        <w:t xml:space="preserve">, Lama J, </w:t>
      </w:r>
      <w:proofErr w:type="spellStart"/>
      <w:r w:rsidRPr="00B54812">
        <w:rPr>
          <w:b w:val="0"/>
          <w:bCs w:val="0"/>
          <w:color w:val="000000"/>
          <w:sz w:val="22"/>
          <w:lang w:val="es-CO"/>
        </w:rPr>
        <w:t>Cairncross</w:t>
      </w:r>
      <w:proofErr w:type="spellEnd"/>
      <w:r w:rsidRPr="00B54812">
        <w:rPr>
          <w:b w:val="0"/>
          <w:bCs w:val="0"/>
          <w:color w:val="000000"/>
          <w:sz w:val="22"/>
          <w:lang w:val="es-CO"/>
        </w:rPr>
        <w:t xml:space="preserve"> S (1997). </w:t>
      </w:r>
      <w:proofErr w:type="spellStart"/>
      <w:r w:rsidRPr="00B54812">
        <w:rPr>
          <w:b w:val="0"/>
          <w:bCs w:val="0"/>
          <w:color w:val="000000"/>
          <w:sz w:val="22"/>
          <w:lang w:val="es-CO"/>
        </w:rPr>
        <w:t>Twenty</w:t>
      </w:r>
      <w:proofErr w:type="spellEnd"/>
      <w:r w:rsidRPr="00B54812">
        <w:rPr>
          <w:b w:val="0"/>
          <w:bCs w:val="0"/>
          <w:color w:val="000000"/>
          <w:sz w:val="22"/>
          <w:lang w:val="es-CO"/>
        </w:rPr>
        <w:t xml:space="preserve"> </w:t>
      </w:r>
      <w:proofErr w:type="spellStart"/>
      <w:r w:rsidRPr="00B54812">
        <w:rPr>
          <w:b w:val="0"/>
          <w:bCs w:val="0"/>
          <w:color w:val="000000"/>
          <w:sz w:val="22"/>
          <w:lang w:val="es-CO"/>
        </w:rPr>
        <w:t>years</w:t>
      </w:r>
      <w:proofErr w:type="spellEnd"/>
      <w:r w:rsidRPr="00B54812">
        <w:rPr>
          <w:b w:val="0"/>
          <w:bCs w:val="0"/>
          <w:color w:val="000000"/>
          <w:sz w:val="22"/>
          <w:lang w:val="es-CO"/>
        </w:rPr>
        <w:t xml:space="preserve"> of cutaneous leishmaniasis in </w:t>
      </w:r>
      <w:proofErr w:type="spellStart"/>
      <w:r w:rsidRPr="00B54812">
        <w:rPr>
          <w:b w:val="0"/>
          <w:bCs w:val="0"/>
          <w:color w:val="000000"/>
          <w:sz w:val="22"/>
          <w:lang w:val="es-CO"/>
        </w:rPr>
        <w:t>Aleppo</w:t>
      </w:r>
      <w:proofErr w:type="spellEnd"/>
      <w:r w:rsidRPr="00B54812">
        <w:rPr>
          <w:b w:val="0"/>
          <w:bCs w:val="0"/>
          <w:color w:val="000000"/>
          <w:sz w:val="22"/>
          <w:lang w:val="es-CO"/>
        </w:rPr>
        <w:t xml:space="preserve">, </w:t>
      </w:r>
      <w:proofErr w:type="spellStart"/>
      <w:r w:rsidRPr="00B54812">
        <w:rPr>
          <w:b w:val="0"/>
          <w:bCs w:val="0"/>
          <w:color w:val="000000"/>
          <w:sz w:val="22"/>
          <w:lang w:val="es-CO"/>
        </w:rPr>
        <w:t>Syria</w:t>
      </w:r>
      <w:proofErr w:type="spellEnd"/>
      <w:r w:rsidRPr="00B54812">
        <w:rPr>
          <w:b w:val="0"/>
          <w:bCs w:val="0"/>
          <w:color w:val="000000"/>
          <w:sz w:val="22"/>
          <w:lang w:val="es-CO"/>
        </w:rPr>
        <w:t xml:space="preserve">. </w:t>
      </w:r>
      <w:proofErr w:type="gramStart"/>
      <w:r w:rsidRPr="00B54812">
        <w:rPr>
          <w:b w:val="0"/>
          <w:bCs w:val="0"/>
          <w:color w:val="000000"/>
          <w:sz w:val="22"/>
          <w:lang w:val="en-US"/>
        </w:rPr>
        <w:t xml:space="preserve">Trans R Soc </w:t>
      </w:r>
      <w:proofErr w:type="spellStart"/>
      <w:r w:rsidRPr="00B54812">
        <w:rPr>
          <w:b w:val="0"/>
          <w:bCs w:val="0"/>
          <w:color w:val="000000"/>
          <w:sz w:val="22"/>
          <w:lang w:val="en-US"/>
        </w:rPr>
        <w:t>Trop</w:t>
      </w:r>
      <w:proofErr w:type="spellEnd"/>
      <w:r w:rsidRPr="00B54812">
        <w:rPr>
          <w:b w:val="0"/>
          <w:bCs w:val="0"/>
          <w:color w:val="000000"/>
          <w:sz w:val="22"/>
          <w:lang w:val="en-US"/>
        </w:rPr>
        <w:t xml:space="preserve"> Med </w:t>
      </w:r>
      <w:proofErr w:type="spellStart"/>
      <w:r w:rsidRPr="00B54812">
        <w:rPr>
          <w:b w:val="0"/>
          <w:bCs w:val="0"/>
          <w:color w:val="000000"/>
          <w:sz w:val="22"/>
          <w:lang w:val="en-US"/>
        </w:rPr>
        <w:t>Hyg</w:t>
      </w:r>
      <w:proofErr w:type="spellEnd"/>
      <w:r w:rsidRPr="00B54812">
        <w:rPr>
          <w:b w:val="0"/>
          <w:bCs w:val="0"/>
          <w:color w:val="000000"/>
          <w:sz w:val="22"/>
          <w:lang w:val="en-US"/>
        </w:rPr>
        <w:t xml:space="preserve"> 91,657-659.</w:t>
      </w:r>
      <w:proofErr w:type="gramEnd"/>
    </w:p>
    <w:p w:rsidR="00B54812" w:rsidRPr="00B54812" w:rsidRDefault="00B54812" w:rsidP="00B54812">
      <w:pPr>
        <w:shd w:val="clear" w:color="auto" w:fill="FFFFFF"/>
        <w:ind w:left="0" w:firstLine="0"/>
        <w:rPr>
          <w:rFonts w:eastAsia="SimSun"/>
          <w:color w:val="000000"/>
          <w:sz w:val="22"/>
          <w:lang w:val="en-GB" w:eastAsia="zh-CN"/>
        </w:rPr>
      </w:pPr>
      <w:r w:rsidRPr="00B54812">
        <w:rPr>
          <w:rFonts w:eastAsia="SimSun"/>
          <w:color w:val="000000"/>
          <w:sz w:val="22"/>
          <w:lang w:val="en-GB" w:eastAsia="zh-CN"/>
        </w:rPr>
        <w:t xml:space="preserve">5. </w:t>
      </w:r>
      <w:proofErr w:type="spellStart"/>
      <w:r w:rsidRPr="00B54812">
        <w:rPr>
          <w:rFonts w:eastAsia="SimSun"/>
          <w:color w:val="000000"/>
          <w:sz w:val="22"/>
          <w:lang w:val="en-GB" w:eastAsia="zh-CN"/>
        </w:rPr>
        <w:t>Rioux</w:t>
      </w:r>
      <w:proofErr w:type="spellEnd"/>
      <w:r w:rsidRPr="00B54812">
        <w:rPr>
          <w:rFonts w:eastAsia="SimSun"/>
          <w:color w:val="000000"/>
          <w:sz w:val="22"/>
          <w:lang w:val="en-GB" w:eastAsia="zh-CN"/>
        </w:rPr>
        <w:t xml:space="preserve"> JA, </w:t>
      </w:r>
      <w:proofErr w:type="spellStart"/>
      <w:r w:rsidRPr="00B54812">
        <w:rPr>
          <w:rFonts w:eastAsia="SimSun"/>
          <w:color w:val="000000"/>
          <w:sz w:val="22"/>
          <w:lang w:val="en-GB" w:eastAsia="zh-CN"/>
        </w:rPr>
        <w:t>Dereure</w:t>
      </w:r>
      <w:proofErr w:type="spellEnd"/>
      <w:r w:rsidRPr="00B54812">
        <w:rPr>
          <w:rFonts w:eastAsia="SimSun"/>
          <w:color w:val="000000"/>
          <w:sz w:val="22"/>
          <w:lang w:val="en-GB" w:eastAsia="zh-CN"/>
        </w:rPr>
        <w:t xml:space="preserve"> J, </w:t>
      </w:r>
      <w:proofErr w:type="spellStart"/>
      <w:r w:rsidRPr="00B54812">
        <w:rPr>
          <w:rFonts w:eastAsia="SimSun"/>
          <w:color w:val="000000"/>
          <w:sz w:val="22"/>
          <w:lang w:val="en-GB" w:eastAsia="zh-CN"/>
        </w:rPr>
        <w:t>Khiami</w:t>
      </w:r>
      <w:proofErr w:type="spellEnd"/>
      <w:r w:rsidRPr="00B54812">
        <w:rPr>
          <w:rFonts w:eastAsia="SimSun"/>
          <w:color w:val="000000"/>
          <w:sz w:val="22"/>
          <w:lang w:val="en-GB" w:eastAsia="zh-CN"/>
        </w:rPr>
        <w:t xml:space="preserve"> A, </w:t>
      </w:r>
      <w:proofErr w:type="spellStart"/>
      <w:r w:rsidRPr="00B54812">
        <w:rPr>
          <w:rFonts w:eastAsia="SimSun"/>
          <w:color w:val="000000"/>
          <w:sz w:val="22"/>
          <w:lang w:val="en-GB" w:eastAsia="zh-CN"/>
        </w:rPr>
        <w:t>Pratlong</w:t>
      </w:r>
      <w:proofErr w:type="spellEnd"/>
      <w:r w:rsidRPr="00B54812">
        <w:rPr>
          <w:rFonts w:eastAsia="SimSun"/>
          <w:color w:val="000000"/>
          <w:sz w:val="22"/>
          <w:lang w:val="en-GB" w:eastAsia="zh-CN"/>
        </w:rPr>
        <w:t xml:space="preserve"> F, </w:t>
      </w:r>
      <w:proofErr w:type="spellStart"/>
      <w:r w:rsidRPr="00B54812">
        <w:rPr>
          <w:rFonts w:eastAsia="SimSun"/>
          <w:color w:val="000000"/>
          <w:sz w:val="22"/>
          <w:lang w:val="en-GB" w:eastAsia="zh-CN"/>
        </w:rPr>
        <w:t>Sirdar</w:t>
      </w:r>
      <w:proofErr w:type="spellEnd"/>
      <w:r w:rsidRPr="00B54812">
        <w:rPr>
          <w:rFonts w:eastAsia="SimSun"/>
          <w:color w:val="000000"/>
          <w:sz w:val="22"/>
          <w:lang w:val="en-GB" w:eastAsia="zh-CN"/>
        </w:rPr>
        <w:t xml:space="preserve"> K, et al (1990). </w:t>
      </w:r>
      <w:hyperlink r:id="rId24" w:history="1">
        <w:proofErr w:type="spellStart"/>
        <w:proofErr w:type="gramStart"/>
        <w:r w:rsidRPr="00B54812">
          <w:rPr>
            <w:rFonts w:eastAsia="SimSun"/>
            <w:color w:val="000000"/>
            <w:sz w:val="22"/>
            <w:lang w:val="en-GB" w:eastAsia="zh-CN"/>
          </w:rPr>
          <w:t>Ecoepidemiology</w:t>
        </w:r>
        <w:proofErr w:type="spellEnd"/>
        <w:r w:rsidRPr="00B54812">
          <w:rPr>
            <w:rFonts w:eastAsia="SimSun"/>
            <w:color w:val="000000"/>
            <w:sz w:val="22"/>
            <w:lang w:val="en-GB" w:eastAsia="zh-CN"/>
          </w:rPr>
          <w:t xml:space="preserve"> of leishmaniasis in Syria.</w:t>
        </w:r>
        <w:proofErr w:type="gramEnd"/>
        <w:r w:rsidRPr="00B54812">
          <w:rPr>
            <w:rFonts w:eastAsia="SimSun"/>
            <w:color w:val="000000"/>
            <w:sz w:val="22"/>
            <w:lang w:val="en-GB" w:eastAsia="zh-CN"/>
          </w:rPr>
          <w:t xml:space="preserve"> </w:t>
        </w:r>
        <w:proofErr w:type="gramStart"/>
        <w:r w:rsidRPr="00B54812">
          <w:rPr>
            <w:rFonts w:eastAsia="SimSun"/>
            <w:color w:val="000000"/>
            <w:sz w:val="22"/>
            <w:lang w:val="en-GB" w:eastAsia="zh-CN"/>
          </w:rPr>
          <w:t xml:space="preserve">1. Leishmania major </w:t>
        </w:r>
        <w:proofErr w:type="spellStart"/>
        <w:r w:rsidRPr="00B54812">
          <w:rPr>
            <w:rFonts w:eastAsia="SimSun"/>
            <w:color w:val="000000"/>
            <w:sz w:val="22"/>
            <w:lang w:val="en-GB" w:eastAsia="zh-CN"/>
          </w:rPr>
          <w:t>Yakimoff</w:t>
        </w:r>
        <w:proofErr w:type="spellEnd"/>
        <w:r w:rsidRPr="00B54812">
          <w:rPr>
            <w:rFonts w:eastAsia="SimSun"/>
            <w:color w:val="000000"/>
            <w:sz w:val="22"/>
            <w:lang w:val="en-GB" w:eastAsia="zh-CN"/>
          </w:rPr>
          <w:t xml:space="preserve"> and </w:t>
        </w:r>
        <w:proofErr w:type="spellStart"/>
        <w:r w:rsidRPr="00B54812">
          <w:rPr>
            <w:rFonts w:eastAsia="SimSun"/>
            <w:color w:val="000000"/>
            <w:sz w:val="22"/>
            <w:lang w:val="en-GB" w:eastAsia="zh-CN"/>
          </w:rPr>
          <w:t>Schokhor</w:t>
        </w:r>
        <w:proofErr w:type="spellEnd"/>
        <w:r w:rsidRPr="00B54812">
          <w:rPr>
            <w:rFonts w:eastAsia="SimSun"/>
            <w:color w:val="000000"/>
            <w:sz w:val="22"/>
            <w:lang w:val="en-GB" w:eastAsia="zh-CN"/>
          </w:rPr>
          <w:t xml:space="preserve"> (</w:t>
        </w:r>
        <w:proofErr w:type="spellStart"/>
        <w:r w:rsidRPr="00B54812">
          <w:rPr>
            <w:rFonts w:eastAsia="SimSun"/>
            <w:color w:val="000000"/>
            <w:sz w:val="22"/>
            <w:lang w:val="en-GB" w:eastAsia="zh-CN"/>
          </w:rPr>
          <w:t>Kinetoplastida-Trypanosomatidae</w:t>
        </w:r>
        <w:proofErr w:type="spellEnd"/>
        <w:r w:rsidRPr="00B54812">
          <w:rPr>
            <w:rFonts w:eastAsia="SimSun"/>
            <w:color w:val="000000"/>
            <w:sz w:val="22"/>
            <w:lang w:val="en-GB" w:eastAsia="zh-CN"/>
          </w:rPr>
          <w:t xml:space="preserve">) infestation of </w:t>
        </w:r>
        <w:proofErr w:type="spellStart"/>
        <w:r w:rsidRPr="00B54812">
          <w:rPr>
            <w:rFonts w:eastAsia="SimSun"/>
            <w:color w:val="000000"/>
            <w:sz w:val="22"/>
            <w:lang w:val="en-GB" w:eastAsia="zh-CN"/>
          </w:rPr>
          <w:t>Psammomys</w:t>
        </w:r>
        <w:proofErr w:type="spellEnd"/>
        <w:r w:rsidRPr="00B54812">
          <w:rPr>
            <w:rFonts w:eastAsia="SimSun"/>
            <w:color w:val="000000"/>
            <w:sz w:val="22"/>
            <w:lang w:val="en-GB" w:eastAsia="zh-CN"/>
          </w:rPr>
          <w:t xml:space="preserve"> </w:t>
        </w:r>
        <w:proofErr w:type="spellStart"/>
        <w:r w:rsidRPr="00B54812">
          <w:rPr>
            <w:rFonts w:eastAsia="SimSun"/>
            <w:color w:val="000000"/>
            <w:sz w:val="22"/>
            <w:lang w:val="en-GB" w:eastAsia="zh-CN"/>
          </w:rPr>
          <w:t>obesus</w:t>
        </w:r>
        <w:proofErr w:type="spellEnd"/>
        <w:r w:rsidRPr="00B54812">
          <w:rPr>
            <w:rFonts w:eastAsia="SimSun"/>
            <w:color w:val="000000"/>
            <w:sz w:val="22"/>
            <w:lang w:val="en-GB" w:eastAsia="zh-CN"/>
          </w:rPr>
          <w:t xml:space="preserve"> </w:t>
        </w:r>
        <w:proofErr w:type="spellStart"/>
        <w:r w:rsidRPr="00B54812">
          <w:rPr>
            <w:rFonts w:eastAsia="SimSun"/>
            <w:color w:val="000000"/>
            <w:sz w:val="22"/>
            <w:lang w:val="en-GB" w:eastAsia="zh-CN"/>
          </w:rPr>
          <w:t>Cretzschmar</w:t>
        </w:r>
        <w:proofErr w:type="spellEnd"/>
        <w:r w:rsidRPr="00B54812">
          <w:rPr>
            <w:rFonts w:eastAsia="SimSun"/>
            <w:color w:val="000000"/>
            <w:sz w:val="22"/>
            <w:lang w:val="en-GB" w:eastAsia="zh-CN"/>
          </w:rPr>
          <w:t xml:space="preserve"> (</w:t>
        </w:r>
        <w:proofErr w:type="spellStart"/>
        <w:r w:rsidRPr="00B54812">
          <w:rPr>
            <w:rFonts w:eastAsia="SimSun"/>
            <w:color w:val="000000"/>
            <w:sz w:val="22"/>
            <w:lang w:val="en-GB" w:eastAsia="zh-CN"/>
          </w:rPr>
          <w:t>Rodentia-Gerbillidae</w:t>
        </w:r>
        <w:proofErr w:type="spellEnd"/>
        <w:r w:rsidRPr="00B54812">
          <w:rPr>
            <w:rFonts w:eastAsia="SimSun"/>
            <w:color w:val="000000"/>
            <w:sz w:val="22"/>
            <w:lang w:val="en-GB" w:eastAsia="zh-CN"/>
          </w:rPr>
          <w:t>)].</w:t>
        </w:r>
        <w:proofErr w:type="gramEnd"/>
      </w:hyperlink>
      <w:r w:rsidRPr="00B54812">
        <w:rPr>
          <w:rFonts w:eastAsia="SimSun"/>
          <w:color w:val="000000"/>
          <w:sz w:val="22"/>
          <w:lang w:val="en-GB" w:eastAsia="zh-CN"/>
        </w:rPr>
        <w:t xml:space="preserve"> Ann </w:t>
      </w:r>
      <w:proofErr w:type="spellStart"/>
      <w:r w:rsidRPr="00B54812">
        <w:rPr>
          <w:rFonts w:eastAsia="SimSun"/>
          <w:color w:val="000000"/>
          <w:sz w:val="22"/>
          <w:lang w:val="en-GB" w:eastAsia="zh-CN"/>
        </w:rPr>
        <w:t>Parasitol</w:t>
      </w:r>
      <w:proofErr w:type="spellEnd"/>
      <w:r w:rsidRPr="00B54812">
        <w:rPr>
          <w:rFonts w:eastAsia="SimSun"/>
          <w:color w:val="000000"/>
          <w:sz w:val="22"/>
          <w:lang w:val="en-GB" w:eastAsia="zh-CN"/>
        </w:rPr>
        <w:t xml:space="preserve"> Hum Comp 65(5-6):203-7.</w:t>
      </w:r>
    </w:p>
    <w:p w:rsidR="002F7C1A" w:rsidRPr="00B54812" w:rsidRDefault="002F7C1A" w:rsidP="00B54812"/>
    <w:sectPr w:rsidR="002F7C1A" w:rsidRPr="00B54812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4C4C"/>
    <w:multiLevelType w:val="hybridMultilevel"/>
    <w:tmpl w:val="17D829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37037A"/>
    <w:multiLevelType w:val="hybridMultilevel"/>
    <w:tmpl w:val="42CC1D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54812"/>
    <w:rsid w:val="000028F1"/>
    <w:rsid w:val="00004D93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54812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12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lang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ind w:left="1296" w:hanging="1296"/>
      <w:outlineLvl w:val="6"/>
    </w:pPr>
    <w:rPr>
      <w:rFonts w:ascii="Cambria" w:eastAsia="Times New Roman" w:hAnsi="Cambria" w:cs="Times New Roman"/>
      <w:i/>
      <w:iCs/>
      <w:lang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ind w:left="1440" w:hanging="1440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B54812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nhideWhenUsed/>
    <w:rsid w:val="00B548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12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ncbi.nlm.nih.gov/pubmed?term=%22Shabaan%20M%22%5BAuthor%5D" TargetMode="External"/><Relationship Id="rId18" Type="http://schemas.openxmlformats.org/officeDocument/2006/relationships/hyperlink" Target="http://www.ncbi.nlm.nih.gov/pubmed?term=%22Ashford%20RW%22%5BAuthor%5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?term=%22Khiami%20A%22%5BAuthor%5D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www.ncbi.nlm.nih.gov/pubmed?term=%22Al-Nahhas%20S%22%5BAuthor%5D" TargetMode="External"/><Relationship Id="rId17" Type="http://schemas.openxmlformats.org/officeDocument/2006/relationships/hyperlink" Target="http://www.ncbi.nlm.nih.gov/pubmed/1574808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%22Al-Jorf%20S%22%5BAuthor%5D" TargetMode="External"/><Relationship Id="rId20" Type="http://schemas.openxmlformats.org/officeDocument/2006/relationships/hyperlink" Target="http://www.ncbi.nlm.nih.gov/pubmed?term=%22Jalouk%20L%22%5BAuthor%5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hart" Target="charts/chart2.xml"/><Relationship Id="rId24" Type="http://schemas.openxmlformats.org/officeDocument/2006/relationships/hyperlink" Target="http://www.ncbi.nlm.nih.gov/pubmed/209793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ncbi.nlm.nih.gov/pubmed?term=%22Al-Taweel%20A%22%5BAuthor%5D" TargetMode="External"/><Relationship Id="rId23" Type="http://schemas.openxmlformats.org/officeDocument/2006/relationships/hyperlink" Target="http://www.ncbi.nlm.nih.gov/pubmed/8236380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://www.ncbi.nlm.nih.gov/pubmed?term=%22Rioux%20JA%22%5BAuthor%5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ncbi.nlm.nih.gov/pubmed?term=%22Hammoud%20L%22%5BAuthor%5D" TargetMode="External"/><Relationship Id="rId22" Type="http://schemas.openxmlformats.org/officeDocument/2006/relationships/hyperlink" Target="http://www.ncbi.nlm.nih.gov/pubmed?term=%22Dye%20C%22%5BAuthor%5D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25"/>
      <c:hPercent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1661891117478555E-2"/>
          <c:y val="4.8275862068965475E-2"/>
          <c:w val="0.90401146131805155"/>
          <c:h val="0.7758620689655172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4F81BD"/>
            </a:solidFill>
            <a:ln w="12688">
              <a:solidFill>
                <a:srgbClr val="000000"/>
              </a:solidFill>
              <a:prstDash val="solid"/>
            </a:ln>
          </c:spPr>
          <c:cat>
            <c:numRef>
              <c:f>Sheet1!$B$1:$R$1</c:f>
              <c:numCache>
                <c:formatCode>General</c:formatCode>
                <c:ptCount val="17"/>
                <c:pt idx="0">
                  <c:v>1194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</c:numCache>
            </c:numRef>
          </c:cat>
          <c:val>
            <c:numRef>
              <c:f>Sheet1!$B$2:$R$2</c:f>
              <c:numCache>
                <c:formatCode>General</c:formatCode>
                <c:ptCount val="17"/>
                <c:pt idx="0">
                  <c:v>28</c:v>
                </c:pt>
                <c:pt idx="1">
                  <c:v>15</c:v>
                </c:pt>
                <c:pt idx="2">
                  <c:v>25</c:v>
                </c:pt>
                <c:pt idx="3">
                  <c:v>30</c:v>
                </c:pt>
                <c:pt idx="4">
                  <c:v>44</c:v>
                </c:pt>
                <c:pt idx="5">
                  <c:v>55</c:v>
                </c:pt>
                <c:pt idx="6">
                  <c:v>37</c:v>
                </c:pt>
                <c:pt idx="7">
                  <c:v>30</c:v>
                </c:pt>
                <c:pt idx="8">
                  <c:v>38</c:v>
                </c:pt>
                <c:pt idx="9">
                  <c:v>36</c:v>
                </c:pt>
                <c:pt idx="10">
                  <c:v>19</c:v>
                </c:pt>
                <c:pt idx="11">
                  <c:v>19</c:v>
                </c:pt>
                <c:pt idx="12">
                  <c:v>3</c:v>
                </c:pt>
                <c:pt idx="13">
                  <c:v>11</c:v>
                </c:pt>
                <c:pt idx="14">
                  <c:v>17</c:v>
                </c:pt>
                <c:pt idx="15">
                  <c:v>16</c:v>
                </c:pt>
                <c:pt idx="16">
                  <c:v>19</c:v>
                </c:pt>
              </c:numCache>
            </c:numRef>
          </c:val>
        </c:ser>
        <c:gapDepth val="0"/>
        <c:shape val="box"/>
        <c:axId val="372812800"/>
        <c:axId val="386061440"/>
        <c:axId val="0"/>
      </c:bar3DChart>
      <c:catAx>
        <c:axId val="372812800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86061440"/>
        <c:crosses val="autoZero"/>
        <c:auto val="1"/>
        <c:lblAlgn val="ctr"/>
        <c:lblOffset val="100"/>
        <c:tickLblSkip val="1"/>
        <c:tickMarkSkip val="1"/>
      </c:catAx>
      <c:valAx>
        <c:axId val="386061440"/>
        <c:scaling>
          <c:orientation val="minMax"/>
        </c:scaling>
        <c:axPos val="l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728128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2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376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25"/>
      <c:hPercent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1661891117478555E-2"/>
          <c:y val="4.8275862068965475E-2"/>
          <c:w val="0.90401146131805155"/>
          <c:h val="0.7758620689655172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4F81BD"/>
            </a:solidFill>
            <a:ln w="12688">
              <a:solidFill>
                <a:srgbClr val="000000"/>
              </a:solidFill>
              <a:prstDash val="solid"/>
            </a:ln>
          </c:spPr>
          <c:cat>
            <c:numRef>
              <c:f>Sheet1!$B$1:$R$1</c:f>
              <c:numCache>
                <c:formatCode>General</c:formatCode>
                <c:ptCount val="17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</c:numCache>
            </c:numRef>
          </c:cat>
          <c:val>
            <c:numRef>
              <c:f>Sheet1!$B$2:$R$2</c:f>
              <c:numCache>
                <c:formatCode>General</c:formatCode>
                <c:ptCount val="17"/>
                <c:pt idx="0">
                  <c:v>15717</c:v>
                </c:pt>
                <c:pt idx="1">
                  <c:v>17109</c:v>
                </c:pt>
                <c:pt idx="2">
                  <c:v>14010</c:v>
                </c:pt>
                <c:pt idx="3">
                  <c:v>12027</c:v>
                </c:pt>
                <c:pt idx="4">
                  <c:v>8893</c:v>
                </c:pt>
                <c:pt idx="5">
                  <c:v>12832</c:v>
                </c:pt>
                <c:pt idx="6">
                  <c:v>19837</c:v>
                </c:pt>
                <c:pt idx="7">
                  <c:v>24839</c:v>
                </c:pt>
                <c:pt idx="8">
                  <c:v>21560</c:v>
                </c:pt>
                <c:pt idx="9">
                  <c:v>28881</c:v>
                </c:pt>
                <c:pt idx="10">
                  <c:v>26878</c:v>
                </c:pt>
                <c:pt idx="11">
                  <c:v>21951</c:v>
                </c:pt>
                <c:pt idx="12">
                  <c:v>18732</c:v>
                </c:pt>
                <c:pt idx="13">
                  <c:v>17709</c:v>
                </c:pt>
                <c:pt idx="14">
                  <c:v>29140</c:v>
                </c:pt>
                <c:pt idx="15">
                  <c:v>46398</c:v>
                </c:pt>
                <c:pt idx="16">
                  <c:v>42165</c:v>
                </c:pt>
              </c:numCache>
            </c:numRef>
          </c:val>
        </c:ser>
        <c:gapDepth val="0"/>
        <c:shape val="box"/>
        <c:axId val="392441216"/>
        <c:axId val="392443008"/>
        <c:axId val="0"/>
      </c:bar3DChart>
      <c:catAx>
        <c:axId val="392441216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92443008"/>
        <c:crosses val="autoZero"/>
        <c:auto val="1"/>
        <c:lblAlgn val="ctr"/>
        <c:lblOffset val="100"/>
        <c:tickLblSkip val="1"/>
        <c:tickMarkSkip val="1"/>
      </c:catAx>
      <c:valAx>
        <c:axId val="392443008"/>
        <c:scaling>
          <c:orientation val="minMax"/>
        </c:scaling>
        <c:axPos val="l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924412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2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376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1062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2012-04-02T14:28:00Z</dcterms:created>
  <dcterms:modified xsi:type="dcterms:W3CDTF">2012-04-02T14:42:00Z</dcterms:modified>
</cp:coreProperties>
</file>