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D7" w:rsidRPr="002C75B8" w:rsidRDefault="00E73ED7" w:rsidP="00E73ED7">
      <w:pPr>
        <w:autoSpaceDE w:val="0"/>
        <w:autoSpaceDN w:val="0"/>
        <w:adjustRightInd w:val="0"/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SURINAME</w:t>
          </w:r>
        </w:smartTag>
      </w:smartTag>
    </w:p>
    <w:p w:rsidR="00E73ED7" w:rsidRPr="002C75B8" w:rsidRDefault="00E73ED7" w:rsidP="00E73ED7">
      <w:pPr>
        <w:autoSpaceDE w:val="0"/>
        <w:autoSpaceDN w:val="0"/>
        <w:adjustRightInd w:val="0"/>
        <w:ind w:left="0" w:firstLine="0"/>
        <w:rPr>
          <w:bCs/>
          <w:sz w:val="22"/>
          <w:u w:val="single"/>
          <w:lang w:val="en-US"/>
        </w:rPr>
      </w:pPr>
    </w:p>
    <w:p w:rsidR="00E73ED7" w:rsidRPr="002C75B8" w:rsidRDefault="00E73ED7" w:rsidP="00E73ED7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289810" cy="1534795"/>
            <wp:effectExtent l="19050" t="0" r="0" b="0"/>
            <wp:docPr id="1" name="Imagen 1" descr="SR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R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D7" w:rsidRPr="002C75B8" w:rsidRDefault="00E73ED7" w:rsidP="00E73ED7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Total Population: </w:t>
      </w:r>
      <w:r>
        <w:rPr>
          <w:sz w:val="22"/>
          <w:lang w:val="en-US"/>
        </w:rPr>
        <w:t>524,636</w:t>
      </w:r>
      <w:r w:rsidRPr="002C75B8">
        <w:rPr>
          <w:sz w:val="22"/>
          <w:lang w:val="en-US"/>
        </w:rPr>
        <w:t xml:space="preserve"> 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0-14 years: 29% 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2</w:t>
      </w:r>
      <w:r>
        <w:rPr>
          <w:sz w:val="22"/>
          <w:lang w:val="en-US"/>
        </w:rPr>
        <w:t>4</w:t>
      </w:r>
      <w:r w:rsidRPr="002C75B8">
        <w:rPr>
          <w:sz w:val="22"/>
          <w:lang w:val="en-US"/>
        </w:rPr>
        <w:t xml:space="preserve">% 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no data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no data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Upper middle income economy 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</w:t>
      </w:r>
      <w:r w:rsidRPr="002C75B8">
        <w:rPr>
          <w:i/>
          <w:iCs/>
          <w:color w:val="003399"/>
          <w:sz w:val="22"/>
          <w:lang w:val="en-US" w:eastAsia="es-CO"/>
        </w:rPr>
        <w:t xml:space="preserve"> </w:t>
      </w:r>
      <w:r w:rsidRPr="002C75B8">
        <w:rPr>
          <w:bCs/>
          <w:sz w:val="22"/>
          <w:lang w:val="en-US"/>
        </w:rPr>
        <w:t xml:space="preserve">Medium </w:t>
      </w:r>
      <w:r>
        <w:rPr>
          <w:bCs/>
          <w:sz w:val="22"/>
          <w:lang w:val="en-US"/>
        </w:rPr>
        <w:t>h</w:t>
      </w:r>
      <w:r w:rsidRPr="002C75B8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2C75B8">
        <w:rPr>
          <w:bCs/>
          <w:sz w:val="22"/>
          <w:lang w:val="en-US"/>
        </w:rPr>
        <w:t xml:space="preserve">evelopment (ranking </w:t>
      </w:r>
      <w:r>
        <w:rPr>
          <w:bCs/>
          <w:sz w:val="22"/>
          <w:lang w:val="en-US"/>
        </w:rPr>
        <w:t>104</w:t>
      </w:r>
      <w:r w:rsidRPr="002C75B8">
        <w:rPr>
          <w:bCs/>
          <w:sz w:val="22"/>
          <w:lang w:val="en-US"/>
        </w:rPr>
        <w:t>)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1,558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</w:t>
      </w:r>
      <w:r>
        <w:rPr>
          <w:sz w:val="22"/>
          <w:lang w:val="en-US"/>
        </w:rPr>
        <w:t>70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59 </w:t>
      </w:r>
    </w:p>
    <w:p w:rsidR="00E73ED7" w:rsidRDefault="00E73ED7" w:rsidP="00E73ED7">
      <w:pPr>
        <w:ind w:left="0" w:firstLine="0"/>
        <w:rPr>
          <w:bCs/>
          <w:sz w:val="22"/>
          <w:lang w:val="en-US"/>
        </w:rPr>
      </w:pPr>
    </w:p>
    <w:p w:rsidR="00E73ED7" w:rsidRPr="002C75B8" w:rsidRDefault="00E73ED7" w:rsidP="00E73ED7">
      <w:pPr>
        <w:ind w:left="0" w:firstLine="0"/>
        <w:rPr>
          <w:bCs/>
          <w:sz w:val="22"/>
          <w:lang w:val="en-US"/>
        </w:rPr>
      </w:pPr>
    </w:p>
    <w:p w:rsidR="00E73ED7" w:rsidRPr="002C75B8" w:rsidRDefault="00E73ED7" w:rsidP="00E73ED7">
      <w:pPr>
        <w:spacing w:line="480" w:lineRule="auto"/>
        <w:ind w:left="0" w:firstLine="0"/>
        <w:rPr>
          <w:sz w:val="22"/>
          <w:lang w:val="en-GB"/>
        </w:rPr>
      </w:pPr>
      <w:proofErr w:type="gramStart"/>
      <w:r w:rsidRPr="002C75B8">
        <w:rPr>
          <w:b/>
          <w:sz w:val="22"/>
          <w:lang w:val="en-US"/>
        </w:rPr>
        <w:t>BACKGROUND</w:t>
      </w:r>
      <w:r>
        <w:rPr>
          <w:b/>
          <w:sz w:val="22"/>
          <w:lang w:val="en-US"/>
        </w:rPr>
        <w:t xml:space="preserve"> </w:t>
      </w:r>
      <w:r w:rsidRPr="002C75B8">
        <w:rPr>
          <w:b/>
          <w:sz w:val="22"/>
          <w:lang w:val="en-US"/>
        </w:rPr>
        <w:t xml:space="preserve"> INFORMATION</w:t>
      </w:r>
      <w:proofErr w:type="gramEnd"/>
      <w:r w:rsidRPr="002C75B8">
        <w:rPr>
          <w:b/>
          <w:sz w:val="22"/>
          <w:lang w:val="en-US"/>
        </w:rPr>
        <w:t xml:space="preserve"> 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The first case of CL was reported in 1911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>ow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10</w:t>
      </w:r>
      <w:r w:rsidRPr="002C75B8">
        <w:rPr>
          <w:sz w:val="22"/>
          <w:lang w:val="en-US"/>
        </w:rPr>
        <w:t xml:space="preserve"> districts</w:t>
      </w:r>
      <w:r>
        <w:rPr>
          <w:sz w:val="22"/>
          <w:lang w:val="en-US"/>
        </w:rPr>
        <w:t xml:space="preserve"> are affected</w:t>
      </w:r>
      <w:r w:rsidRPr="002C75B8">
        <w:rPr>
          <w:sz w:val="22"/>
          <w:lang w:val="en-US"/>
        </w:rPr>
        <w:t xml:space="preserve">, the majority </w:t>
      </w:r>
      <w:r>
        <w:rPr>
          <w:sz w:val="22"/>
          <w:lang w:val="en-US"/>
        </w:rPr>
        <w:t xml:space="preserve">of which </w:t>
      </w:r>
      <w:r w:rsidRPr="002C75B8">
        <w:rPr>
          <w:sz w:val="22"/>
          <w:lang w:val="en-US"/>
        </w:rPr>
        <w:t xml:space="preserve">is </w:t>
      </w:r>
      <w:r>
        <w:rPr>
          <w:sz w:val="22"/>
          <w:lang w:val="en-US"/>
        </w:rPr>
        <w:t xml:space="preserve">located </w:t>
      </w:r>
      <w:r w:rsidRPr="002C75B8">
        <w:rPr>
          <w:sz w:val="22"/>
          <w:lang w:val="en-US"/>
        </w:rPr>
        <w:t xml:space="preserve">in the interior forested area of the country. CL is known locally as </w:t>
      </w:r>
      <w:r>
        <w:rPr>
          <w:sz w:val="22"/>
          <w:lang w:val="en-US"/>
        </w:rPr>
        <w:t>"</w:t>
      </w:r>
      <w:proofErr w:type="spellStart"/>
      <w:r w:rsidRPr="002C75B8">
        <w:rPr>
          <w:sz w:val="22"/>
          <w:lang w:val="en-US"/>
        </w:rPr>
        <w:t>Boschyaws</w:t>
      </w:r>
      <w:proofErr w:type="spellEnd"/>
      <w:r>
        <w:rPr>
          <w:sz w:val="22"/>
          <w:lang w:val="en-US"/>
        </w:rPr>
        <w:t>"</w:t>
      </w:r>
      <w:r w:rsidRPr="002C75B8">
        <w:rPr>
          <w:sz w:val="22"/>
          <w:lang w:val="en-US"/>
        </w:rPr>
        <w:t xml:space="preserve"> or </w:t>
      </w:r>
      <w:r>
        <w:rPr>
          <w:sz w:val="22"/>
          <w:lang w:val="en-US"/>
        </w:rPr>
        <w:t>"</w:t>
      </w:r>
      <w:proofErr w:type="spellStart"/>
      <w:r w:rsidRPr="002C75B8">
        <w:rPr>
          <w:sz w:val="22"/>
          <w:lang w:val="en-US"/>
        </w:rPr>
        <w:t>Boessie-Yassi</w:t>
      </w:r>
      <w:proofErr w:type="spellEnd"/>
      <w:r>
        <w:rPr>
          <w:sz w:val="22"/>
          <w:lang w:val="en-US"/>
        </w:rPr>
        <w:t>"</w:t>
      </w:r>
      <w:r w:rsidRPr="002C75B8">
        <w:rPr>
          <w:sz w:val="22"/>
          <w:lang w:val="en-US"/>
        </w:rPr>
        <w:t xml:space="preserve">. It is an increasing health threat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Suriname</w:t>
          </w:r>
        </w:smartTag>
      </w:smartTag>
      <w:r w:rsidRPr="002C75B8">
        <w:rPr>
          <w:sz w:val="22"/>
          <w:lang w:val="en-US"/>
        </w:rPr>
        <w:t>, mainly affecting poor populations in</w:t>
      </w:r>
      <w:r>
        <w:rPr>
          <w:sz w:val="22"/>
          <w:lang w:val="en-US"/>
        </w:rPr>
        <w:t xml:space="preserve"> the interior and gold miners, </w:t>
      </w:r>
      <w:r w:rsidRPr="002C75B8">
        <w:rPr>
          <w:sz w:val="22"/>
          <w:lang w:val="en-US"/>
        </w:rPr>
        <w:t>mostly Brazilians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from across the border. Gold miners are especially thought to be at high risk of contracting CL </w:t>
      </w:r>
      <w:r>
        <w:rPr>
          <w:sz w:val="22"/>
          <w:lang w:val="en-US"/>
        </w:rPr>
        <w:t>[1]</w:t>
      </w:r>
      <w:r w:rsidRPr="002C75B8">
        <w:rPr>
          <w:sz w:val="22"/>
          <w:lang w:val="en-US"/>
        </w:rPr>
        <w:t xml:space="preserve">. Incidence is high; </w:t>
      </w:r>
      <w:r w:rsidRPr="002C75B8">
        <w:rPr>
          <w:sz w:val="22"/>
          <w:lang w:val="en-GB"/>
        </w:rPr>
        <w:t>5.32 to 6.13/1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000 in the hinterland and 0.64 to 0.74 patients per 1,000 inhabitants for the whole country, and </w:t>
      </w:r>
      <w:r w:rsidRPr="002C75B8">
        <w:rPr>
          <w:sz w:val="22"/>
          <w:lang w:val="en-US"/>
        </w:rPr>
        <w:t>likely to be underestimated. 49% of patients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in a prospective review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were women and children, suggesting that CL has become endemic within villages </w:t>
      </w:r>
      <w:r>
        <w:rPr>
          <w:sz w:val="22"/>
          <w:vertAlign w:val="superscript"/>
          <w:lang w:val="en-US"/>
        </w:rPr>
        <w:t>2</w:t>
      </w:r>
      <w:r w:rsidRPr="002C75B8">
        <w:rPr>
          <w:sz w:val="22"/>
          <w:lang w:val="en-US"/>
        </w:rPr>
        <w:t xml:space="preserve">. </w:t>
      </w:r>
    </w:p>
    <w:p w:rsidR="00E73ED7" w:rsidRPr="002C75B8" w:rsidRDefault="00E73ED7" w:rsidP="00E73ED7">
      <w:pPr>
        <w:ind w:left="0" w:firstLine="0"/>
        <w:rPr>
          <w:color w:val="E36C0A"/>
          <w:sz w:val="22"/>
          <w:lang w:val="en-GB"/>
        </w:rPr>
      </w:pP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Only one case of VL has been reported in 1953 </w:t>
      </w:r>
      <w:r>
        <w:rPr>
          <w:sz w:val="22"/>
          <w:lang w:val="en-US"/>
        </w:rPr>
        <w:t>[2]</w:t>
      </w:r>
      <w:r w:rsidRPr="002C75B8">
        <w:rPr>
          <w:sz w:val="22"/>
          <w:lang w:val="en-US"/>
        </w:rPr>
        <w:t>. There is no reported HIV/</w:t>
      </w:r>
      <w:r w:rsidRPr="00B017B4">
        <w:rPr>
          <w:i/>
          <w:iCs/>
          <w:sz w:val="22"/>
          <w:lang w:val="en-US"/>
        </w:rPr>
        <w:t xml:space="preserve">Leishmania </w:t>
      </w:r>
      <w:r w:rsidRPr="002C75B8">
        <w:rPr>
          <w:sz w:val="22"/>
          <w:lang w:val="en-US"/>
        </w:rPr>
        <w:t>coinfection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</w:p>
    <w:p w:rsidR="00E73ED7" w:rsidRDefault="00E73ED7" w:rsidP="00E73ED7">
      <w:pPr>
        <w:ind w:left="0" w:firstLine="0"/>
        <w:rPr>
          <w:sz w:val="22"/>
          <w:lang w:val="en-US"/>
        </w:rPr>
      </w:pP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E73ED7" w:rsidRPr="002C75B8" w:rsidRDefault="00E73ED7" w:rsidP="00E73ED7">
      <w:pPr>
        <w:ind w:left="0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58"/>
        <w:gridCol w:w="2863"/>
        <w:gridCol w:w="2311"/>
      </w:tblGrid>
      <w:tr w:rsidR="00E73ED7" w:rsidRPr="002C75B8" w:rsidTr="00A7768B">
        <w:tc>
          <w:tcPr>
            <w:tcW w:w="2310" w:type="dxa"/>
            <w:vAlign w:val="center"/>
          </w:tcPr>
          <w:p w:rsidR="00E73ED7" w:rsidRPr="002C75B8" w:rsidRDefault="00E73ED7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758" w:type="dxa"/>
            <w:vAlign w:val="center"/>
          </w:tcPr>
          <w:p w:rsidR="00E73ED7" w:rsidRPr="002C75B8" w:rsidRDefault="00E73ED7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863" w:type="dxa"/>
            <w:vAlign w:val="center"/>
          </w:tcPr>
          <w:p w:rsidR="00E73ED7" w:rsidRPr="002C75B8" w:rsidRDefault="00E73ED7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1" w:type="dxa"/>
            <w:vAlign w:val="center"/>
          </w:tcPr>
          <w:p w:rsidR="00E73ED7" w:rsidRPr="002C75B8" w:rsidRDefault="00E73ED7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E73ED7" w:rsidRPr="002C75B8" w:rsidTr="00A7768B">
        <w:tc>
          <w:tcPr>
            <w:tcW w:w="2310" w:type="dxa"/>
            <w:vAlign w:val="center"/>
          </w:tcPr>
          <w:p w:rsidR="00E73ED7" w:rsidRPr="002C75B8" w:rsidRDefault="00E73ED7" w:rsidP="00A7768B">
            <w:pPr>
              <w:pStyle w:val="NormalWeb"/>
              <w:kinsoku w:val="0"/>
              <w:overflowPunct w:val="0"/>
              <w:spacing w:before="43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guyanensis</w:t>
            </w:r>
          </w:p>
        </w:tc>
        <w:tc>
          <w:tcPr>
            <w:tcW w:w="1758" w:type="dxa"/>
            <w:vAlign w:val="center"/>
          </w:tcPr>
          <w:p w:rsidR="00E73ED7" w:rsidRPr="002C75B8" w:rsidRDefault="00E73ED7" w:rsidP="00A7768B">
            <w:pPr>
              <w:pStyle w:val="NormalWeb"/>
              <w:kinsoku w:val="0"/>
              <w:overflowPunct w:val="0"/>
              <w:spacing w:before="43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2863" w:type="dxa"/>
            <w:vAlign w:val="center"/>
          </w:tcPr>
          <w:p w:rsidR="00E73ED7" w:rsidRPr="002C75B8" w:rsidRDefault="00E73ED7" w:rsidP="00A7768B">
            <w:pPr>
              <w:pStyle w:val="NormalWeb"/>
              <w:kinsoku w:val="0"/>
              <w:overflowPunct w:val="0"/>
              <w:spacing w:before="43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val="pt-BR"/>
              </w:rPr>
              <w:t>Lu. umbratilis, Lu. anduzei</w:t>
            </w:r>
          </w:p>
        </w:tc>
        <w:tc>
          <w:tcPr>
            <w:tcW w:w="2311" w:type="dxa"/>
            <w:vAlign w:val="center"/>
          </w:tcPr>
          <w:p w:rsidR="00E73ED7" w:rsidRPr="002C75B8" w:rsidRDefault="00E73ED7" w:rsidP="00A7768B">
            <w:pPr>
              <w:pStyle w:val="NormalWeb"/>
              <w:kinsoku w:val="0"/>
              <w:overflowPunct w:val="0"/>
              <w:spacing w:before="43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  <w:tr w:rsidR="00E73ED7" w:rsidRPr="002C75B8" w:rsidTr="00A7768B">
        <w:tc>
          <w:tcPr>
            <w:tcW w:w="2310" w:type="dxa"/>
            <w:vAlign w:val="center"/>
          </w:tcPr>
          <w:p w:rsidR="00E73ED7" w:rsidRPr="002C75B8" w:rsidRDefault="00E73ED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val="pt-BR"/>
              </w:rPr>
              <w:t>L. amazonensis</w:t>
            </w:r>
          </w:p>
        </w:tc>
        <w:tc>
          <w:tcPr>
            <w:tcW w:w="1758" w:type="dxa"/>
            <w:vAlign w:val="center"/>
          </w:tcPr>
          <w:p w:rsidR="00E73ED7" w:rsidRPr="002C75B8" w:rsidRDefault="00E73ED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pt-BR"/>
              </w:rPr>
              <w:t>ZCL</w:t>
            </w:r>
          </w:p>
        </w:tc>
        <w:tc>
          <w:tcPr>
            <w:tcW w:w="2863" w:type="dxa"/>
            <w:vAlign w:val="center"/>
          </w:tcPr>
          <w:p w:rsidR="00E73ED7" w:rsidRPr="002C75B8" w:rsidRDefault="00E73ED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Lu.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flaviscutellata</w:t>
            </w:r>
            <w:proofErr w:type="spellEnd"/>
          </w:p>
        </w:tc>
        <w:tc>
          <w:tcPr>
            <w:tcW w:w="2311" w:type="dxa"/>
            <w:vAlign w:val="center"/>
          </w:tcPr>
          <w:p w:rsidR="00E73ED7" w:rsidRPr="002C75B8" w:rsidRDefault="00E73ED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  <w:tr w:rsidR="00E73ED7" w:rsidRPr="002C75B8" w:rsidTr="00A7768B">
        <w:tc>
          <w:tcPr>
            <w:tcW w:w="2310" w:type="dxa"/>
            <w:vAlign w:val="center"/>
          </w:tcPr>
          <w:p w:rsidR="00E73ED7" w:rsidRPr="002C75B8" w:rsidRDefault="00E73ED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L.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lainsoni</w:t>
            </w:r>
            <w:proofErr w:type="spellEnd"/>
          </w:p>
        </w:tc>
        <w:tc>
          <w:tcPr>
            <w:tcW w:w="1758" w:type="dxa"/>
            <w:vAlign w:val="center"/>
          </w:tcPr>
          <w:p w:rsidR="00E73ED7" w:rsidRPr="002C75B8" w:rsidRDefault="00E73ED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pt-BR"/>
              </w:rPr>
              <w:t>ZCL</w:t>
            </w:r>
          </w:p>
        </w:tc>
        <w:tc>
          <w:tcPr>
            <w:tcW w:w="2863" w:type="dxa"/>
            <w:vAlign w:val="center"/>
          </w:tcPr>
          <w:p w:rsidR="00E73ED7" w:rsidRPr="002C75B8" w:rsidRDefault="00E73ED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11" w:type="dxa"/>
            <w:vAlign w:val="center"/>
          </w:tcPr>
          <w:p w:rsidR="00E73ED7" w:rsidRPr="002C75B8" w:rsidRDefault="00E73ED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lastRenderedPageBreak/>
        <w:t>MAPS AND TRENDS</w:t>
      </w: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Cutaneous leishmaniasis</w:t>
      </w:r>
    </w:p>
    <w:p w:rsidR="00E73ED7" w:rsidRDefault="00E73ED7" w:rsidP="00E73ED7">
      <w:pPr>
        <w:ind w:left="0" w:firstLine="0"/>
        <w:rPr>
          <w:b/>
          <w:bCs/>
          <w:sz w:val="22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89535</wp:posOffset>
            </wp:positionV>
            <wp:extent cx="3728720" cy="249936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89535</wp:posOffset>
            </wp:positionV>
            <wp:extent cx="3719830" cy="24936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</w:rPr>
      </w:pPr>
    </w:p>
    <w:p w:rsidR="00E73ED7" w:rsidRPr="002C75B8" w:rsidRDefault="00E73ED7" w:rsidP="00E73ED7">
      <w:pPr>
        <w:ind w:left="0" w:firstLine="0"/>
        <w:rPr>
          <w:b/>
          <w:bCs/>
          <w:sz w:val="22"/>
        </w:rPr>
      </w:pPr>
    </w:p>
    <w:p w:rsidR="00E73ED7" w:rsidRDefault="00E73ED7" w:rsidP="00E73ED7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Cutaneous leishmaniasis trend</w:t>
      </w:r>
    </w:p>
    <w:p w:rsidR="00E73ED7" w:rsidRDefault="00E73ED7" w:rsidP="00E73ED7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62865</wp:posOffset>
            </wp:positionV>
            <wp:extent cx="3867150" cy="1958340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  <w:r>
        <w:rPr>
          <w:rFonts w:eastAsia="Times New Roman"/>
          <w:sz w:val="22"/>
          <w:lang w:val="en-GB" w:eastAsia="es-ES"/>
        </w:rPr>
        <w:tab/>
      </w: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2C75B8">
        <w:rPr>
          <w:rFonts w:eastAsia="Times New Roman"/>
          <w:b/>
          <w:bCs/>
          <w:sz w:val="22"/>
          <w:lang w:val="en-GB" w:eastAsia="es-ES"/>
        </w:rPr>
        <w:t>CONTROL</w:t>
      </w: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GB" w:eastAsia="es-ES"/>
        </w:rPr>
      </w:pPr>
    </w:p>
    <w:p w:rsidR="00E73ED7" w:rsidRPr="002C75B8" w:rsidRDefault="00E73ED7" w:rsidP="00E73ED7">
      <w:pPr>
        <w:ind w:left="0" w:firstLine="0"/>
        <w:rPr>
          <w:bCs/>
          <w:sz w:val="22"/>
          <w:lang w:val="en-US"/>
        </w:rPr>
      </w:pPr>
      <w:r w:rsidRPr="002C75B8">
        <w:rPr>
          <w:sz w:val="22"/>
          <w:lang w:val="en-GB"/>
        </w:rPr>
        <w:t xml:space="preserve">The notification of leishmaniasis is not mandatory in the country and there is no national </w:t>
      </w:r>
      <w:r>
        <w:rPr>
          <w:sz w:val="22"/>
          <w:lang w:val="en-GB"/>
        </w:rPr>
        <w:t>l</w:t>
      </w:r>
      <w:r w:rsidRPr="002C75B8">
        <w:rPr>
          <w:sz w:val="22"/>
          <w:lang w:val="en-GB"/>
        </w:rPr>
        <w:t xml:space="preserve">eishmaniasis control program (it is expected to be established in the coming 5 years). Case detection is passive. There are no leishmaniasis vector or reservoir control programs. </w:t>
      </w:r>
      <w:proofErr w:type="spellStart"/>
      <w:r w:rsidRPr="002C75B8">
        <w:rPr>
          <w:sz w:val="22"/>
          <w:lang w:val="en-GB"/>
        </w:rPr>
        <w:t>Bednet</w:t>
      </w:r>
      <w:proofErr w:type="spellEnd"/>
      <w:r w:rsidRPr="002C75B8">
        <w:rPr>
          <w:sz w:val="22"/>
          <w:lang w:val="en-GB"/>
        </w:rPr>
        <w:t xml:space="preserve"> distribution is done in the context of malaria control</w:t>
      </w:r>
      <w:r w:rsidRPr="002C75B8">
        <w:rPr>
          <w:bCs/>
          <w:sz w:val="22"/>
          <w:lang w:val="en-US"/>
        </w:rPr>
        <w:t xml:space="preserve">. </w:t>
      </w: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US" w:eastAsia="es-ES"/>
        </w:rPr>
      </w:pPr>
    </w:p>
    <w:p w:rsidR="00E73ED7" w:rsidRPr="002C75B8" w:rsidRDefault="00E73ED7" w:rsidP="00E73ED7">
      <w:pPr>
        <w:ind w:left="0" w:firstLine="0"/>
        <w:rPr>
          <w:rFonts w:eastAsia="Times New Roman"/>
          <w:sz w:val="22"/>
          <w:lang w:val="en-US" w:eastAsia="es-ES"/>
        </w:rPr>
      </w:pPr>
    </w:p>
    <w:p w:rsidR="00E73ED7" w:rsidRDefault="00E73ED7" w:rsidP="00E73ED7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E73ED7" w:rsidRPr="002C75B8" w:rsidRDefault="00E73ED7" w:rsidP="00E73ED7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 </w:t>
      </w:r>
    </w:p>
    <w:p w:rsidR="00E73ED7" w:rsidRDefault="00E73ED7" w:rsidP="00E73ED7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E73ED7" w:rsidRDefault="00E73ED7" w:rsidP="00E73ED7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US"/>
        </w:rPr>
        <w:t>CL</w:t>
      </w:r>
      <w:r w:rsidRPr="00562689">
        <w:rPr>
          <w:bCs/>
          <w:sz w:val="22"/>
          <w:lang w:val="en-US"/>
        </w:rPr>
        <w:t xml:space="preserve">: </w:t>
      </w:r>
      <w:r w:rsidRPr="00562689">
        <w:rPr>
          <w:color w:val="632423"/>
          <w:sz w:val="22"/>
          <w:lang w:val="en-GB"/>
        </w:rPr>
        <w:t>m</w:t>
      </w:r>
      <w:proofErr w:type="spellStart"/>
      <w:r w:rsidRPr="00562689">
        <w:rPr>
          <w:bCs/>
          <w:sz w:val="22"/>
          <w:lang w:val="en-US"/>
        </w:rPr>
        <w:t>icroscopic</w:t>
      </w:r>
      <w:proofErr w:type="spellEnd"/>
      <w:r w:rsidRPr="00562689">
        <w:rPr>
          <w:bCs/>
          <w:sz w:val="22"/>
          <w:lang w:val="en-US"/>
        </w:rPr>
        <w:t xml:space="preserve"> examination of skin lesion sample. PCR is only possible at a research laboratory</w:t>
      </w:r>
      <w:r w:rsidRPr="002C75B8">
        <w:rPr>
          <w:bCs/>
          <w:sz w:val="22"/>
          <w:lang w:val="en-US"/>
        </w:rPr>
        <w:t xml:space="preserve">. </w:t>
      </w:r>
    </w:p>
    <w:p w:rsidR="00E73ED7" w:rsidRPr="002C75B8" w:rsidRDefault="00E73ED7" w:rsidP="00E73ED7">
      <w:pPr>
        <w:ind w:left="0" w:firstLine="0"/>
        <w:rPr>
          <w:bCs/>
          <w:sz w:val="22"/>
          <w:lang w:val="en-US"/>
        </w:rPr>
      </w:pPr>
    </w:p>
    <w:p w:rsidR="00E73ED7" w:rsidRDefault="00E73ED7" w:rsidP="00E73ED7">
      <w:pPr>
        <w:ind w:left="0" w:firstLine="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Treatment</w:t>
      </w:r>
      <w:r w:rsidRPr="002C75B8">
        <w:rPr>
          <w:b/>
          <w:bCs/>
          <w:sz w:val="22"/>
          <w:lang w:val="en-US"/>
        </w:rPr>
        <w:t xml:space="preserve"> </w:t>
      </w:r>
    </w:p>
    <w:p w:rsidR="00E73ED7" w:rsidRPr="002C75B8" w:rsidRDefault="00E73ED7" w:rsidP="00E73ED7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US"/>
        </w:rPr>
        <w:t>CL</w:t>
      </w:r>
      <w:r w:rsidRPr="00562689">
        <w:rPr>
          <w:bCs/>
          <w:sz w:val="22"/>
          <w:lang w:val="en-US"/>
        </w:rPr>
        <w:t xml:space="preserve">: </w:t>
      </w:r>
      <w:proofErr w:type="spellStart"/>
      <w:r w:rsidRPr="00562689">
        <w:rPr>
          <w:bCs/>
          <w:sz w:val="22"/>
          <w:lang w:val="en-US"/>
        </w:rPr>
        <w:t>pentamidine</w:t>
      </w:r>
      <w:proofErr w:type="spellEnd"/>
      <w:r w:rsidRPr="002C75B8">
        <w:rPr>
          <w:bCs/>
          <w:sz w:val="22"/>
          <w:lang w:val="en-US"/>
        </w:rPr>
        <w:t>, with a total dose of 300</w:t>
      </w:r>
      <w:r>
        <w:rPr>
          <w:bCs/>
          <w:sz w:val="22"/>
          <w:lang w:val="en-US"/>
        </w:rPr>
        <w:t xml:space="preserve"> </w:t>
      </w:r>
      <w:r w:rsidRPr="002C75B8">
        <w:rPr>
          <w:bCs/>
          <w:sz w:val="22"/>
          <w:lang w:val="en-US"/>
        </w:rPr>
        <w:t xml:space="preserve">mg/week, for a minimum of 3 weeks. Cure rate is 90% with 10% recurring lesions. </w:t>
      </w:r>
      <w:proofErr w:type="spellStart"/>
      <w:r w:rsidRPr="002C75B8">
        <w:rPr>
          <w:bCs/>
          <w:sz w:val="22"/>
          <w:lang w:val="en-US"/>
        </w:rPr>
        <w:t>Amphothericin</w:t>
      </w:r>
      <w:proofErr w:type="spellEnd"/>
      <w:r w:rsidRPr="002C75B8">
        <w:rPr>
          <w:bCs/>
          <w:sz w:val="22"/>
          <w:lang w:val="en-US"/>
        </w:rPr>
        <w:t xml:space="preserve"> B is used as second line drug. 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lastRenderedPageBreak/>
        <w:t xml:space="preserve">ACCESS TO CARE </w:t>
      </w:r>
    </w:p>
    <w:p w:rsidR="00E73ED7" w:rsidRPr="002C75B8" w:rsidRDefault="00E73ED7" w:rsidP="00E73ED7">
      <w:pPr>
        <w:ind w:left="0" w:firstLine="0"/>
        <w:rPr>
          <w:sz w:val="22"/>
          <w:lang w:val="en-GB"/>
        </w:rPr>
      </w:pP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Diagnosis and treatment for CL is free if it includes drugs</w:t>
      </w:r>
      <w:r>
        <w:rPr>
          <w:sz w:val="22"/>
          <w:lang w:val="en-US"/>
        </w:rPr>
        <w:t xml:space="preserve"> from</w:t>
      </w:r>
      <w:r w:rsidRPr="002C75B8">
        <w:rPr>
          <w:sz w:val="22"/>
          <w:lang w:val="en-US"/>
        </w:rPr>
        <w:t xml:space="preserve"> the National Essential Drug List. The go</w:t>
      </w:r>
      <w:r>
        <w:rPr>
          <w:sz w:val="22"/>
          <w:lang w:val="en-US"/>
        </w:rPr>
        <w:t xml:space="preserve">vernment provides </w:t>
      </w:r>
      <w:proofErr w:type="spellStart"/>
      <w:r>
        <w:rPr>
          <w:sz w:val="22"/>
          <w:lang w:val="en-US"/>
        </w:rPr>
        <w:t>pentamidine</w:t>
      </w:r>
      <w:proofErr w:type="spellEnd"/>
      <w:r>
        <w:rPr>
          <w:sz w:val="22"/>
          <w:lang w:val="en-US"/>
        </w:rPr>
        <w:t xml:space="preserve"> (</w:t>
      </w:r>
      <w:proofErr w:type="spellStart"/>
      <w:r>
        <w:rPr>
          <w:sz w:val="22"/>
          <w:lang w:val="en-US"/>
        </w:rPr>
        <w:t>Sanofi</w:t>
      </w:r>
      <w:proofErr w:type="spellEnd"/>
      <w:r w:rsidRPr="002C75B8">
        <w:rPr>
          <w:sz w:val="22"/>
          <w:lang w:val="en-US"/>
        </w:rPr>
        <w:t xml:space="preserve"> and </w:t>
      </w:r>
      <w:proofErr w:type="spellStart"/>
      <w:smartTag w:uri="urn:schemas-microsoft-com:office:smarttags" w:element="place">
        <w:smartTag w:uri="urn:schemas-microsoft-com:office:smarttags" w:element="City">
          <w:r w:rsidRPr="002C75B8">
            <w:rPr>
              <w:sz w:val="22"/>
              <w:lang w:val="en-US"/>
            </w:rPr>
            <w:t>Combinopharm</w:t>
          </w:r>
        </w:smartTag>
        <w:proofErr w:type="spellEnd"/>
        <w:r w:rsidRPr="002C75B8">
          <w:rPr>
            <w:sz w:val="22"/>
            <w:lang w:val="en-US"/>
          </w:rPr>
          <w:t xml:space="preserve">, </w:t>
        </w:r>
        <w:smartTag w:uri="urn:schemas-microsoft-com:office:smarttags" w:element="country-region">
          <w:r w:rsidRPr="002C75B8">
            <w:rPr>
              <w:sz w:val="22"/>
              <w:lang w:val="en-US"/>
            </w:rPr>
            <w:t>Spain</w:t>
          </w:r>
        </w:smartTag>
      </w:smartTag>
      <w:r w:rsidRPr="002C75B8">
        <w:rPr>
          <w:sz w:val="22"/>
          <w:lang w:val="en-US"/>
        </w:rPr>
        <w:t>) and a</w:t>
      </w:r>
      <w:r w:rsidRPr="002C75B8">
        <w:rPr>
          <w:bCs/>
          <w:sz w:val="22"/>
          <w:lang w:val="en-US"/>
        </w:rPr>
        <w:t xml:space="preserve">mphotericin B. </w:t>
      </w:r>
      <w:r w:rsidRPr="002C75B8">
        <w:rPr>
          <w:sz w:val="22"/>
          <w:lang w:val="en-US"/>
        </w:rPr>
        <w:t>Access to miltefosine is problematic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as this is not provided for free. Treatment takes place in health cente</w:t>
      </w:r>
      <w:r>
        <w:rPr>
          <w:sz w:val="22"/>
          <w:lang w:val="en-US"/>
        </w:rPr>
        <w:t>r</w:t>
      </w:r>
      <w:r w:rsidRPr="002C75B8">
        <w:rPr>
          <w:sz w:val="22"/>
          <w:lang w:val="en-US"/>
        </w:rPr>
        <w:t>s all over the country and specialized cente</w:t>
      </w:r>
      <w:r>
        <w:rPr>
          <w:sz w:val="22"/>
          <w:lang w:val="en-US"/>
        </w:rPr>
        <w:t>r</w:t>
      </w:r>
      <w:r w:rsidRPr="002C75B8">
        <w:rPr>
          <w:sz w:val="22"/>
          <w:lang w:val="en-US"/>
        </w:rPr>
        <w:t xml:space="preserve">s in </w:t>
      </w:r>
      <w:smartTag w:uri="urn:schemas-microsoft-com:office:smarttags" w:element="City">
        <w:smartTag w:uri="urn:schemas-microsoft-com:office:smarttags" w:element="place">
          <w:r w:rsidRPr="002C75B8">
            <w:rPr>
              <w:sz w:val="22"/>
              <w:lang w:val="en-US"/>
            </w:rPr>
            <w:t>Paramaribo</w:t>
          </w:r>
        </w:smartTag>
      </w:smartTag>
      <w:r w:rsidRPr="002C75B8">
        <w:rPr>
          <w:sz w:val="22"/>
          <w:lang w:val="en-US"/>
        </w:rPr>
        <w:t xml:space="preserve">. Some patients are treated in the </w:t>
      </w:r>
      <w:smartTag w:uri="urn:schemas-microsoft-com:office:smarttags" w:element="place">
        <w:smartTag w:uri="urn:schemas-microsoft-com:office:smarttags" w:element="PlaceName">
          <w:r w:rsidRPr="002C75B8">
            <w:rPr>
              <w:sz w:val="22"/>
              <w:lang w:val="en-US"/>
            </w:rPr>
            <w:t>Medical</w:t>
          </w:r>
        </w:smartTag>
        <w:r w:rsidRPr="002C75B8">
          <w:rPr>
            <w:sz w:val="22"/>
            <w:lang w:val="en-US"/>
          </w:rPr>
          <w:t xml:space="preserve"> </w:t>
        </w:r>
        <w:smartTag w:uri="urn:schemas-microsoft-com:office:smarttags" w:element="PlaceName">
          <w:r w:rsidRPr="002C75B8">
            <w:rPr>
              <w:sz w:val="22"/>
              <w:lang w:val="en-US"/>
            </w:rPr>
            <w:t>Mission</w:t>
          </w:r>
        </w:smartTag>
        <w:r w:rsidRPr="002C75B8">
          <w:rPr>
            <w:sz w:val="22"/>
            <w:lang w:val="en-US"/>
          </w:rPr>
          <w:t xml:space="preserve"> </w:t>
        </w:r>
        <w:smartTag w:uri="urn:schemas-microsoft-com:office:smarttags" w:element="PlaceType">
          <w:r w:rsidRPr="002C75B8">
            <w:rPr>
              <w:sz w:val="22"/>
              <w:lang w:val="en-US"/>
            </w:rPr>
            <w:t>Hospital</w:t>
          </w:r>
        </w:smartTag>
      </w:smartTag>
      <w:r w:rsidRPr="002C75B8">
        <w:rPr>
          <w:sz w:val="22"/>
          <w:lang w:val="en-US"/>
        </w:rPr>
        <w:t xml:space="preserve">. The amount of essential drugs in health facilities is not always sufficient; however, availability went up </w:t>
      </w:r>
      <w:r>
        <w:rPr>
          <w:sz w:val="22"/>
          <w:lang w:val="en-US"/>
        </w:rPr>
        <w:t>by</w:t>
      </w:r>
      <w:r w:rsidRPr="002C75B8">
        <w:rPr>
          <w:sz w:val="22"/>
          <w:lang w:val="en-US"/>
        </w:rPr>
        <w:t xml:space="preserve"> 50-90% in the last 6 months. Access to treatment is thought to be </w:t>
      </w:r>
      <w:proofErr w:type="gramStart"/>
      <w:r w:rsidRPr="002C75B8">
        <w:rPr>
          <w:sz w:val="22"/>
          <w:lang w:val="en-US"/>
        </w:rPr>
        <w:t>satisfactory,</w:t>
      </w:r>
      <w:proofErr w:type="gramEnd"/>
      <w:r w:rsidRPr="002C75B8">
        <w:rPr>
          <w:sz w:val="22"/>
          <w:lang w:val="en-US"/>
        </w:rPr>
        <w:t xml:space="preserve"> however, some patients live in very remote areas with no health facilities and transport, such as the gold miners that live deep in the forest. These are known to self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 xml:space="preserve">medicate and not report to clinics. The </w:t>
      </w:r>
      <w:r w:rsidRPr="003C76A4">
        <w:rPr>
          <w:sz w:val="22"/>
          <w:lang w:val="en-US"/>
        </w:rPr>
        <w:t xml:space="preserve">indigenous </w:t>
      </w:r>
      <w:r w:rsidRPr="002C75B8">
        <w:rPr>
          <w:sz w:val="22"/>
          <w:lang w:val="en-US"/>
        </w:rPr>
        <w:t xml:space="preserve">population in the forest </w:t>
      </w:r>
      <w:r>
        <w:rPr>
          <w:sz w:val="22"/>
          <w:lang w:val="en-US"/>
        </w:rPr>
        <w:t xml:space="preserve">often </w:t>
      </w:r>
      <w:r w:rsidRPr="002C75B8">
        <w:rPr>
          <w:sz w:val="22"/>
          <w:lang w:val="en-US"/>
        </w:rPr>
        <w:t xml:space="preserve">seeks traditional care before reporting to health facilities. 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</w:p>
    <w:p w:rsidR="00E73ED7" w:rsidRPr="002C75B8" w:rsidRDefault="00E73ED7" w:rsidP="00E73ED7">
      <w:pPr>
        <w:ind w:left="0" w:firstLine="0"/>
        <w:rPr>
          <w:sz w:val="22"/>
          <w:lang w:val="en-GB"/>
        </w:rPr>
      </w:pPr>
    </w:p>
    <w:p w:rsidR="00E73ED7" w:rsidRPr="002C75B8" w:rsidRDefault="00E73ED7" w:rsidP="00E73ED7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E73ED7" w:rsidRPr="002C75B8" w:rsidRDefault="00E73ED7" w:rsidP="00E73ED7">
      <w:pPr>
        <w:ind w:left="0" w:firstLine="0"/>
        <w:rPr>
          <w:sz w:val="22"/>
          <w:lang w:val="en-GB"/>
        </w:rPr>
      </w:pP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Conventional amphotericin B and </w:t>
      </w:r>
      <w:proofErr w:type="spellStart"/>
      <w:r w:rsidRPr="002C75B8">
        <w:rPr>
          <w:sz w:val="22"/>
          <w:lang w:val="en-US"/>
        </w:rPr>
        <w:t>pentamidine</w:t>
      </w:r>
      <w:proofErr w:type="spellEnd"/>
      <w:r w:rsidRPr="002C75B8">
        <w:rPr>
          <w:sz w:val="22"/>
          <w:lang w:val="en-US"/>
        </w:rPr>
        <w:t xml:space="preserve"> are included in the National Essential Drug List. Both drugs are supplied by the Ministry of Health, and are also available in regulated pharmacies, where </w:t>
      </w:r>
      <w:proofErr w:type="spellStart"/>
      <w:r w:rsidRPr="002C75B8">
        <w:rPr>
          <w:sz w:val="22"/>
          <w:lang w:val="en-US"/>
        </w:rPr>
        <w:t>pentamidine</w:t>
      </w:r>
      <w:proofErr w:type="spellEnd"/>
      <w:r w:rsidRPr="002C75B8">
        <w:rPr>
          <w:sz w:val="22"/>
          <w:lang w:val="en-US"/>
        </w:rPr>
        <w:t xml:space="preserve"> is sold for 36 USD per vial. Drugs for treatment of CL are free in the clinics in the interior of the country, but at times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drug supply at public health facilities is not sufficient and many patients lack the resources to purchase them in pharmacies in </w:t>
      </w:r>
      <w:smartTag w:uri="urn:schemas-microsoft-com:office:smarttags" w:element="City">
        <w:smartTag w:uri="urn:schemas-microsoft-com:office:smarttags" w:element="place">
          <w:r w:rsidRPr="002C75B8">
            <w:rPr>
              <w:sz w:val="22"/>
              <w:lang w:val="en-US"/>
            </w:rPr>
            <w:t>Paramaribo</w:t>
          </w:r>
        </w:smartTag>
      </w:smartTag>
      <w:r w:rsidRPr="002C75B8">
        <w:rPr>
          <w:sz w:val="22"/>
          <w:lang w:val="en-US"/>
        </w:rPr>
        <w:t xml:space="preserve">, the capital. No pentavalent antimonials are registered </w:t>
      </w:r>
      <w:r>
        <w:rPr>
          <w:sz w:val="22"/>
          <w:lang w:val="en-US"/>
        </w:rPr>
        <w:t>or</w:t>
      </w:r>
      <w:r w:rsidRPr="002C75B8">
        <w:rPr>
          <w:sz w:val="22"/>
          <w:lang w:val="en-US"/>
        </w:rPr>
        <w:t xml:space="preserve"> available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Suriname</w:t>
          </w:r>
        </w:smartTag>
      </w:smartTag>
      <w:r w:rsidRPr="002C75B8">
        <w:rPr>
          <w:sz w:val="22"/>
          <w:lang w:val="en-US"/>
        </w:rPr>
        <w:t xml:space="preserve">. </w:t>
      </w: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</w:p>
    <w:p w:rsidR="00E73ED7" w:rsidRPr="002C75B8" w:rsidRDefault="00E73ED7" w:rsidP="00E73ED7">
      <w:pPr>
        <w:ind w:left="0" w:firstLine="0"/>
        <w:rPr>
          <w:sz w:val="22"/>
          <w:lang w:val="en-GB"/>
        </w:rPr>
      </w:pPr>
    </w:p>
    <w:p w:rsidR="00E73ED7" w:rsidRDefault="00E73ED7" w:rsidP="00E73ED7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E73ED7" w:rsidRPr="002C75B8" w:rsidRDefault="00E73ED7" w:rsidP="00E73ED7">
      <w:pPr>
        <w:ind w:left="0" w:firstLine="0"/>
        <w:rPr>
          <w:b/>
          <w:sz w:val="22"/>
          <w:lang w:val="en-US"/>
        </w:rPr>
      </w:pPr>
    </w:p>
    <w:p w:rsidR="00E73ED7" w:rsidRPr="002C75B8" w:rsidRDefault="00E73ED7" w:rsidP="00E73ED7">
      <w:pPr>
        <w:numPr>
          <w:ilvl w:val="0"/>
          <w:numId w:val="5"/>
        </w:numPr>
        <w:rPr>
          <w:sz w:val="22"/>
          <w:lang w:val="en-US"/>
        </w:rPr>
      </w:pPr>
      <w:r w:rsidRPr="002C75B8">
        <w:rPr>
          <w:sz w:val="22"/>
          <w:lang w:val="en-US"/>
        </w:rPr>
        <w:t xml:space="preserve">Dr Leslie </w:t>
      </w:r>
      <w:proofErr w:type="spellStart"/>
      <w:r w:rsidRPr="002C75B8">
        <w:rPr>
          <w:sz w:val="22"/>
          <w:lang w:val="en-US"/>
        </w:rPr>
        <w:t>Sabajo</w:t>
      </w:r>
      <w:proofErr w:type="spellEnd"/>
      <w:r w:rsidRPr="002C75B8">
        <w:rPr>
          <w:sz w:val="22"/>
          <w:lang w:val="en-US"/>
        </w:rPr>
        <w:t xml:space="preserve">, Dermatology </w:t>
      </w:r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 xml:space="preserve">ervice and </w:t>
      </w:r>
      <w:r>
        <w:rPr>
          <w:sz w:val="22"/>
          <w:lang w:val="en-US"/>
        </w:rPr>
        <w:t xml:space="preserve">Dr </w:t>
      </w:r>
      <w:r w:rsidRPr="002C75B8">
        <w:rPr>
          <w:sz w:val="22"/>
          <w:lang w:val="en-US"/>
        </w:rPr>
        <w:t xml:space="preserve">Miriam </w:t>
      </w:r>
      <w:proofErr w:type="spellStart"/>
      <w:r w:rsidRPr="002C75B8">
        <w:rPr>
          <w:sz w:val="22"/>
          <w:lang w:val="en-US"/>
        </w:rPr>
        <w:t>Naarendorp</w:t>
      </w:r>
      <w:proofErr w:type="spellEnd"/>
      <w:r w:rsidRPr="002C75B8">
        <w:rPr>
          <w:sz w:val="22"/>
          <w:lang w:val="en-US"/>
        </w:rPr>
        <w:t xml:space="preserve">, </w:t>
      </w:r>
      <w:r>
        <w:rPr>
          <w:sz w:val="22"/>
          <w:lang w:val="en-US"/>
        </w:rPr>
        <w:t>P</w:t>
      </w:r>
      <w:r w:rsidRPr="002C75B8">
        <w:rPr>
          <w:sz w:val="22"/>
          <w:lang w:val="en-US"/>
        </w:rPr>
        <w:t>harmacy policy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</w:p>
    <w:p w:rsidR="00E73ED7" w:rsidRDefault="00E73ED7" w:rsidP="00E73ED7">
      <w:pPr>
        <w:ind w:left="0" w:firstLine="0"/>
        <w:rPr>
          <w:sz w:val="22"/>
          <w:lang w:val="en-US"/>
        </w:rPr>
      </w:pPr>
    </w:p>
    <w:p w:rsidR="00E73ED7" w:rsidRDefault="00E73ED7" w:rsidP="00E73ED7">
      <w:pPr>
        <w:ind w:left="0" w:firstLine="0"/>
        <w:rPr>
          <w:sz w:val="22"/>
          <w:lang w:val="en-US"/>
        </w:rPr>
      </w:pPr>
    </w:p>
    <w:p w:rsidR="00E73ED7" w:rsidRPr="002C75B8" w:rsidRDefault="00E73ED7" w:rsidP="00E73ED7">
      <w:pPr>
        <w:ind w:left="0" w:firstLine="0"/>
        <w:rPr>
          <w:sz w:val="22"/>
          <w:lang w:val="en-US"/>
        </w:rPr>
      </w:pPr>
    </w:p>
    <w:p w:rsidR="00E73ED7" w:rsidRPr="00E73ED7" w:rsidRDefault="00E73ED7" w:rsidP="00E73ED7">
      <w:pPr>
        <w:pStyle w:val="authli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73ED7">
        <w:rPr>
          <w:rFonts w:ascii="Arial" w:hAnsi="Arial" w:cs="Arial"/>
          <w:color w:val="000000"/>
          <w:sz w:val="22"/>
          <w:szCs w:val="22"/>
          <w:lang w:val="nl-NL"/>
        </w:rPr>
        <w:t>1. V</w:t>
      </w:r>
      <w:r w:rsidRPr="00E73ED7">
        <w:rPr>
          <w:rFonts w:ascii="Arial" w:hAnsi="Arial" w:cs="Arial"/>
          <w:color w:val="000000"/>
          <w:sz w:val="22"/>
          <w:szCs w:val="22"/>
        </w:rPr>
        <w:fldChar w:fldCharType="begin"/>
      </w:r>
      <w:r w:rsidRPr="00E73ED7">
        <w:rPr>
          <w:rFonts w:ascii="Arial" w:hAnsi="Arial" w:cs="Arial"/>
          <w:color w:val="000000"/>
          <w:sz w:val="22"/>
          <w:szCs w:val="22"/>
          <w:lang w:val="nl-NL"/>
        </w:rPr>
        <w:instrText xml:space="preserve"> HYPERLINK "http://www.ncbi.nlm.nih.gov/pubmed?term=%22van%20der%20Meide%20WF%22%5BAuthor%5D" </w:instrText>
      </w:r>
      <w:r w:rsidRPr="00E73ED7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73ED7">
        <w:rPr>
          <w:rStyle w:val="Hyperlink"/>
          <w:rFonts w:ascii="Arial" w:hAnsi="Arial" w:cs="Arial"/>
          <w:color w:val="000000"/>
          <w:sz w:val="22"/>
          <w:szCs w:val="22"/>
          <w:u w:val="none"/>
          <w:lang w:val="nl-NL"/>
        </w:rPr>
        <w:t>an der Meide WF</w:t>
      </w:r>
      <w:r w:rsidRPr="00E73ED7">
        <w:rPr>
          <w:rFonts w:ascii="Arial" w:hAnsi="Arial" w:cs="Arial"/>
          <w:color w:val="000000"/>
          <w:sz w:val="22"/>
          <w:szCs w:val="22"/>
        </w:rPr>
        <w:fldChar w:fldCharType="end"/>
      </w:r>
      <w:r w:rsidRPr="00E73ED7">
        <w:rPr>
          <w:rFonts w:ascii="Arial" w:hAnsi="Arial" w:cs="Arial"/>
          <w:color w:val="000000"/>
          <w:sz w:val="22"/>
          <w:szCs w:val="22"/>
          <w:lang w:val="nl-NL"/>
        </w:rPr>
        <w:t xml:space="preserve">, </w:t>
      </w:r>
      <w:hyperlink r:id="rId9" w:history="1"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nl-NL"/>
          </w:rPr>
          <w:t>Jensema AJ</w:t>
        </w:r>
      </w:hyperlink>
      <w:r w:rsidRPr="00E73ED7">
        <w:rPr>
          <w:rFonts w:ascii="Arial" w:hAnsi="Arial" w:cs="Arial"/>
          <w:color w:val="000000"/>
          <w:sz w:val="22"/>
          <w:szCs w:val="22"/>
          <w:lang w:val="nl-NL"/>
        </w:rPr>
        <w:t xml:space="preserve">, </w:t>
      </w:r>
      <w:hyperlink r:id="rId10" w:history="1"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nl-NL"/>
          </w:rPr>
          <w:t>Akrum RA</w:t>
        </w:r>
      </w:hyperlink>
      <w:r w:rsidRPr="00E73ED7">
        <w:rPr>
          <w:rFonts w:ascii="Arial" w:hAnsi="Arial" w:cs="Arial"/>
          <w:color w:val="000000"/>
          <w:sz w:val="22"/>
          <w:szCs w:val="22"/>
          <w:lang w:val="nl-NL"/>
        </w:rPr>
        <w:t xml:space="preserve">, </w:t>
      </w:r>
      <w:hyperlink r:id="rId11" w:history="1"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nl-NL"/>
          </w:rPr>
          <w:t>Sabajo LO</w:t>
        </w:r>
      </w:hyperlink>
      <w:r w:rsidRPr="00E73ED7">
        <w:rPr>
          <w:rFonts w:ascii="Arial" w:hAnsi="Arial" w:cs="Arial"/>
          <w:color w:val="000000"/>
          <w:sz w:val="22"/>
          <w:szCs w:val="22"/>
          <w:lang w:val="nl-NL"/>
        </w:rPr>
        <w:t xml:space="preserve">, </w:t>
      </w:r>
      <w:hyperlink r:id="rId12" w:history="1"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nl-NL"/>
          </w:rPr>
          <w:t>Lai A Fat RF</w:t>
        </w:r>
      </w:hyperlink>
      <w:r w:rsidRPr="00E73ED7">
        <w:rPr>
          <w:rFonts w:ascii="Arial" w:hAnsi="Arial" w:cs="Arial"/>
          <w:color w:val="000000"/>
          <w:sz w:val="22"/>
          <w:szCs w:val="22"/>
          <w:lang w:val="nl-NL"/>
        </w:rPr>
        <w:t xml:space="preserve"> et al (2008). </w:t>
      </w:r>
      <w:r w:rsidRPr="00E73ED7">
        <w:rPr>
          <w:rFonts w:ascii="Arial" w:hAnsi="Arial" w:cs="Arial"/>
          <w:color w:val="000000"/>
          <w:sz w:val="22"/>
          <w:szCs w:val="22"/>
        </w:rPr>
        <w:t xml:space="preserve">Epidemiology of cutaneous leishmaniasis in </w:t>
      </w:r>
      <w:smartTag w:uri="urn:schemas-microsoft-com:office:smarttags" w:element="place">
        <w:smartTag w:uri="urn:schemas-microsoft-com:office:smarttags" w:element="country-region">
          <w:r w:rsidRPr="00E73ED7">
            <w:rPr>
              <w:rFonts w:ascii="Arial" w:hAnsi="Arial" w:cs="Arial"/>
              <w:color w:val="000000"/>
              <w:sz w:val="22"/>
              <w:szCs w:val="22"/>
            </w:rPr>
            <w:t>Suriname</w:t>
          </w:r>
        </w:smartTag>
      </w:smartTag>
      <w:r w:rsidRPr="00E73ED7">
        <w:rPr>
          <w:rFonts w:ascii="Arial" w:hAnsi="Arial" w:cs="Arial"/>
          <w:color w:val="000000"/>
          <w:sz w:val="22"/>
          <w:szCs w:val="22"/>
        </w:rPr>
        <w:t xml:space="preserve">: a study performed in 2006. </w:t>
      </w:r>
      <w:hyperlink r:id="rId13" w:tooltip="The American journal of tropical medicine and hygiene." w:history="1"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Am J </w:t>
        </w:r>
        <w:proofErr w:type="spellStart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Trop</w:t>
        </w:r>
        <w:proofErr w:type="spellEnd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Med </w:t>
        </w:r>
        <w:proofErr w:type="spellStart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Hyg</w:t>
        </w:r>
        <w:proofErr w:type="spellEnd"/>
      </w:hyperlink>
      <w:r w:rsidRPr="00E73ED7">
        <w:rPr>
          <w:rFonts w:ascii="Arial" w:hAnsi="Arial" w:cs="Arial"/>
          <w:color w:val="000000"/>
          <w:sz w:val="22"/>
          <w:szCs w:val="22"/>
        </w:rPr>
        <w:t xml:space="preserve"> 79(2):192-</w:t>
      </w:r>
      <w:proofErr w:type="gramStart"/>
      <w:r w:rsidRPr="00E73ED7">
        <w:rPr>
          <w:rFonts w:ascii="Arial" w:hAnsi="Arial" w:cs="Arial"/>
          <w:color w:val="000000"/>
          <w:sz w:val="22"/>
          <w:szCs w:val="22"/>
        </w:rPr>
        <w:t>7.</w:t>
      </w:r>
      <w:proofErr w:type="gramEnd"/>
    </w:p>
    <w:p w:rsidR="00E73ED7" w:rsidRPr="00E73ED7" w:rsidRDefault="00E73ED7" w:rsidP="00E73ED7">
      <w:pPr>
        <w:pStyle w:val="authli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3ED7" w:rsidRPr="00E73ED7" w:rsidRDefault="00E73ED7" w:rsidP="00E73ED7">
      <w:pPr>
        <w:pStyle w:val="authli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73ED7">
        <w:rPr>
          <w:rFonts w:ascii="Arial" w:hAnsi="Arial" w:cs="Arial"/>
          <w:color w:val="000000"/>
          <w:sz w:val="22"/>
          <w:szCs w:val="22"/>
        </w:rPr>
        <w:t xml:space="preserve">2. </w:t>
      </w:r>
      <w:hyperlink r:id="rId14" w:history="1">
        <w:proofErr w:type="spellStart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Winckel</w:t>
        </w:r>
        <w:proofErr w:type="spellEnd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WE</w:t>
        </w:r>
      </w:hyperlink>
      <w:r w:rsidRPr="00E73ED7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5" w:history="1">
        <w:proofErr w:type="spellStart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Aalstein</w:t>
        </w:r>
        <w:proofErr w:type="spellEnd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M</w:t>
        </w:r>
      </w:hyperlink>
      <w:r w:rsidRPr="00E73ED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E73ED7">
        <w:rPr>
          <w:rFonts w:ascii="Arial" w:hAnsi="Arial" w:cs="Arial"/>
          <w:color w:val="000000"/>
          <w:sz w:val="22"/>
          <w:szCs w:val="22"/>
        </w:rPr>
        <w:t>First case of kala-azar in Surinam (1953).</w:t>
      </w:r>
      <w:proofErr w:type="gramEnd"/>
      <w:r w:rsidRPr="00E73ED7">
        <w:rPr>
          <w:rFonts w:ascii="Arial" w:hAnsi="Arial" w:cs="Arial"/>
          <w:bCs/>
          <w:color w:val="000000"/>
          <w:spacing w:val="11"/>
          <w:sz w:val="22"/>
          <w:szCs w:val="22"/>
          <w:lang w:eastAsia="es-ES"/>
        </w:rPr>
        <w:t xml:space="preserve"> </w:t>
      </w:r>
      <w:hyperlink r:id="rId16" w:tooltip="Documenta de medicina geographica et tropica." w:history="1"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Doc Med </w:t>
        </w:r>
        <w:proofErr w:type="spellStart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Geogr</w:t>
        </w:r>
        <w:proofErr w:type="spellEnd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Trop</w:t>
        </w:r>
        <w:proofErr w:type="spellEnd"/>
        <w:r w:rsidRPr="00E73ED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</w:hyperlink>
      <w:r w:rsidRPr="00E73ED7">
        <w:rPr>
          <w:rFonts w:ascii="Arial" w:hAnsi="Arial" w:cs="Arial"/>
          <w:color w:val="000000"/>
          <w:sz w:val="22"/>
          <w:szCs w:val="22"/>
        </w:rPr>
        <w:t>4:339-42.</w:t>
      </w:r>
    </w:p>
    <w:p w:rsidR="00E73ED7" w:rsidRPr="00E73ED7" w:rsidRDefault="00E73ED7" w:rsidP="00E73ED7">
      <w:pPr>
        <w:ind w:left="0" w:firstLine="0"/>
        <w:rPr>
          <w:sz w:val="22"/>
          <w:lang w:val="en-US"/>
        </w:rPr>
      </w:pPr>
    </w:p>
    <w:p w:rsidR="002F7C1A" w:rsidRPr="00E73ED7" w:rsidRDefault="002F7C1A" w:rsidP="00E73ED7"/>
    <w:sectPr w:rsidR="002F7C1A" w:rsidRPr="00E73ED7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C4C"/>
    <w:multiLevelType w:val="hybridMultilevel"/>
    <w:tmpl w:val="17D82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3ED7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496B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73ED7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D7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E73ED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E73ED7"/>
    <w:rPr>
      <w:color w:val="0000FF"/>
      <w:u w:val="single"/>
    </w:rPr>
  </w:style>
  <w:style w:type="paragraph" w:customStyle="1" w:styleId="authlist">
    <w:name w:val="auth_list"/>
    <w:basedOn w:val="Normal"/>
    <w:rsid w:val="00E73ED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D7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javascript:AL_get(this,%20'jour',%20'Am%20J%20Trop%20Med%20Hyg.'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Lai%20A%20Fat%20RF%22%5BAuthor%5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AL_get(this,%20'jour',%20'Doc%20Med%20Geogr%20Trop.')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Sabajo%20LO%22%5BAuthor%5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AALSTEIN%20M%22%5BAuthor%5D" TargetMode="External"/><Relationship Id="rId10" Type="http://schemas.openxmlformats.org/officeDocument/2006/relationships/hyperlink" Target="http://www.ncbi.nlm.nih.gov/pubmed?term=%22Akrum%20RA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Jensema%20AJ%22%5BAuthor%5D" TargetMode="External"/><Relationship Id="rId14" Type="http://schemas.openxmlformats.org/officeDocument/2006/relationships/hyperlink" Target="http://www.ncbi.nlm.nih.gov/pubmed?term=%22WINCKEL%20WE%22%5BAuthor%5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393939393939406"/>
          <c:y val="4.5918367346938806E-2"/>
          <c:w val="0.830808080808081"/>
          <c:h val="0.6938775510204083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247</c:v>
                </c:pt>
                <c:pt idx="1">
                  <c:v>231</c:v>
                </c:pt>
                <c:pt idx="2">
                  <c:v>116</c:v>
                </c:pt>
                <c:pt idx="3">
                  <c:v>161</c:v>
                </c:pt>
                <c:pt idx="4">
                  <c:v>159</c:v>
                </c:pt>
                <c:pt idx="5">
                  <c:v>138</c:v>
                </c:pt>
                <c:pt idx="6">
                  <c:v>291</c:v>
                </c:pt>
              </c:numCache>
            </c:numRef>
          </c:val>
        </c:ser>
        <c:gapDepth val="0"/>
        <c:shape val="box"/>
        <c:axId val="267553408"/>
        <c:axId val="285525120"/>
        <c:axId val="0"/>
      </c:bar3DChart>
      <c:catAx>
        <c:axId val="267553408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25120"/>
        <c:crosses val="autoZero"/>
        <c:auto val="1"/>
        <c:lblAlgn val="ctr"/>
        <c:lblOffset val="100"/>
        <c:tickLblSkip val="1"/>
        <c:tickMarkSkip val="1"/>
      </c:catAx>
      <c:valAx>
        <c:axId val="285525120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5534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5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2012-04-02T14:26:00Z</dcterms:created>
  <dcterms:modified xsi:type="dcterms:W3CDTF">2012-04-02T14:27:00Z</dcterms:modified>
</cp:coreProperties>
</file>