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32" w:rsidRPr="002C75B8" w:rsidRDefault="004D7E32" w:rsidP="004D7E32">
      <w:pPr>
        <w:spacing w:line="480" w:lineRule="auto"/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u w:val="single"/>
              <w:lang w:val="en-US"/>
            </w:rPr>
            <w:t>SPAIN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4D7E32" w:rsidRPr="002C75B8" w:rsidRDefault="004D7E32" w:rsidP="004D7E32">
      <w:pPr>
        <w:spacing w:line="480" w:lineRule="auto"/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376170" cy="1670050"/>
            <wp:effectExtent l="19050" t="0" r="5080" b="0"/>
            <wp:docPr id="2" name="18 Imagen" descr="ES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Imagen" descr="ESWORL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32" w:rsidRDefault="004D7E32" w:rsidP="004D7E32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4D7E32" w:rsidRPr="002C75B8" w:rsidRDefault="004D7E32" w:rsidP="004D7E32">
      <w:pPr>
        <w:ind w:left="0" w:firstLine="0"/>
        <w:rPr>
          <w:b/>
          <w:sz w:val="22"/>
          <w:lang w:val="en-US"/>
        </w:rPr>
      </w:pP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>Total Population: 4</w:t>
      </w:r>
      <w:r>
        <w:rPr>
          <w:sz w:val="22"/>
          <w:lang w:val="en-US"/>
        </w:rPr>
        <w:t>6,081,574</w:t>
      </w:r>
      <w:r w:rsidRPr="00E4262E">
        <w:rPr>
          <w:sz w:val="22"/>
          <w:lang w:val="en-US"/>
        </w:rPr>
        <w:t xml:space="preserve"> 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>Population 0-14 years: 1</w:t>
      </w:r>
      <w:r>
        <w:rPr>
          <w:sz w:val="22"/>
          <w:lang w:val="en-US"/>
        </w:rPr>
        <w:t>5</w:t>
      </w:r>
      <w:r w:rsidRPr="00E4262E">
        <w:rPr>
          <w:sz w:val="22"/>
          <w:lang w:val="en-US"/>
        </w:rPr>
        <w:t>%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23</w:t>
      </w:r>
      <w:r w:rsidRPr="00E4262E">
        <w:rPr>
          <w:sz w:val="22"/>
          <w:lang w:val="en-US"/>
        </w:rPr>
        <w:t>%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E4262E">
        <w:rPr>
          <w:sz w:val="22"/>
          <w:lang w:val="en-US"/>
        </w:rPr>
        <w:t xml:space="preserve">25 a day: no data 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>Population living under the national poverty line: no data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 xml:space="preserve">Income status: High income economy: OECD 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 xml:space="preserve">Ranking: Very high human development </w:t>
      </w:r>
      <w:r>
        <w:rPr>
          <w:sz w:val="22"/>
          <w:lang w:val="en-US"/>
        </w:rPr>
        <w:t>(ranking 23)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3,076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 xml:space="preserve">Life expectancy at birth (years): 81 </w:t>
      </w:r>
    </w:p>
    <w:p w:rsidR="004D7E32" w:rsidRPr="00E4262E" w:rsidRDefault="004D7E32" w:rsidP="004D7E32">
      <w:pPr>
        <w:ind w:left="0" w:firstLine="0"/>
        <w:rPr>
          <w:sz w:val="22"/>
          <w:lang w:val="en-US"/>
        </w:rPr>
      </w:pPr>
      <w:r w:rsidRPr="00E4262E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E4262E">
        <w:rPr>
          <w:sz w:val="22"/>
          <w:lang w:val="en-US"/>
        </w:rPr>
        <w:t xml:space="preserve"> life expectancy at birth (years): 73</w:t>
      </w:r>
    </w:p>
    <w:p w:rsidR="004D7E32" w:rsidRPr="002C75B8" w:rsidRDefault="004D7E32" w:rsidP="004D7E32">
      <w:pPr>
        <w:spacing w:line="480" w:lineRule="auto"/>
        <w:ind w:left="0" w:firstLine="0"/>
        <w:rPr>
          <w:b/>
          <w:sz w:val="22"/>
          <w:lang w:val="en-US"/>
        </w:rPr>
      </w:pPr>
    </w:p>
    <w:p w:rsidR="004D7E32" w:rsidRPr="002C75B8" w:rsidRDefault="004D7E32" w:rsidP="004D7E32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4D7E32" w:rsidRPr="00E4262E" w:rsidRDefault="004D7E32" w:rsidP="004D7E32">
      <w:pPr>
        <w:ind w:left="0" w:firstLine="0"/>
        <w:rPr>
          <w:sz w:val="22"/>
          <w:lang w:val="en-GB"/>
        </w:rPr>
      </w:pPr>
      <w:r w:rsidRPr="009F2BFE">
        <w:rPr>
          <w:sz w:val="22"/>
          <w:lang w:val="en-US"/>
        </w:rPr>
        <w:t xml:space="preserve">Leishmaniasis is </w:t>
      </w:r>
      <w:proofErr w:type="spellStart"/>
      <w:r w:rsidRPr="009F2BFE">
        <w:rPr>
          <w:sz w:val="22"/>
          <w:lang w:val="en-US"/>
        </w:rPr>
        <w:t>hypoendemic</w:t>
      </w:r>
      <w:proofErr w:type="spellEnd"/>
      <w:r w:rsidRPr="009F2BFE">
        <w:rPr>
          <w:sz w:val="22"/>
          <w:lang w:val="en-US"/>
        </w:rPr>
        <w:t xml:space="preserve"> in Spain (0</w:t>
      </w:r>
      <w:r>
        <w:rPr>
          <w:sz w:val="22"/>
          <w:lang w:val="en-US"/>
        </w:rPr>
        <w:t>.</w:t>
      </w:r>
      <w:r w:rsidRPr="009F2BFE">
        <w:rPr>
          <w:sz w:val="22"/>
          <w:lang w:val="en-US"/>
        </w:rPr>
        <w:t>41 cases ev</w:t>
      </w:r>
      <w:r>
        <w:rPr>
          <w:sz w:val="22"/>
          <w:lang w:val="en-US"/>
        </w:rPr>
        <w:t xml:space="preserve">ery 100,000 inhabitants) and </w:t>
      </w:r>
      <w:r w:rsidRPr="009F2BFE">
        <w:rPr>
          <w:sz w:val="22"/>
          <w:lang w:val="en-US"/>
        </w:rPr>
        <w:t xml:space="preserve">is caused by </w:t>
      </w:r>
      <w:r w:rsidRPr="009F2BFE">
        <w:rPr>
          <w:i/>
          <w:iCs/>
          <w:sz w:val="22"/>
          <w:lang w:val="en-US"/>
        </w:rPr>
        <w:t>Leishmania infantum</w:t>
      </w:r>
      <w:r>
        <w:rPr>
          <w:i/>
          <w:iCs/>
          <w:sz w:val="22"/>
          <w:lang w:val="en-US"/>
        </w:rPr>
        <w:t>.</w:t>
      </w:r>
      <w:r>
        <w:rPr>
          <w:sz w:val="22"/>
          <w:lang w:val="en-US"/>
        </w:rPr>
        <w:t xml:space="preserve"> T</w:t>
      </w:r>
      <w:r w:rsidRPr="009F2BFE">
        <w:rPr>
          <w:sz w:val="22"/>
          <w:lang w:val="en-US"/>
        </w:rPr>
        <w:t xml:space="preserve">he dog </w:t>
      </w:r>
      <w:r>
        <w:rPr>
          <w:sz w:val="22"/>
          <w:lang w:val="en-US"/>
        </w:rPr>
        <w:t xml:space="preserve">is </w:t>
      </w:r>
      <w:r w:rsidRPr="009F2BFE">
        <w:rPr>
          <w:sz w:val="22"/>
          <w:lang w:val="en-US"/>
        </w:rPr>
        <w:t xml:space="preserve">the main reservoir host. Between February 1982, when </w:t>
      </w:r>
      <w:r w:rsidRPr="009F2BFE">
        <w:rPr>
          <w:sz w:val="22"/>
        </w:rPr>
        <w:t>leishmaniasis</w:t>
      </w:r>
      <w:r w:rsidRPr="009F2BFE">
        <w:rPr>
          <w:sz w:val="22"/>
          <w:lang w:val="en-US"/>
        </w:rPr>
        <w:t xml:space="preserve"> was declared a notifiable disease</w:t>
      </w:r>
      <w:r>
        <w:rPr>
          <w:sz w:val="22"/>
          <w:lang w:val="en-US"/>
        </w:rPr>
        <w:t>, and December 1995</w:t>
      </w:r>
      <w:r w:rsidRPr="009F2BFE">
        <w:rPr>
          <w:sz w:val="22"/>
          <w:lang w:val="en-US"/>
        </w:rPr>
        <w:t xml:space="preserve"> a total of 1</w:t>
      </w:r>
      <w:r>
        <w:rPr>
          <w:sz w:val="22"/>
          <w:lang w:val="en-US"/>
        </w:rPr>
        <w:t>,</w:t>
      </w:r>
      <w:r w:rsidRPr="009F2BFE">
        <w:rPr>
          <w:sz w:val="22"/>
          <w:lang w:val="en-US"/>
        </w:rPr>
        <w:t xml:space="preserve">574 accumulated cases </w:t>
      </w:r>
      <w:r>
        <w:rPr>
          <w:sz w:val="22"/>
          <w:lang w:val="en-US"/>
        </w:rPr>
        <w:t xml:space="preserve">of leishmaniasis </w:t>
      </w:r>
      <w:r w:rsidRPr="009F2BFE">
        <w:rPr>
          <w:sz w:val="22"/>
          <w:lang w:val="en-US"/>
        </w:rPr>
        <w:t>were reported</w:t>
      </w:r>
      <w:r>
        <w:rPr>
          <w:sz w:val="22"/>
          <w:lang w:val="en-US"/>
        </w:rPr>
        <w:t xml:space="preserve"> [1]. VL and CL are not reported separately. </w:t>
      </w:r>
      <w:r w:rsidRPr="009F2BFE">
        <w:rPr>
          <w:sz w:val="22"/>
          <w:lang w:val="en-US"/>
        </w:rPr>
        <w:t xml:space="preserve">In July 1996 a new decentralized </w:t>
      </w:r>
      <w:r w:rsidRPr="003C76A4">
        <w:rPr>
          <w:sz w:val="22"/>
          <w:lang w:val="en-US"/>
        </w:rPr>
        <w:t xml:space="preserve">surveillance system, based </w:t>
      </w:r>
      <w:r>
        <w:rPr>
          <w:sz w:val="22"/>
          <w:lang w:val="en-US"/>
        </w:rPr>
        <w:t>o</w:t>
      </w:r>
      <w:r w:rsidRPr="003C76A4">
        <w:rPr>
          <w:sz w:val="22"/>
          <w:lang w:val="en-US"/>
        </w:rPr>
        <w:t>n the political structure of the autonomous regions</w:t>
      </w:r>
      <w:r>
        <w:rPr>
          <w:sz w:val="22"/>
          <w:lang w:val="en-US"/>
        </w:rPr>
        <w:t xml:space="preserve"> </w:t>
      </w:r>
      <w:r w:rsidRPr="009F2BFE">
        <w:rPr>
          <w:sz w:val="22"/>
          <w:lang w:val="en-US"/>
        </w:rPr>
        <w:t xml:space="preserve">was implemented, but leishmaniasis is no longer a notifiable disease in </w:t>
      </w:r>
      <w:r>
        <w:rPr>
          <w:sz w:val="22"/>
          <w:lang w:val="en-US"/>
        </w:rPr>
        <w:t>any of</w:t>
      </w:r>
      <w:r w:rsidRPr="009F2BFE">
        <w:rPr>
          <w:sz w:val="22"/>
          <w:lang w:val="en-US"/>
        </w:rPr>
        <w:t xml:space="preserve"> the 17 regions of Spain. In order to get accurate information, a recent publication analyzed the </w:t>
      </w:r>
      <w:r>
        <w:rPr>
          <w:sz w:val="22"/>
          <w:lang w:val="en-US"/>
        </w:rPr>
        <w:t xml:space="preserve">VL </w:t>
      </w:r>
      <w:r w:rsidRPr="009F2BFE">
        <w:rPr>
          <w:sz w:val="22"/>
          <w:lang w:val="en-US"/>
        </w:rPr>
        <w:t xml:space="preserve">cases recorded in </w:t>
      </w:r>
      <w:r w:rsidRPr="009F2BFE">
        <w:rPr>
          <w:sz w:val="22"/>
          <w:lang w:val="en-GB"/>
        </w:rPr>
        <w:t xml:space="preserve">hospital databases </w:t>
      </w:r>
      <w:r>
        <w:rPr>
          <w:sz w:val="22"/>
          <w:lang w:val="en-GB"/>
        </w:rPr>
        <w:t>during</w:t>
      </w:r>
      <w:r w:rsidRPr="009F2BFE">
        <w:rPr>
          <w:sz w:val="22"/>
          <w:lang w:val="en-GB"/>
        </w:rPr>
        <w:t xml:space="preserve"> the period 1997-2008 </w:t>
      </w:r>
      <w:r>
        <w:rPr>
          <w:sz w:val="22"/>
          <w:lang w:val="en-GB"/>
        </w:rPr>
        <w:t xml:space="preserve">[2], </w:t>
      </w:r>
      <w:r w:rsidRPr="009F2BFE">
        <w:rPr>
          <w:sz w:val="22"/>
          <w:lang w:val="en-GB"/>
        </w:rPr>
        <w:t>concluding that o</w:t>
      </w:r>
      <w:r w:rsidRPr="009F2BFE">
        <w:rPr>
          <w:bCs/>
          <w:sz w:val="22"/>
          <w:lang w:val="en-GB"/>
        </w:rPr>
        <w:t>ne third of the</w:t>
      </w:r>
      <w:r>
        <w:rPr>
          <w:bCs/>
          <w:sz w:val="22"/>
          <w:lang w:val="en-GB"/>
        </w:rPr>
        <w:t>se</w:t>
      </w:r>
      <w:r w:rsidRPr="009F2BFE">
        <w:rPr>
          <w:bCs/>
          <w:sz w:val="22"/>
          <w:lang w:val="en-GB"/>
        </w:rPr>
        <w:t xml:space="preserve"> patients w</w:t>
      </w:r>
      <w:r>
        <w:rPr>
          <w:bCs/>
          <w:sz w:val="22"/>
          <w:lang w:val="en-GB"/>
        </w:rPr>
        <w:t>as</w:t>
      </w:r>
      <w:r w:rsidRPr="009F2BFE">
        <w:rPr>
          <w:bCs/>
          <w:sz w:val="22"/>
          <w:lang w:val="en-GB"/>
        </w:rPr>
        <w:t xml:space="preserve"> coinfected with HIV</w:t>
      </w:r>
      <w:r>
        <w:rPr>
          <w:bCs/>
          <w:sz w:val="22"/>
          <w:lang w:val="en-GB"/>
        </w:rPr>
        <w:t>. T</w:t>
      </w:r>
      <w:r w:rsidRPr="009F2BFE">
        <w:rPr>
          <w:bCs/>
          <w:sz w:val="22"/>
          <w:lang w:val="en-GB"/>
        </w:rPr>
        <w:t xml:space="preserve">he incidence of hospitalizations was highest in Madrid and </w:t>
      </w:r>
      <w:r>
        <w:rPr>
          <w:bCs/>
          <w:sz w:val="22"/>
          <w:lang w:val="en-GB"/>
        </w:rPr>
        <w:t>o</w:t>
      </w:r>
      <w:r w:rsidRPr="009F2BFE">
        <w:rPr>
          <w:bCs/>
          <w:sz w:val="22"/>
          <w:lang w:val="en-GB"/>
        </w:rPr>
        <w:t xml:space="preserve">n the Mediterranean coast, </w:t>
      </w:r>
      <w:r>
        <w:rPr>
          <w:bCs/>
          <w:sz w:val="22"/>
          <w:lang w:val="en-GB"/>
        </w:rPr>
        <w:t>the</w:t>
      </w:r>
      <w:r w:rsidRPr="009F2BFE">
        <w:rPr>
          <w:bCs/>
          <w:sz w:val="22"/>
          <w:lang w:val="en-GB"/>
        </w:rPr>
        <w:t xml:space="preserve"> mortality rate </w:t>
      </w:r>
      <w:r>
        <w:rPr>
          <w:bCs/>
          <w:sz w:val="22"/>
          <w:lang w:val="en-GB"/>
        </w:rPr>
        <w:t xml:space="preserve">was </w:t>
      </w:r>
      <w:r w:rsidRPr="009F2BFE">
        <w:rPr>
          <w:bCs/>
          <w:sz w:val="22"/>
          <w:lang w:val="en-GB"/>
        </w:rPr>
        <w:t>3</w:t>
      </w:r>
      <w:r>
        <w:rPr>
          <w:bCs/>
          <w:sz w:val="22"/>
          <w:lang w:val="en-GB"/>
        </w:rPr>
        <w:t>.</w:t>
      </w:r>
      <w:r w:rsidRPr="009F2BFE">
        <w:rPr>
          <w:bCs/>
          <w:sz w:val="22"/>
          <w:lang w:val="en-GB"/>
        </w:rPr>
        <w:t>31%, and t</w:t>
      </w:r>
      <w:r w:rsidRPr="009F2BFE">
        <w:rPr>
          <w:sz w:val="22"/>
          <w:lang w:val="en-GB"/>
        </w:rPr>
        <w:t>he economic burden of leishmaniasis in the 12</w:t>
      </w:r>
      <w:r>
        <w:rPr>
          <w:sz w:val="22"/>
          <w:lang w:val="en-GB"/>
        </w:rPr>
        <w:t>-</w:t>
      </w:r>
      <w:r w:rsidRPr="009F2BFE">
        <w:rPr>
          <w:sz w:val="22"/>
          <w:lang w:val="en-GB"/>
        </w:rPr>
        <w:t>year study period represented more than € 13 million (€ 6</w:t>
      </w:r>
      <w:r>
        <w:rPr>
          <w:sz w:val="22"/>
          <w:lang w:val="en-GB"/>
        </w:rPr>
        <w:t>,</w:t>
      </w:r>
      <w:r w:rsidRPr="009F2BFE">
        <w:rPr>
          <w:sz w:val="22"/>
          <w:lang w:val="en-GB"/>
        </w:rPr>
        <w:t>740 per patient).</w:t>
      </w:r>
      <w:r>
        <w:rPr>
          <w:sz w:val="22"/>
          <w:lang w:val="en-GB"/>
        </w:rPr>
        <w:t xml:space="preserve"> </w:t>
      </w:r>
      <w:r w:rsidRPr="00E4262E">
        <w:rPr>
          <w:sz w:val="22"/>
          <w:lang w:val="en-GB"/>
        </w:rPr>
        <w:t xml:space="preserve">Cases that are not coinfected occur mostly in children. </w:t>
      </w:r>
    </w:p>
    <w:p w:rsidR="004D7E32" w:rsidRPr="009F2BFE" w:rsidRDefault="004D7E32" w:rsidP="004D7E32">
      <w:pPr>
        <w:ind w:left="0" w:firstLine="0"/>
        <w:rPr>
          <w:sz w:val="22"/>
          <w:lang w:val="en-GB"/>
        </w:rPr>
      </w:pPr>
    </w:p>
    <w:p w:rsidR="004D7E32" w:rsidRDefault="004D7E32" w:rsidP="004D7E32">
      <w:pPr>
        <w:ind w:left="0" w:firstLine="0"/>
        <w:rPr>
          <w:sz w:val="22"/>
          <w:lang w:val="en-GB"/>
        </w:rPr>
      </w:pPr>
      <w:r w:rsidRPr="00E4262E">
        <w:rPr>
          <w:sz w:val="22"/>
          <w:lang w:val="en-GB"/>
        </w:rPr>
        <w:t xml:space="preserve">Most of the </w:t>
      </w:r>
      <w:r w:rsidRPr="00605BD3">
        <w:rPr>
          <w:i/>
          <w:iCs/>
          <w:sz w:val="22"/>
          <w:lang w:val="en-GB"/>
        </w:rPr>
        <w:t>Leishmania</w:t>
      </w:r>
      <w:r>
        <w:rPr>
          <w:sz w:val="22"/>
          <w:lang w:val="en-GB"/>
        </w:rPr>
        <w:t>/</w:t>
      </w:r>
      <w:r w:rsidRPr="00E4262E">
        <w:rPr>
          <w:sz w:val="22"/>
          <w:lang w:val="en-GB"/>
        </w:rPr>
        <w:t xml:space="preserve">HIV </w:t>
      </w:r>
      <w:r>
        <w:rPr>
          <w:sz w:val="22"/>
          <w:lang w:val="en-GB"/>
        </w:rPr>
        <w:t>coinfected cases</w:t>
      </w:r>
      <w:r w:rsidRPr="00E4262E">
        <w:rPr>
          <w:sz w:val="22"/>
          <w:lang w:val="en-GB"/>
        </w:rPr>
        <w:t xml:space="preserve"> occur </w:t>
      </w:r>
      <w:r>
        <w:rPr>
          <w:sz w:val="22"/>
          <w:lang w:val="en-GB"/>
        </w:rPr>
        <w:t xml:space="preserve">in </w:t>
      </w:r>
      <w:r w:rsidRPr="00E4262E">
        <w:rPr>
          <w:sz w:val="22"/>
          <w:lang w:val="en-GB"/>
        </w:rPr>
        <w:t>adult males, aged 25-35 years, 74% of which are IV drug users</w:t>
      </w:r>
      <w:r>
        <w:rPr>
          <w:sz w:val="22"/>
          <w:lang w:val="en-GB"/>
        </w:rPr>
        <w:t xml:space="preserve"> [3</w:t>
      </w:r>
      <w:proofErr w:type="gramStart"/>
      <w:r>
        <w:rPr>
          <w:sz w:val="22"/>
          <w:lang w:val="en-GB"/>
        </w:rPr>
        <w:t>,4</w:t>
      </w:r>
      <w:proofErr w:type="gramEnd"/>
      <w:r>
        <w:rPr>
          <w:sz w:val="22"/>
          <w:lang w:val="en-GB"/>
        </w:rPr>
        <w:t>]</w:t>
      </w:r>
      <w:r w:rsidRPr="00E4262E">
        <w:rPr>
          <w:sz w:val="22"/>
          <w:lang w:val="en-GB"/>
        </w:rPr>
        <w:t>. The disease presents mainly as VL in these patients.</w:t>
      </w:r>
      <w:r>
        <w:rPr>
          <w:sz w:val="22"/>
          <w:lang w:val="en-GB"/>
        </w:rPr>
        <w:t xml:space="preserve"> </w:t>
      </w:r>
      <w:r w:rsidRPr="00E4262E">
        <w:rPr>
          <w:sz w:val="22"/>
          <w:lang w:val="en-GB"/>
        </w:rPr>
        <w:t xml:space="preserve">Leishmaniasis in </w:t>
      </w:r>
      <w:proofErr w:type="spellStart"/>
      <w:r w:rsidRPr="00E4262E">
        <w:rPr>
          <w:sz w:val="22"/>
          <w:lang w:val="en-GB"/>
        </w:rPr>
        <w:t>immunocompromised</w:t>
      </w:r>
      <w:proofErr w:type="spellEnd"/>
      <w:r w:rsidRPr="00E4262E">
        <w:rPr>
          <w:sz w:val="22"/>
          <w:lang w:val="en-GB"/>
        </w:rPr>
        <w:t xml:space="preserve"> patients is due to reactivation of subclinical infections</w:t>
      </w:r>
      <w:r>
        <w:rPr>
          <w:sz w:val="22"/>
          <w:lang w:val="en-GB"/>
        </w:rPr>
        <w:t>,</w:t>
      </w:r>
      <w:r w:rsidRPr="00E4262E">
        <w:rPr>
          <w:sz w:val="22"/>
          <w:lang w:val="en-GB"/>
        </w:rPr>
        <w:t xml:space="preserve"> but also transmitted by sharing </w:t>
      </w:r>
      <w:r>
        <w:rPr>
          <w:sz w:val="22"/>
          <w:lang w:val="en-GB"/>
        </w:rPr>
        <w:t>u</w:t>
      </w:r>
      <w:r w:rsidRPr="00E4262E">
        <w:rPr>
          <w:sz w:val="22"/>
          <w:lang w:val="en-GB"/>
        </w:rPr>
        <w:t>sed syringes among intravenous drug users</w:t>
      </w:r>
      <w:r>
        <w:rPr>
          <w:sz w:val="22"/>
          <w:lang w:val="en-GB"/>
        </w:rPr>
        <w:t xml:space="preserve"> [5]</w:t>
      </w:r>
      <w:r w:rsidRPr="00E4262E">
        <w:rPr>
          <w:sz w:val="22"/>
          <w:lang w:val="en-GB"/>
        </w:rPr>
        <w:t xml:space="preserve">. The number of </w:t>
      </w:r>
      <w:r w:rsidRPr="00E4262E">
        <w:rPr>
          <w:i/>
          <w:iCs/>
          <w:sz w:val="22"/>
          <w:lang w:val="en-GB"/>
        </w:rPr>
        <w:t>Leishmania/</w:t>
      </w:r>
      <w:r w:rsidRPr="00E4262E">
        <w:rPr>
          <w:sz w:val="22"/>
          <w:lang w:val="en-GB"/>
        </w:rPr>
        <w:t>HIV co-infections peaked in 1994 and decreased significantly</w:t>
      </w:r>
      <w:r>
        <w:rPr>
          <w:sz w:val="22"/>
          <w:lang w:val="en-GB"/>
        </w:rPr>
        <w:t>,</w:t>
      </w:r>
      <w:r w:rsidRPr="00E4262E">
        <w:rPr>
          <w:sz w:val="22"/>
          <w:lang w:val="en-GB"/>
        </w:rPr>
        <w:t xml:space="preserve"> after introduction of HAART</w:t>
      </w:r>
      <w:r>
        <w:rPr>
          <w:sz w:val="22"/>
          <w:lang w:val="en-GB"/>
        </w:rPr>
        <w:t>,</w:t>
      </w:r>
      <w:r w:rsidRPr="00E4262E">
        <w:rPr>
          <w:sz w:val="22"/>
          <w:lang w:val="en-GB"/>
        </w:rPr>
        <w:t xml:space="preserve"> to less than 10 cases in 2008</w:t>
      </w:r>
      <w:r>
        <w:rPr>
          <w:sz w:val="22"/>
          <w:lang w:val="en-GB"/>
        </w:rPr>
        <w:t xml:space="preserve"> [6,7]</w:t>
      </w:r>
      <w:r w:rsidRPr="00E4262E">
        <w:rPr>
          <w:sz w:val="22"/>
          <w:lang w:val="en-GB"/>
        </w:rPr>
        <w:t>.</w:t>
      </w:r>
    </w:p>
    <w:p w:rsidR="004D7E32" w:rsidRDefault="004D7E32" w:rsidP="004D7E32">
      <w:pPr>
        <w:ind w:left="0" w:firstLine="0"/>
        <w:rPr>
          <w:sz w:val="22"/>
          <w:lang w:val="en-GB"/>
        </w:rPr>
      </w:pPr>
      <w:r w:rsidRPr="00E4262E">
        <w:rPr>
          <w:sz w:val="22"/>
          <w:lang w:val="en-GB"/>
        </w:rPr>
        <w:tab/>
      </w:r>
    </w:p>
    <w:p w:rsidR="004D7E32" w:rsidRDefault="004D7E32" w:rsidP="004D7E32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lastRenderedPageBreak/>
        <w:t>CL is less frequent, but there is no accurate information.</w:t>
      </w:r>
      <w:r w:rsidRPr="0020355F">
        <w:rPr>
          <w:sz w:val="22"/>
          <w:lang w:val="en-GB"/>
        </w:rPr>
        <w:t xml:space="preserve"> </w:t>
      </w:r>
      <w:r w:rsidRPr="00E4262E">
        <w:rPr>
          <w:sz w:val="22"/>
          <w:lang w:val="en-GB"/>
        </w:rPr>
        <w:t>Cases of CL are</w:t>
      </w:r>
      <w:r>
        <w:rPr>
          <w:sz w:val="22"/>
          <w:lang w:val="en-GB"/>
        </w:rPr>
        <w:t xml:space="preserve"> </w:t>
      </w:r>
      <w:r w:rsidRPr="00E4262E">
        <w:rPr>
          <w:sz w:val="22"/>
          <w:lang w:val="en-GB"/>
        </w:rPr>
        <w:t xml:space="preserve">rarely </w:t>
      </w:r>
      <w:r w:rsidRPr="00562689">
        <w:rPr>
          <w:sz w:val="22"/>
          <w:lang w:val="en-GB"/>
        </w:rPr>
        <w:t>reported; only 2% of cases between 1989 and 2008. These cases are estimated to represent</w:t>
      </w:r>
      <w:r>
        <w:rPr>
          <w:sz w:val="22"/>
          <w:lang w:val="en-GB"/>
        </w:rPr>
        <w:t xml:space="preserve"> only a third of the real number of cases and are treated by dermatologists outside hospitals [1].</w:t>
      </w:r>
    </w:p>
    <w:p w:rsidR="004D7E32" w:rsidRPr="00E4262E" w:rsidRDefault="004D7E32" w:rsidP="004D7E32">
      <w:pPr>
        <w:ind w:left="0" w:firstLine="0"/>
        <w:rPr>
          <w:sz w:val="22"/>
          <w:lang w:val="en-GB"/>
        </w:rPr>
      </w:pPr>
    </w:p>
    <w:p w:rsidR="004D7E32" w:rsidRPr="00457F73" w:rsidRDefault="004D7E32" w:rsidP="004D7E32">
      <w:pPr>
        <w:ind w:left="0" w:firstLine="0"/>
        <w:rPr>
          <w:sz w:val="20"/>
          <w:lang w:val="en-US"/>
        </w:rPr>
      </w:pPr>
      <w:r w:rsidRPr="00E4262E">
        <w:rPr>
          <w:sz w:val="22"/>
          <w:lang w:val="en-GB"/>
        </w:rPr>
        <w:t xml:space="preserve">Canine VL is endemic and its prevalence varies in the different regions of </w:t>
      </w:r>
      <w:smartTag w:uri="urn:schemas-microsoft-com:office:smarttags" w:element="place">
        <w:smartTag w:uri="urn:schemas-microsoft-com:office:smarttags" w:element="country-region">
          <w:r w:rsidRPr="00E4262E">
            <w:rPr>
              <w:sz w:val="22"/>
              <w:lang w:val="en-GB"/>
            </w:rPr>
            <w:t>Spain</w:t>
          </w:r>
        </w:smartTag>
      </w:smartTag>
      <w:r w:rsidRPr="00E4262E">
        <w:rPr>
          <w:sz w:val="22"/>
          <w:lang w:val="en-GB"/>
        </w:rPr>
        <w:t xml:space="preserve">. </w:t>
      </w:r>
      <w:r w:rsidR="0033660B">
        <w:rPr>
          <w:sz w:val="22"/>
          <w:lang w:val="en-GB"/>
        </w:rPr>
        <w:t xml:space="preserve">Studies in different areas have detected prevalences varying from 4 to 35% </w:t>
      </w:r>
      <w:proofErr w:type="spellStart"/>
      <w:r w:rsidR="0033660B">
        <w:rPr>
          <w:sz w:val="22"/>
          <w:lang w:val="en-GB"/>
        </w:rPr>
        <w:t>seropositive</w:t>
      </w:r>
      <w:proofErr w:type="spellEnd"/>
      <w:r w:rsidR="0033660B">
        <w:rPr>
          <w:sz w:val="22"/>
          <w:lang w:val="en-GB"/>
        </w:rPr>
        <w:t xml:space="preserve"> dogs, with 7</w:t>
      </w:r>
      <w:proofErr w:type="gramStart"/>
      <w:r w:rsidR="0033660B">
        <w:rPr>
          <w:sz w:val="22"/>
          <w:lang w:val="en-GB"/>
        </w:rPr>
        <w:t>,8</w:t>
      </w:r>
      <w:proofErr w:type="gramEnd"/>
      <w:r w:rsidR="0033660B">
        <w:rPr>
          <w:sz w:val="22"/>
          <w:lang w:val="en-GB"/>
        </w:rPr>
        <w:t xml:space="preserve">%  </w:t>
      </w:r>
      <w:proofErr w:type="spellStart"/>
      <w:r w:rsidR="0033660B">
        <w:rPr>
          <w:sz w:val="22"/>
          <w:lang w:val="en-GB"/>
        </w:rPr>
        <w:t>seropositive</w:t>
      </w:r>
      <w:proofErr w:type="spellEnd"/>
      <w:r w:rsidR="0033660B">
        <w:rPr>
          <w:sz w:val="22"/>
          <w:lang w:val="en-GB"/>
        </w:rPr>
        <w:t xml:space="preserve"> dogs in the Madrid region and a high proportion of </w:t>
      </w:r>
      <w:proofErr w:type="spellStart"/>
      <w:r w:rsidR="0033660B">
        <w:rPr>
          <w:sz w:val="22"/>
          <w:lang w:val="en-GB"/>
        </w:rPr>
        <w:t>seropositive</w:t>
      </w:r>
      <w:proofErr w:type="spellEnd"/>
      <w:r w:rsidR="0033660B">
        <w:rPr>
          <w:sz w:val="22"/>
          <w:lang w:val="en-GB"/>
        </w:rPr>
        <w:t xml:space="preserve"> dogs not showing any clinical signs of leishmaniasis [8]</w:t>
      </w:r>
      <w:r w:rsidR="0033660B" w:rsidRPr="00E4262E">
        <w:rPr>
          <w:sz w:val="22"/>
          <w:lang w:val="en-GB"/>
        </w:rPr>
        <w:t>.</w:t>
      </w:r>
      <w:r w:rsidR="0033660B">
        <w:rPr>
          <w:sz w:val="22"/>
          <w:lang w:val="en-GB"/>
        </w:rPr>
        <w:t xml:space="preserve"> The incidence of human leishmaniasis </w:t>
      </w:r>
      <w:r w:rsidR="00457F73">
        <w:rPr>
          <w:sz w:val="22"/>
          <w:lang w:val="en-GB"/>
        </w:rPr>
        <w:t xml:space="preserve">then started to increase in </w:t>
      </w:r>
      <w:r>
        <w:rPr>
          <w:sz w:val="22"/>
          <w:lang w:val="en-GB"/>
        </w:rPr>
        <w:t xml:space="preserve">the </w:t>
      </w:r>
      <w:r w:rsidR="0033660B">
        <w:rPr>
          <w:sz w:val="22"/>
          <w:lang w:val="en-GB"/>
        </w:rPr>
        <w:t xml:space="preserve">Madrid </w:t>
      </w:r>
      <w:r>
        <w:rPr>
          <w:sz w:val="22"/>
          <w:lang w:val="en-GB"/>
        </w:rPr>
        <w:t>area [9]</w:t>
      </w:r>
      <w:r w:rsidR="00457F73">
        <w:rPr>
          <w:sz w:val="22"/>
          <w:lang w:val="en-GB"/>
        </w:rPr>
        <w:t>, and d</w:t>
      </w:r>
      <w:proofErr w:type="spellStart"/>
      <w:r w:rsidR="00457F73" w:rsidRPr="00457F73">
        <w:rPr>
          <w:sz w:val="22"/>
          <w:lang/>
        </w:rPr>
        <w:t>uring</w:t>
      </w:r>
      <w:proofErr w:type="spellEnd"/>
      <w:r w:rsidR="00457F73" w:rsidRPr="00457F73">
        <w:rPr>
          <w:sz w:val="22"/>
          <w:lang/>
        </w:rPr>
        <w:t xml:space="preserve"> 2010 and 2011 an outbreak of both cutan</w:t>
      </w:r>
      <w:r w:rsidR="00457F73">
        <w:rPr>
          <w:sz w:val="22"/>
          <w:lang/>
        </w:rPr>
        <w:t xml:space="preserve">eous and visceral leishmaniasis </w:t>
      </w:r>
      <w:r w:rsidR="00457F73" w:rsidRPr="00457F73">
        <w:rPr>
          <w:sz w:val="22"/>
          <w:lang/>
        </w:rPr>
        <w:t xml:space="preserve">due to </w:t>
      </w:r>
      <w:r w:rsidR="00457F73" w:rsidRPr="00457F73">
        <w:rPr>
          <w:i/>
          <w:sz w:val="22"/>
          <w:lang/>
        </w:rPr>
        <w:t>L.infantum</w:t>
      </w:r>
      <w:r w:rsidR="00457F73">
        <w:rPr>
          <w:sz w:val="22"/>
          <w:lang/>
        </w:rPr>
        <w:t xml:space="preserve"> </w:t>
      </w:r>
      <w:r w:rsidR="00457F73" w:rsidRPr="00457F73">
        <w:rPr>
          <w:sz w:val="22"/>
          <w:lang/>
        </w:rPr>
        <w:t>occu</w:t>
      </w:r>
      <w:r w:rsidR="00457F73">
        <w:rPr>
          <w:sz w:val="22"/>
          <w:lang/>
        </w:rPr>
        <w:t>r</w:t>
      </w:r>
      <w:r w:rsidR="00457F73" w:rsidRPr="00457F73">
        <w:rPr>
          <w:sz w:val="22"/>
          <w:lang/>
        </w:rPr>
        <w:t>red in the province of Madrid affecting three municipalities. 204 human cases (100 CL and 104 VL) have been reported in this period. Interestingly, hare</w:t>
      </w:r>
      <w:r w:rsidR="00457F73">
        <w:rPr>
          <w:sz w:val="22"/>
          <w:lang/>
        </w:rPr>
        <w:t xml:space="preserve">s may be a </w:t>
      </w:r>
      <w:r w:rsidR="00457F73" w:rsidRPr="00457F73">
        <w:rPr>
          <w:sz w:val="22"/>
          <w:lang/>
        </w:rPr>
        <w:t xml:space="preserve">reservoir since 30% of 138 </w:t>
      </w:r>
      <w:proofErr w:type="spellStart"/>
      <w:r w:rsidR="00457F73">
        <w:rPr>
          <w:sz w:val="22"/>
          <w:lang/>
        </w:rPr>
        <w:t>hares</w:t>
      </w:r>
      <w:proofErr w:type="spellEnd"/>
      <w:r w:rsidR="00457F73">
        <w:rPr>
          <w:sz w:val="22"/>
          <w:lang/>
        </w:rPr>
        <w:t xml:space="preserve"> were </w:t>
      </w:r>
      <w:r w:rsidR="00457F73" w:rsidRPr="00457F73">
        <w:rPr>
          <w:sz w:val="22"/>
          <w:lang/>
        </w:rPr>
        <w:t xml:space="preserve">found infected either in viscera or in skin, and </w:t>
      </w:r>
      <w:r w:rsidR="00457F73">
        <w:rPr>
          <w:sz w:val="22"/>
          <w:lang/>
        </w:rPr>
        <w:t xml:space="preserve">a </w:t>
      </w:r>
      <w:r w:rsidR="00457F73" w:rsidRPr="00457F73">
        <w:rPr>
          <w:sz w:val="22"/>
          <w:lang/>
        </w:rPr>
        <w:t xml:space="preserve">few of them were able to infect </w:t>
      </w:r>
      <w:r w:rsidR="00457F73" w:rsidRPr="00457F73">
        <w:rPr>
          <w:i/>
          <w:sz w:val="22"/>
          <w:lang/>
        </w:rPr>
        <w:t xml:space="preserve">Ph. </w:t>
      </w:r>
      <w:proofErr w:type="spellStart"/>
      <w:r w:rsidR="00457F73" w:rsidRPr="00457F73">
        <w:rPr>
          <w:i/>
          <w:sz w:val="22"/>
          <w:lang/>
        </w:rPr>
        <w:t>perniciosus</w:t>
      </w:r>
      <w:proofErr w:type="spellEnd"/>
      <w:r w:rsidR="00457F73" w:rsidRPr="00457F73">
        <w:rPr>
          <w:sz w:val="22"/>
          <w:lang/>
        </w:rPr>
        <w:t xml:space="preserve"> by xenodiagnosis. </w:t>
      </w:r>
      <w:proofErr w:type="spellStart"/>
      <w:r w:rsidR="00457F73" w:rsidRPr="00457F73">
        <w:rPr>
          <w:sz w:val="22"/>
          <w:lang/>
        </w:rPr>
        <w:t>Seropositivity</w:t>
      </w:r>
      <w:proofErr w:type="spellEnd"/>
      <w:r w:rsidR="00457F73" w:rsidRPr="00457F73">
        <w:rPr>
          <w:sz w:val="22"/>
          <w:lang/>
        </w:rPr>
        <w:t xml:space="preserve"> in dogs </w:t>
      </w:r>
      <w:r w:rsidR="00457F73">
        <w:rPr>
          <w:sz w:val="22"/>
          <w:lang/>
        </w:rPr>
        <w:t xml:space="preserve">was found to be </w:t>
      </w:r>
      <w:r w:rsidR="00457F73" w:rsidRPr="00457F73">
        <w:rPr>
          <w:sz w:val="22"/>
          <w:lang/>
        </w:rPr>
        <w:t>3</w:t>
      </w:r>
      <w:proofErr w:type="gramStart"/>
      <w:r w:rsidR="00457F73" w:rsidRPr="00457F73">
        <w:rPr>
          <w:sz w:val="22"/>
          <w:lang/>
        </w:rPr>
        <w:t>,6</w:t>
      </w:r>
      <w:proofErr w:type="gramEnd"/>
      <w:r w:rsidR="00457F73" w:rsidRPr="00457F73">
        <w:rPr>
          <w:sz w:val="22"/>
          <w:lang/>
        </w:rPr>
        <w:t xml:space="preserve">% and 7,9% in two screenings, </w:t>
      </w:r>
      <w:r w:rsidR="00457F73">
        <w:rPr>
          <w:sz w:val="22"/>
          <w:lang/>
        </w:rPr>
        <w:t xml:space="preserve">which equals </w:t>
      </w:r>
      <w:r w:rsidR="00457F73" w:rsidRPr="00457F73">
        <w:rPr>
          <w:sz w:val="22"/>
          <w:lang/>
        </w:rPr>
        <w:t xml:space="preserve">the normal </w:t>
      </w:r>
      <w:proofErr w:type="spellStart"/>
      <w:r w:rsidR="00457F73" w:rsidRPr="00457F73">
        <w:rPr>
          <w:sz w:val="22"/>
          <w:lang/>
        </w:rPr>
        <w:t>seroprevalence</w:t>
      </w:r>
      <w:proofErr w:type="spellEnd"/>
      <w:r w:rsidR="00457F73" w:rsidRPr="00457F73">
        <w:rPr>
          <w:sz w:val="22"/>
          <w:lang/>
        </w:rPr>
        <w:t xml:space="preserve"> in</w:t>
      </w:r>
      <w:r w:rsidR="00457F73">
        <w:rPr>
          <w:sz w:val="22"/>
          <w:lang/>
        </w:rPr>
        <w:t xml:space="preserve"> this region. Environmental man-made changes may explain </w:t>
      </w:r>
      <w:r w:rsidR="00457F73" w:rsidRPr="00457F73">
        <w:rPr>
          <w:sz w:val="22"/>
          <w:lang/>
        </w:rPr>
        <w:t xml:space="preserve">the high density of hares (WHO Symposium on Visceral Leishmaniasis Outbreaks, Madrid, </w:t>
      </w:r>
      <w:proofErr w:type="gramStart"/>
      <w:r w:rsidR="00457F73" w:rsidRPr="00457F73">
        <w:rPr>
          <w:sz w:val="22"/>
          <w:lang/>
        </w:rPr>
        <w:t>March</w:t>
      </w:r>
      <w:proofErr w:type="gramEnd"/>
      <w:r w:rsidR="00457F73" w:rsidRPr="00457F73">
        <w:rPr>
          <w:sz w:val="22"/>
          <w:lang/>
        </w:rPr>
        <w:t xml:space="preserve"> 2012).</w:t>
      </w:r>
    </w:p>
    <w:p w:rsidR="004D7E32" w:rsidRDefault="004D7E32" w:rsidP="004D7E32">
      <w:pPr>
        <w:ind w:left="0" w:firstLine="0"/>
        <w:rPr>
          <w:b/>
          <w:bCs/>
          <w:sz w:val="22"/>
          <w:lang w:val="en-US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US"/>
        </w:rPr>
      </w:pPr>
    </w:p>
    <w:p w:rsidR="004D7E32" w:rsidRPr="002C75B8" w:rsidRDefault="004D7E32" w:rsidP="004D7E32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4D7E32" w:rsidRPr="002C75B8" w:rsidRDefault="004D7E32" w:rsidP="004D7E32">
      <w:pPr>
        <w:ind w:left="0" w:firstLine="0"/>
        <w:rPr>
          <w:b/>
          <w:bC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3060"/>
        <w:gridCol w:w="2160"/>
      </w:tblGrid>
      <w:tr w:rsidR="004D7E32" w:rsidRPr="002C75B8" w:rsidTr="00A7768B">
        <w:tc>
          <w:tcPr>
            <w:tcW w:w="2268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  <w:rPr>
                <w:b/>
                <w:bCs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pecies</w:t>
            </w:r>
            <w:proofErr w:type="spellEnd"/>
          </w:p>
        </w:tc>
        <w:tc>
          <w:tcPr>
            <w:tcW w:w="1800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  <w:rPr>
                <w:b/>
                <w:bCs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060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  <w:rPr>
                <w:b/>
                <w:bCs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60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  <w:rPr>
                <w:b/>
                <w:bCs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4D7E32" w:rsidRPr="002C75B8" w:rsidTr="00A7768B">
        <w:tc>
          <w:tcPr>
            <w:tcW w:w="2268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</w:pPr>
            <w:r w:rsidRPr="002C75B8">
              <w:rPr>
                <w:i/>
                <w:iCs/>
                <w:sz w:val="22"/>
                <w:lang w:val="pt-BR"/>
              </w:rPr>
              <w:t>L. infantum</w:t>
            </w:r>
          </w:p>
        </w:tc>
        <w:tc>
          <w:tcPr>
            <w:tcW w:w="1800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</w:pPr>
            <w:r w:rsidRPr="002C75B8">
              <w:rPr>
                <w:sz w:val="22"/>
                <w:lang w:val="pt-BR"/>
              </w:rPr>
              <w:t>ZVL</w:t>
            </w:r>
            <w:r>
              <w:rPr>
                <w:sz w:val="22"/>
                <w:lang w:val="pt-BR"/>
              </w:rPr>
              <w:t>, CL</w:t>
            </w:r>
          </w:p>
        </w:tc>
        <w:tc>
          <w:tcPr>
            <w:tcW w:w="3060" w:type="dxa"/>
            <w:vAlign w:val="center"/>
          </w:tcPr>
          <w:p w:rsidR="004D7E32" w:rsidRPr="002C75B8" w:rsidRDefault="004D7E32" w:rsidP="00A7768B">
            <w:pPr>
              <w:ind w:left="0" w:firstLine="0"/>
              <w:jc w:val="center"/>
            </w:pPr>
            <w:r w:rsidRPr="00E4262E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E4262E">
              <w:rPr>
                <w:i/>
                <w:iCs/>
                <w:sz w:val="22"/>
                <w:lang w:val="en-US"/>
              </w:rPr>
              <w:t>perniciosus</w:t>
            </w:r>
            <w:proofErr w:type="spellEnd"/>
            <w:r w:rsidRPr="00E4262E">
              <w:rPr>
                <w:i/>
                <w:iCs/>
                <w:sz w:val="22"/>
                <w:lang w:val="en-US"/>
              </w:rPr>
              <w:t xml:space="preserve">, P. </w:t>
            </w:r>
            <w:proofErr w:type="spellStart"/>
            <w:r w:rsidRPr="00E4262E">
              <w:rPr>
                <w:i/>
                <w:iCs/>
                <w:sz w:val="22"/>
                <w:lang w:val="en-US"/>
              </w:rPr>
              <w:t>ariasi</w:t>
            </w:r>
            <w:proofErr w:type="spellEnd"/>
            <w:r w:rsidRPr="00E4262E">
              <w:rPr>
                <w:i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D7E32" w:rsidRPr="00E4262E" w:rsidRDefault="004D7E32" w:rsidP="00A7768B">
            <w:pPr>
              <w:ind w:left="0" w:firstLine="0"/>
              <w:jc w:val="center"/>
              <w:rPr>
                <w:i/>
                <w:iCs/>
              </w:rPr>
            </w:pPr>
            <w:proofErr w:type="spellStart"/>
            <w:r w:rsidRPr="00E4262E">
              <w:rPr>
                <w:i/>
                <w:iCs/>
                <w:sz w:val="22"/>
                <w:lang w:val="en-US"/>
              </w:rPr>
              <w:t>Canis</w:t>
            </w:r>
            <w:proofErr w:type="spellEnd"/>
            <w:r w:rsidRPr="00E4262E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E4262E">
              <w:rPr>
                <w:i/>
                <w:iCs/>
                <w:sz w:val="22"/>
                <w:lang w:val="en-US"/>
              </w:rPr>
              <w:t>familiaris</w:t>
            </w:r>
            <w:proofErr w:type="spellEnd"/>
          </w:p>
        </w:tc>
      </w:tr>
    </w:tbl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  <w:r w:rsidRPr="00E4262E">
        <w:rPr>
          <w:b/>
          <w:bCs/>
          <w:sz w:val="22"/>
          <w:lang w:val="en-GB"/>
        </w:rPr>
        <w:t>MAPS AND TRENDS</w:t>
      </w: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Cutaneous and v</w:t>
      </w:r>
      <w:r w:rsidRPr="00E4262E">
        <w:rPr>
          <w:b/>
          <w:bCs/>
          <w:sz w:val="22"/>
          <w:lang w:val="en-GB"/>
        </w:rPr>
        <w:t>isceral leishmaniasis</w:t>
      </w: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12065</wp:posOffset>
            </wp:positionV>
            <wp:extent cx="2626995" cy="2205355"/>
            <wp:effectExtent l="19050" t="0" r="1905" b="0"/>
            <wp:wrapNone/>
            <wp:docPr id="4" name="Picture 4" descr="ES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20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81280</wp:posOffset>
            </wp:positionV>
            <wp:extent cx="6401435" cy="239839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  <w:bCs/>
          <w:sz w:val="22"/>
          <w:lang w:val="en-GB"/>
        </w:rPr>
        <w:t>Cutaneous and visceral leishmaniasis trend</w:t>
      </w: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sz w:val="22"/>
          <w:lang w:val="en-GB"/>
        </w:rPr>
      </w:pPr>
      <w:r w:rsidRPr="00E4262E">
        <w:rPr>
          <w:b/>
          <w:sz w:val="22"/>
          <w:lang w:val="en-GB"/>
        </w:rPr>
        <w:t>CONTROL</w:t>
      </w:r>
    </w:p>
    <w:p w:rsidR="004D7E32" w:rsidRPr="00E4262E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Cs/>
          <w:sz w:val="22"/>
          <w:lang w:val="en-US"/>
        </w:rPr>
      </w:pPr>
      <w:r w:rsidRPr="00E4262E">
        <w:rPr>
          <w:bCs/>
          <w:sz w:val="22"/>
          <w:lang w:val="en-GB"/>
        </w:rPr>
        <w:t xml:space="preserve">The notification of leishmaniasis is not mandatory in the country and there is no </w:t>
      </w:r>
      <w:r w:rsidRPr="00E4262E">
        <w:rPr>
          <w:bCs/>
          <w:sz w:val="22"/>
          <w:lang w:val="en-US"/>
        </w:rPr>
        <w:t>nationa</w:t>
      </w:r>
      <w:r>
        <w:rPr>
          <w:bCs/>
          <w:sz w:val="22"/>
          <w:lang w:val="en-US"/>
        </w:rPr>
        <w:t>l leishmaniasis control program</w:t>
      </w:r>
      <w:r w:rsidRPr="00E4262E">
        <w:rPr>
          <w:bCs/>
          <w:sz w:val="22"/>
          <w:lang w:val="en-US"/>
        </w:rPr>
        <w:t xml:space="preserve">. There is no leishmaniasis vector control program, but some regions carry out control activities. </w:t>
      </w:r>
      <w:r w:rsidRPr="003C76A4">
        <w:rPr>
          <w:bCs/>
          <w:sz w:val="22"/>
          <w:lang w:val="en-US"/>
        </w:rPr>
        <w:t>Treatment or sacrifice of infected dogs is recommended by veterinarians. Infected stray dogs are sacrificed</w:t>
      </w:r>
      <w:r w:rsidRPr="00E4262E">
        <w:rPr>
          <w:bCs/>
          <w:sz w:val="22"/>
          <w:lang w:val="en-US"/>
        </w:rPr>
        <w:t xml:space="preserve">. </w:t>
      </w:r>
    </w:p>
    <w:p w:rsidR="004D7E32" w:rsidRDefault="004D7E32" w:rsidP="004D7E32">
      <w:pPr>
        <w:ind w:left="0" w:firstLine="0"/>
        <w:rPr>
          <w:bCs/>
          <w:sz w:val="22"/>
          <w:lang w:val="en-US"/>
        </w:rPr>
      </w:pPr>
    </w:p>
    <w:p w:rsidR="004D7E32" w:rsidRDefault="004D7E32" w:rsidP="004D7E32">
      <w:pPr>
        <w:ind w:left="0" w:firstLine="0"/>
        <w:rPr>
          <w:bCs/>
          <w:sz w:val="22"/>
          <w:lang w:val="en-US"/>
        </w:rPr>
      </w:pPr>
    </w:p>
    <w:p w:rsidR="004D7E32" w:rsidRDefault="004D7E32" w:rsidP="004D7E32">
      <w:pPr>
        <w:ind w:left="0" w:firstLine="0"/>
        <w:rPr>
          <w:b/>
          <w:sz w:val="22"/>
          <w:lang w:val="en-US"/>
        </w:rPr>
      </w:pPr>
      <w:r w:rsidRPr="00E4262E">
        <w:rPr>
          <w:b/>
          <w:sz w:val="22"/>
          <w:lang w:val="en-US"/>
        </w:rPr>
        <w:t xml:space="preserve">DIAGNOSIS, TREATMENT </w:t>
      </w:r>
    </w:p>
    <w:p w:rsidR="004D7E32" w:rsidRPr="00E4262E" w:rsidRDefault="004D7E32" w:rsidP="004D7E32">
      <w:pPr>
        <w:ind w:left="0" w:firstLine="0"/>
        <w:rPr>
          <w:b/>
          <w:sz w:val="22"/>
          <w:lang w:val="en-US"/>
        </w:rPr>
      </w:pPr>
    </w:p>
    <w:p w:rsidR="004D7E32" w:rsidRPr="00E4262E" w:rsidRDefault="004D7E32" w:rsidP="004D7E32">
      <w:pPr>
        <w:ind w:left="0" w:firstLine="0"/>
        <w:rPr>
          <w:b/>
          <w:sz w:val="22"/>
          <w:lang w:val="en-US"/>
        </w:rPr>
      </w:pPr>
      <w:r w:rsidRPr="00E4262E">
        <w:rPr>
          <w:b/>
          <w:sz w:val="22"/>
          <w:lang w:val="en-US"/>
        </w:rPr>
        <w:t>Diagnosis</w:t>
      </w:r>
    </w:p>
    <w:p w:rsidR="004D7E32" w:rsidRDefault="004D7E32" w:rsidP="004D7E32">
      <w:pPr>
        <w:ind w:left="0" w:firstLine="0"/>
        <w:rPr>
          <w:bCs/>
          <w:sz w:val="22"/>
          <w:lang w:val="en-US"/>
        </w:rPr>
      </w:pPr>
      <w:r w:rsidRPr="00C0527B">
        <w:rPr>
          <w:sz w:val="22"/>
          <w:lang w:val="en-US"/>
        </w:rPr>
        <w:t>VL and CL</w:t>
      </w:r>
      <w:r w:rsidRPr="00C0527B">
        <w:rPr>
          <w:bCs/>
          <w:sz w:val="22"/>
          <w:lang w:val="en-US"/>
        </w:rPr>
        <w:t>: various</w:t>
      </w:r>
      <w:r w:rsidRPr="00E4262E">
        <w:rPr>
          <w:bCs/>
          <w:sz w:val="22"/>
          <w:lang w:val="en-US"/>
        </w:rPr>
        <w:t xml:space="preserve"> serological and parasitological techniques</w:t>
      </w:r>
      <w:r>
        <w:rPr>
          <w:bCs/>
          <w:sz w:val="22"/>
          <w:lang w:val="en-US"/>
        </w:rPr>
        <w:t>.</w:t>
      </w:r>
      <w:r w:rsidRPr="00E4262E">
        <w:rPr>
          <w:bCs/>
          <w:sz w:val="22"/>
          <w:lang w:val="en-US"/>
        </w:rPr>
        <w:t xml:space="preserve"> </w:t>
      </w:r>
    </w:p>
    <w:p w:rsidR="004D7E32" w:rsidRPr="00E4262E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/>
          <w:sz w:val="22"/>
          <w:lang w:val="en-GB"/>
        </w:rPr>
      </w:pPr>
      <w:r w:rsidRPr="00E4262E">
        <w:rPr>
          <w:b/>
          <w:sz w:val="22"/>
          <w:lang w:val="en-GB"/>
        </w:rPr>
        <w:t>Treatment:</w:t>
      </w:r>
    </w:p>
    <w:p w:rsidR="004D7E32" w:rsidRPr="00E4262E" w:rsidRDefault="004D7E32" w:rsidP="004D7E32">
      <w:pPr>
        <w:ind w:left="0" w:firstLine="0"/>
        <w:rPr>
          <w:bCs/>
          <w:sz w:val="22"/>
          <w:lang w:val="en-GB"/>
        </w:rPr>
      </w:pPr>
      <w:r w:rsidRPr="00C0527B">
        <w:rPr>
          <w:sz w:val="22"/>
          <w:lang w:val="en-GB"/>
        </w:rPr>
        <w:t>VL</w:t>
      </w:r>
      <w:r w:rsidRPr="00C0527B">
        <w:rPr>
          <w:bCs/>
          <w:sz w:val="22"/>
          <w:lang w:val="en-GB"/>
        </w:rPr>
        <w:t>: liposomal</w:t>
      </w:r>
      <w:r w:rsidRPr="00E4262E">
        <w:rPr>
          <w:bCs/>
          <w:sz w:val="22"/>
          <w:lang w:val="en-GB"/>
        </w:rPr>
        <w:t xml:space="preserve"> amphotericin B</w:t>
      </w:r>
      <w:r>
        <w:rPr>
          <w:bCs/>
          <w:sz w:val="22"/>
          <w:lang w:val="en-GB"/>
        </w:rPr>
        <w:t>,</w:t>
      </w:r>
      <w:r w:rsidRPr="00E4262E">
        <w:rPr>
          <w:bCs/>
          <w:sz w:val="22"/>
          <w:lang w:val="en-GB"/>
        </w:rPr>
        <w:t xml:space="preserve"> 3-5 mg/kg/d</w:t>
      </w:r>
      <w:r>
        <w:rPr>
          <w:bCs/>
          <w:sz w:val="22"/>
          <w:lang w:val="en-GB"/>
        </w:rPr>
        <w:t>ay</w:t>
      </w:r>
      <w:r w:rsidRPr="00E4262E">
        <w:rPr>
          <w:bCs/>
          <w:sz w:val="22"/>
          <w:lang w:val="en-GB"/>
        </w:rPr>
        <w:t>, for 3-10 days</w:t>
      </w:r>
      <w:r>
        <w:rPr>
          <w:bCs/>
          <w:sz w:val="22"/>
          <w:lang w:val="en-GB"/>
        </w:rPr>
        <w:t>,</w:t>
      </w:r>
      <w:r w:rsidRPr="00E4262E">
        <w:rPr>
          <w:bCs/>
          <w:sz w:val="22"/>
          <w:lang w:val="en-GB"/>
        </w:rPr>
        <w:t xml:space="preserve"> or antimonials, 20 mg </w:t>
      </w:r>
      <w:proofErr w:type="spellStart"/>
      <w:r w:rsidRPr="00E4262E">
        <w:rPr>
          <w:bCs/>
          <w:sz w:val="22"/>
          <w:lang w:val="en-GB"/>
        </w:rPr>
        <w:t>Sb</w:t>
      </w:r>
      <w:r w:rsidRPr="00C575E1">
        <w:rPr>
          <w:bCs/>
          <w:sz w:val="22"/>
          <w:vertAlign w:val="superscript"/>
          <w:lang w:val="en-GB"/>
        </w:rPr>
        <w:t>v</w:t>
      </w:r>
      <w:proofErr w:type="spellEnd"/>
      <w:r w:rsidRPr="00E4262E">
        <w:rPr>
          <w:bCs/>
          <w:sz w:val="22"/>
          <w:lang w:val="en-GB"/>
        </w:rPr>
        <w:t>/kg/d</w:t>
      </w:r>
      <w:r>
        <w:rPr>
          <w:bCs/>
          <w:sz w:val="22"/>
          <w:lang w:val="en-GB"/>
        </w:rPr>
        <w:t>ay</w:t>
      </w:r>
      <w:r w:rsidRPr="00E4262E">
        <w:rPr>
          <w:bCs/>
          <w:sz w:val="22"/>
          <w:lang w:val="en-GB"/>
        </w:rPr>
        <w:t xml:space="preserve"> for 28 days. Fatality rate is 5%. </w:t>
      </w:r>
      <w:proofErr w:type="gramStart"/>
      <w:r w:rsidRPr="00E4262E">
        <w:rPr>
          <w:bCs/>
          <w:sz w:val="22"/>
          <w:lang w:val="en-GB"/>
        </w:rPr>
        <w:t>Second line treatment with miltefosine.</w:t>
      </w:r>
      <w:proofErr w:type="gramEnd"/>
    </w:p>
    <w:p w:rsidR="004D7E32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Pr="00E4262E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/>
          <w:sz w:val="22"/>
          <w:lang w:val="en-US"/>
        </w:rPr>
      </w:pPr>
      <w:r w:rsidRPr="00E4262E">
        <w:rPr>
          <w:b/>
          <w:sz w:val="22"/>
          <w:lang w:val="en-US"/>
        </w:rPr>
        <w:t xml:space="preserve">ACCESS TO CARE </w:t>
      </w:r>
    </w:p>
    <w:p w:rsidR="004D7E32" w:rsidRPr="00E4262E" w:rsidRDefault="004D7E32" w:rsidP="004D7E32">
      <w:pPr>
        <w:ind w:left="0" w:firstLine="0"/>
        <w:rPr>
          <w:b/>
          <w:sz w:val="22"/>
          <w:lang w:val="en-US"/>
        </w:rPr>
      </w:pPr>
    </w:p>
    <w:p w:rsidR="004D7E32" w:rsidRDefault="004D7E32" w:rsidP="004D7E32">
      <w:pPr>
        <w:ind w:left="0" w:firstLine="0"/>
        <w:rPr>
          <w:bCs/>
          <w:sz w:val="22"/>
          <w:lang w:val="en-US"/>
        </w:rPr>
      </w:pPr>
      <w:r w:rsidRPr="00E4262E">
        <w:rPr>
          <w:bCs/>
          <w:sz w:val="22"/>
          <w:lang w:val="en-GB"/>
        </w:rPr>
        <w:t>Health care is free</w:t>
      </w:r>
      <w:r>
        <w:rPr>
          <w:bCs/>
          <w:sz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2"/>
              <w:lang w:val="en-GB"/>
            </w:rPr>
            <w:t>Spain</w:t>
          </w:r>
        </w:smartTag>
      </w:smartTag>
      <w:r w:rsidRPr="00E4262E">
        <w:rPr>
          <w:bCs/>
          <w:sz w:val="22"/>
          <w:lang w:val="en-GB"/>
        </w:rPr>
        <w:t>, which includes care for leishmaniasis.</w:t>
      </w:r>
      <w:r w:rsidRPr="00E4262E">
        <w:rPr>
          <w:bCs/>
          <w:sz w:val="22"/>
          <w:lang w:val="en-US"/>
        </w:rPr>
        <w:t xml:space="preserve"> D</w:t>
      </w:r>
      <w:proofErr w:type="spellStart"/>
      <w:r w:rsidRPr="00E4262E">
        <w:rPr>
          <w:bCs/>
          <w:sz w:val="22"/>
          <w:lang w:val="en-GB"/>
        </w:rPr>
        <w:t>iagnosis</w:t>
      </w:r>
      <w:proofErr w:type="spellEnd"/>
      <w:r w:rsidRPr="00E4262E">
        <w:rPr>
          <w:bCs/>
          <w:sz w:val="22"/>
          <w:lang w:val="en-GB"/>
        </w:rPr>
        <w:t xml:space="preserve"> is not performed on primary health care level, but in hospitals for VL, and by dermatologists for CL. </w:t>
      </w:r>
      <w:r w:rsidRPr="00E4262E">
        <w:rPr>
          <w:bCs/>
          <w:sz w:val="22"/>
          <w:lang w:val="en-US"/>
        </w:rPr>
        <w:t xml:space="preserve">All patients are thought to have access to care. </w:t>
      </w:r>
    </w:p>
    <w:p w:rsidR="004D7E32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Pr="00E4262E" w:rsidRDefault="004D7E32" w:rsidP="004D7E32">
      <w:pPr>
        <w:pStyle w:val="NoSpacing"/>
        <w:jc w:val="both"/>
        <w:rPr>
          <w:rFonts w:ascii="Arial" w:hAnsi="Arial" w:cs="Arial"/>
          <w:b/>
        </w:rPr>
      </w:pPr>
      <w:r w:rsidRPr="00E4262E">
        <w:rPr>
          <w:rFonts w:ascii="Arial" w:hAnsi="Arial" w:cs="Arial"/>
          <w:b/>
        </w:rPr>
        <w:t>ACCESS TO DRUGS</w:t>
      </w:r>
    </w:p>
    <w:p w:rsidR="004D7E32" w:rsidRPr="00E4262E" w:rsidRDefault="004D7E32" w:rsidP="004D7E32">
      <w:pPr>
        <w:pStyle w:val="NoSpacing"/>
        <w:jc w:val="both"/>
        <w:rPr>
          <w:rFonts w:ascii="Arial" w:hAnsi="Arial" w:cs="Arial"/>
          <w:bCs/>
        </w:rPr>
      </w:pPr>
      <w:r w:rsidRPr="00E4262E">
        <w:rPr>
          <w:rFonts w:ascii="Arial" w:hAnsi="Arial" w:cs="Arial"/>
          <w:bCs/>
        </w:rPr>
        <w:t xml:space="preserve"> </w:t>
      </w:r>
    </w:p>
    <w:p w:rsidR="004D7E32" w:rsidRPr="00E4262E" w:rsidRDefault="004D7E32" w:rsidP="004D7E32">
      <w:pPr>
        <w:pStyle w:val="NoSpacing"/>
        <w:jc w:val="both"/>
        <w:rPr>
          <w:rFonts w:ascii="Arial" w:hAnsi="Arial" w:cs="Arial"/>
          <w:bCs/>
        </w:rPr>
      </w:pPr>
      <w:r w:rsidRPr="00E4262E">
        <w:rPr>
          <w:rFonts w:ascii="Arial" w:hAnsi="Arial" w:cs="Arial"/>
          <w:bCs/>
        </w:rPr>
        <w:t xml:space="preserve">Only </w:t>
      </w:r>
      <w:proofErr w:type="spellStart"/>
      <w:r w:rsidRPr="00E4262E">
        <w:rPr>
          <w:rFonts w:ascii="Arial" w:hAnsi="Arial" w:cs="Arial"/>
          <w:bCs/>
        </w:rPr>
        <w:t>pentamidine</w:t>
      </w:r>
      <w:proofErr w:type="spellEnd"/>
      <w:r w:rsidRPr="00E4262E">
        <w:rPr>
          <w:rFonts w:ascii="Arial" w:hAnsi="Arial" w:cs="Arial"/>
          <w:bCs/>
        </w:rPr>
        <w:t xml:space="preserve"> is included in the National Essential Drug List for VL. Drugs for leishmaniasis are not sold without prescription</w:t>
      </w:r>
      <w:r>
        <w:rPr>
          <w:rFonts w:ascii="Arial" w:hAnsi="Arial" w:cs="Arial"/>
          <w:bCs/>
        </w:rPr>
        <w:t xml:space="preserve"> </w:t>
      </w:r>
      <w:r w:rsidRPr="00E4262E">
        <w:rPr>
          <w:rFonts w:ascii="Arial" w:hAnsi="Arial" w:cs="Arial"/>
          <w:bCs/>
        </w:rPr>
        <w:t xml:space="preserve">in pharmacies. Meglumine antimoniate (Glucantime, </w:t>
      </w:r>
      <w:proofErr w:type="spellStart"/>
      <w:r>
        <w:rPr>
          <w:rFonts w:ascii="Arial" w:hAnsi="Arial" w:cs="Arial"/>
          <w:bCs/>
        </w:rPr>
        <w:t>Sanofi</w:t>
      </w:r>
      <w:proofErr w:type="spellEnd"/>
      <w:r w:rsidRPr="00E4262E">
        <w:rPr>
          <w:rFonts w:ascii="Arial" w:hAnsi="Arial" w:cs="Arial"/>
          <w:bCs/>
        </w:rPr>
        <w:t xml:space="preserve">) and liposomal amphotericin B (AmBisome, Gilead) are registered in </w:t>
      </w:r>
      <w:smartTag w:uri="urn:schemas-microsoft-com:office:smarttags" w:element="place">
        <w:smartTag w:uri="urn:schemas-microsoft-com:office:smarttags" w:element="country-region">
          <w:r w:rsidRPr="00E4262E">
            <w:rPr>
              <w:rFonts w:ascii="Arial" w:hAnsi="Arial" w:cs="Arial"/>
              <w:bCs/>
            </w:rPr>
            <w:t>Spain</w:t>
          </w:r>
        </w:smartTag>
      </w:smartTag>
      <w:r w:rsidRPr="00E4262E">
        <w:rPr>
          <w:rFonts w:ascii="Arial" w:hAnsi="Arial" w:cs="Arial"/>
          <w:bCs/>
        </w:rPr>
        <w:t xml:space="preserve">. Miltefosine </w:t>
      </w:r>
      <w:proofErr w:type="gramStart"/>
      <w:r w:rsidRPr="00E4262E">
        <w:rPr>
          <w:rFonts w:ascii="Arial" w:hAnsi="Arial" w:cs="Arial"/>
          <w:bCs/>
        </w:rPr>
        <w:t>is  registered</w:t>
      </w:r>
      <w:proofErr w:type="gramEnd"/>
      <w:r w:rsidRPr="00E4262E">
        <w:rPr>
          <w:rFonts w:ascii="Arial" w:hAnsi="Arial" w:cs="Arial"/>
          <w:bCs/>
        </w:rPr>
        <w:t xml:space="preserve"> for use in </w:t>
      </w:r>
      <w:r>
        <w:rPr>
          <w:rFonts w:ascii="Arial" w:hAnsi="Arial" w:cs="Arial"/>
          <w:bCs/>
        </w:rPr>
        <w:t>dogs, but not for hu</w:t>
      </w:r>
      <w:r w:rsidRPr="00E4262E">
        <w:rPr>
          <w:rFonts w:ascii="Arial" w:hAnsi="Arial" w:cs="Arial"/>
          <w:bCs/>
        </w:rPr>
        <w:t>mans</w:t>
      </w:r>
      <w:r>
        <w:rPr>
          <w:rFonts w:ascii="Arial" w:hAnsi="Arial" w:cs="Arial"/>
          <w:bCs/>
        </w:rPr>
        <w:t xml:space="preserve">. </w:t>
      </w:r>
    </w:p>
    <w:p w:rsidR="004D7E32" w:rsidRDefault="004D7E32" w:rsidP="004D7E32">
      <w:pPr>
        <w:pStyle w:val="NoSpacing"/>
        <w:jc w:val="both"/>
        <w:rPr>
          <w:rFonts w:ascii="Arial" w:hAnsi="Arial" w:cs="Arial"/>
          <w:bCs/>
        </w:rPr>
      </w:pPr>
    </w:p>
    <w:p w:rsidR="004D7E32" w:rsidRPr="00E4262E" w:rsidRDefault="004D7E32" w:rsidP="004D7E32">
      <w:pPr>
        <w:pStyle w:val="NoSpacing"/>
        <w:jc w:val="both"/>
        <w:rPr>
          <w:rFonts w:ascii="Arial" w:hAnsi="Arial" w:cs="Arial"/>
          <w:bCs/>
        </w:rPr>
      </w:pPr>
    </w:p>
    <w:p w:rsidR="004D7E32" w:rsidRPr="00E4262E" w:rsidRDefault="004D7E32" w:rsidP="004D7E32">
      <w:pPr>
        <w:ind w:left="0" w:firstLine="0"/>
        <w:rPr>
          <w:b/>
          <w:sz w:val="22"/>
          <w:lang w:val="en-US"/>
        </w:rPr>
      </w:pPr>
      <w:r w:rsidRPr="00E4262E">
        <w:rPr>
          <w:b/>
          <w:sz w:val="22"/>
          <w:lang w:val="en-US"/>
        </w:rPr>
        <w:t>SOURCES OF INFORMATION</w:t>
      </w:r>
    </w:p>
    <w:p w:rsidR="004D7E32" w:rsidRPr="00E4262E" w:rsidRDefault="004D7E32" w:rsidP="004D7E32">
      <w:pPr>
        <w:ind w:left="0" w:firstLine="0"/>
        <w:rPr>
          <w:bCs/>
          <w:sz w:val="22"/>
          <w:lang w:val="en-US"/>
        </w:rPr>
      </w:pPr>
    </w:p>
    <w:p w:rsidR="004D7E32" w:rsidRPr="00C23663" w:rsidRDefault="004D7E32" w:rsidP="004D7E32">
      <w:pPr>
        <w:ind w:right="-1" w:firstLine="0"/>
        <w:rPr>
          <w:bCs/>
          <w:i/>
          <w:iCs/>
          <w:sz w:val="22"/>
          <w:lang w:val="en-US"/>
        </w:rPr>
      </w:pPr>
      <w:proofErr w:type="gramStart"/>
      <w:r w:rsidRPr="00E4262E">
        <w:rPr>
          <w:bCs/>
          <w:sz w:val="22"/>
          <w:lang w:val="en-US"/>
        </w:rPr>
        <w:t xml:space="preserve">• </w:t>
      </w:r>
      <w:r>
        <w:rPr>
          <w:bCs/>
          <w:sz w:val="22"/>
          <w:lang w:val="en-US"/>
        </w:rPr>
        <w:t xml:space="preserve">Dr </w:t>
      </w:r>
      <w:r w:rsidRPr="00E4262E">
        <w:rPr>
          <w:bCs/>
          <w:sz w:val="22"/>
          <w:lang w:val="en-US"/>
        </w:rPr>
        <w:t xml:space="preserve">Luisa </w:t>
      </w:r>
      <w:proofErr w:type="spellStart"/>
      <w:r w:rsidRPr="00E4262E">
        <w:rPr>
          <w:bCs/>
          <w:sz w:val="22"/>
          <w:lang w:val="en-US"/>
        </w:rPr>
        <w:t>Sánchez</w:t>
      </w:r>
      <w:proofErr w:type="spellEnd"/>
      <w:r w:rsidRPr="00E4262E">
        <w:rPr>
          <w:bCs/>
          <w:sz w:val="22"/>
          <w:lang w:val="en-US"/>
        </w:rPr>
        <w:t xml:space="preserve"> Serrano, National Center of Epidemiology, </w:t>
      </w:r>
      <w:proofErr w:type="spellStart"/>
      <w:r w:rsidRPr="00E4262E">
        <w:rPr>
          <w:bCs/>
          <w:sz w:val="22"/>
          <w:lang w:val="en-US"/>
        </w:rPr>
        <w:t>Instituto</w:t>
      </w:r>
      <w:proofErr w:type="spellEnd"/>
      <w:r w:rsidRPr="00E4262E">
        <w:rPr>
          <w:bCs/>
          <w:sz w:val="22"/>
          <w:lang w:val="en-US"/>
        </w:rPr>
        <w:t xml:space="preserve"> de </w:t>
      </w:r>
      <w:proofErr w:type="spellStart"/>
      <w:r w:rsidRPr="00E4262E">
        <w:rPr>
          <w:bCs/>
          <w:sz w:val="22"/>
          <w:lang w:val="en-US"/>
        </w:rPr>
        <w:t>Salud</w:t>
      </w:r>
      <w:proofErr w:type="spellEnd"/>
      <w:r w:rsidRPr="00E4262E">
        <w:rPr>
          <w:bCs/>
          <w:sz w:val="22"/>
          <w:lang w:val="en-US"/>
        </w:rPr>
        <w:t xml:space="preserve"> Carlos III, </w:t>
      </w:r>
      <w:proofErr w:type="spellStart"/>
      <w:r w:rsidRPr="00E4262E">
        <w:rPr>
          <w:bCs/>
          <w:sz w:val="22"/>
          <w:lang w:val="en-US"/>
        </w:rPr>
        <w:t>Ministerio</w:t>
      </w:r>
      <w:proofErr w:type="spellEnd"/>
      <w:r w:rsidRPr="00E4262E">
        <w:rPr>
          <w:bCs/>
          <w:sz w:val="22"/>
          <w:lang w:val="en-US"/>
        </w:rPr>
        <w:t xml:space="preserve"> de </w:t>
      </w:r>
      <w:proofErr w:type="spellStart"/>
      <w:r w:rsidRPr="00E4262E">
        <w:rPr>
          <w:bCs/>
          <w:sz w:val="22"/>
          <w:lang w:val="en-US"/>
        </w:rPr>
        <w:t>Ciencia</w:t>
      </w:r>
      <w:proofErr w:type="spellEnd"/>
      <w:r w:rsidRPr="00E4262E">
        <w:rPr>
          <w:bCs/>
          <w:sz w:val="22"/>
          <w:lang w:val="en-US"/>
        </w:rPr>
        <w:t xml:space="preserve"> e </w:t>
      </w:r>
      <w:proofErr w:type="spellStart"/>
      <w:r w:rsidRPr="00E4262E">
        <w:rPr>
          <w:bCs/>
          <w:sz w:val="22"/>
          <w:lang w:val="en-US"/>
        </w:rPr>
        <w:t>Innovación</w:t>
      </w:r>
      <w:proofErr w:type="spellEnd"/>
      <w:r>
        <w:rPr>
          <w:bCs/>
          <w:sz w:val="22"/>
          <w:lang w:val="en-US"/>
        </w:rPr>
        <w:t>.</w:t>
      </w:r>
      <w:proofErr w:type="gramEnd"/>
      <w:r>
        <w:rPr>
          <w:bCs/>
          <w:sz w:val="22"/>
          <w:lang w:val="en-US"/>
        </w:rPr>
        <w:t xml:space="preserve"> </w:t>
      </w:r>
      <w:proofErr w:type="gramStart"/>
      <w:r w:rsidRPr="00C23663">
        <w:rPr>
          <w:bCs/>
          <w:i/>
          <w:iCs/>
          <w:sz w:val="22"/>
          <w:lang w:val="en-US"/>
        </w:rPr>
        <w:t xml:space="preserve">Leishmaniasis in the European Region, a WHO consultative </w:t>
      </w:r>
      <w:proofErr w:type="spellStart"/>
      <w:r w:rsidRPr="00C23663">
        <w:rPr>
          <w:bCs/>
          <w:i/>
          <w:iCs/>
          <w:sz w:val="22"/>
          <w:lang w:val="en-US"/>
        </w:rPr>
        <w:t>intercountry</w:t>
      </w:r>
      <w:proofErr w:type="spellEnd"/>
      <w:r w:rsidRPr="00C23663">
        <w:rPr>
          <w:bCs/>
          <w:i/>
          <w:iCs/>
          <w:sz w:val="22"/>
          <w:lang w:val="en-US"/>
        </w:rPr>
        <w:t xml:space="preserve"> meeting, Istanbul, Turkey, 17–19 November 2009</w:t>
      </w:r>
      <w:r>
        <w:rPr>
          <w:bCs/>
          <w:i/>
          <w:iCs/>
          <w:sz w:val="22"/>
          <w:lang w:val="en-US"/>
        </w:rPr>
        <w:t>.</w:t>
      </w:r>
      <w:proofErr w:type="gramEnd"/>
    </w:p>
    <w:p w:rsidR="004D7E32" w:rsidRPr="00E4262E" w:rsidRDefault="004D7E32" w:rsidP="004D7E32">
      <w:pPr>
        <w:ind w:left="0" w:firstLine="0"/>
        <w:rPr>
          <w:bCs/>
          <w:sz w:val="22"/>
          <w:lang w:val="en-US"/>
        </w:rPr>
      </w:pPr>
    </w:p>
    <w:p w:rsidR="004D7E32" w:rsidRPr="0017049F" w:rsidRDefault="004D7E32" w:rsidP="004D7E32">
      <w:pPr>
        <w:ind w:left="0" w:firstLine="0"/>
        <w:rPr>
          <w:bCs/>
          <w:sz w:val="22"/>
          <w:szCs w:val="24"/>
          <w:lang w:val="en-GB"/>
        </w:rPr>
      </w:pPr>
    </w:p>
    <w:p w:rsidR="004D7E32" w:rsidRPr="00605BD3" w:rsidRDefault="004D7E32" w:rsidP="004D7E32">
      <w:pPr>
        <w:ind w:left="0" w:firstLine="0"/>
        <w:rPr>
          <w:bCs/>
          <w:sz w:val="22"/>
          <w:szCs w:val="24"/>
          <w:lang w:val="es-ES"/>
        </w:rPr>
      </w:pPr>
      <w:r w:rsidRPr="00605BD3">
        <w:rPr>
          <w:bCs/>
          <w:sz w:val="22"/>
          <w:szCs w:val="24"/>
          <w:lang w:val="es-ES"/>
        </w:rPr>
        <w:t>1</w:t>
      </w:r>
      <w:r>
        <w:rPr>
          <w:bCs/>
          <w:sz w:val="22"/>
          <w:szCs w:val="24"/>
          <w:lang w:val="es-ES"/>
        </w:rPr>
        <w:t xml:space="preserve">. </w:t>
      </w:r>
      <w:r w:rsidRPr="00605BD3">
        <w:rPr>
          <w:bCs/>
          <w:sz w:val="22"/>
          <w:szCs w:val="24"/>
          <w:lang w:val="es-ES"/>
        </w:rPr>
        <w:t xml:space="preserve">Alvar J </w:t>
      </w:r>
      <w:r>
        <w:rPr>
          <w:bCs/>
          <w:sz w:val="22"/>
          <w:szCs w:val="24"/>
          <w:lang w:val="es-ES"/>
        </w:rPr>
        <w:t>(</w:t>
      </w:r>
      <w:r w:rsidRPr="00605BD3">
        <w:rPr>
          <w:bCs/>
          <w:sz w:val="22"/>
          <w:szCs w:val="24"/>
          <w:lang w:val="es-ES"/>
        </w:rPr>
        <w:t>2001</w:t>
      </w:r>
      <w:r>
        <w:rPr>
          <w:bCs/>
          <w:sz w:val="22"/>
          <w:szCs w:val="24"/>
          <w:lang w:val="es-ES"/>
        </w:rPr>
        <w:t>)</w:t>
      </w:r>
      <w:r w:rsidRPr="00605BD3">
        <w:rPr>
          <w:bCs/>
          <w:sz w:val="22"/>
          <w:szCs w:val="24"/>
          <w:lang w:val="es-ES"/>
        </w:rPr>
        <w:t xml:space="preserve"> </w:t>
      </w:r>
      <w:proofErr w:type="spellStart"/>
      <w:r w:rsidRPr="00605BD3">
        <w:rPr>
          <w:bCs/>
          <w:sz w:val="22"/>
          <w:szCs w:val="24"/>
          <w:lang w:val="es-ES"/>
        </w:rPr>
        <w:t>Lab</w:t>
      </w:r>
      <w:proofErr w:type="spellEnd"/>
      <w:r w:rsidRPr="00605BD3">
        <w:rPr>
          <w:bCs/>
          <w:sz w:val="22"/>
          <w:szCs w:val="24"/>
          <w:lang w:val="es-ES"/>
        </w:rPr>
        <w:t xml:space="preserve">. Las leishmaniasis. </w:t>
      </w:r>
      <w:proofErr w:type="gramStart"/>
      <w:r w:rsidRPr="00605BD3">
        <w:rPr>
          <w:bCs/>
          <w:sz w:val="22"/>
          <w:szCs w:val="24"/>
          <w:lang w:val="es-ES"/>
        </w:rPr>
        <w:t>de</w:t>
      </w:r>
      <w:proofErr w:type="gramEnd"/>
      <w:r w:rsidRPr="00605BD3">
        <w:rPr>
          <w:bCs/>
          <w:sz w:val="22"/>
          <w:szCs w:val="24"/>
          <w:lang w:val="es-ES"/>
        </w:rPr>
        <w:t xml:space="preserve"> la biología al control, </w:t>
      </w:r>
      <w:proofErr w:type="spellStart"/>
      <w:r w:rsidRPr="00605BD3">
        <w:rPr>
          <w:bCs/>
          <w:sz w:val="22"/>
          <w:szCs w:val="24"/>
          <w:lang w:val="es-ES"/>
        </w:rPr>
        <w:t>InterVet</w:t>
      </w:r>
      <w:proofErr w:type="spellEnd"/>
      <w:r w:rsidRPr="00605BD3">
        <w:rPr>
          <w:bCs/>
          <w:sz w:val="22"/>
          <w:szCs w:val="24"/>
          <w:lang w:val="es-ES"/>
        </w:rPr>
        <w:t xml:space="preserve"> S.A.; 2ª ed. 236 págs</w:t>
      </w:r>
      <w:r>
        <w:rPr>
          <w:bCs/>
          <w:sz w:val="22"/>
          <w:szCs w:val="24"/>
          <w:lang w:val="es-ES"/>
        </w:rPr>
        <w:t>.</w:t>
      </w:r>
    </w:p>
    <w:p w:rsidR="004D7E32" w:rsidRPr="00605BD3" w:rsidRDefault="004D7E32" w:rsidP="004D7E32">
      <w:pPr>
        <w:ind w:left="0" w:firstLine="0"/>
        <w:rPr>
          <w:bCs/>
          <w:sz w:val="22"/>
          <w:szCs w:val="24"/>
          <w:lang w:val="es-ES"/>
        </w:rPr>
      </w:pPr>
    </w:p>
    <w:p w:rsidR="004D7E32" w:rsidRDefault="004D7E32" w:rsidP="004D7E32">
      <w:pPr>
        <w:ind w:left="0" w:firstLine="0"/>
        <w:rPr>
          <w:bCs/>
          <w:sz w:val="22"/>
          <w:szCs w:val="24"/>
          <w:lang w:val="es-ES"/>
        </w:rPr>
      </w:pPr>
      <w:r>
        <w:rPr>
          <w:bCs/>
          <w:sz w:val="22"/>
          <w:szCs w:val="24"/>
          <w:lang w:val="es-ES"/>
        </w:rPr>
        <w:lastRenderedPageBreak/>
        <w:t xml:space="preserve">2. </w:t>
      </w:r>
      <w:r w:rsidRPr="00605BD3">
        <w:rPr>
          <w:bCs/>
          <w:sz w:val="22"/>
          <w:szCs w:val="24"/>
          <w:lang w:val="es-ES"/>
        </w:rPr>
        <w:t xml:space="preserve">Gil-Prieto R, Walter S, Alvar J, Gil de Miguel A. </w:t>
      </w:r>
      <w:proofErr w:type="spellStart"/>
      <w:r w:rsidRPr="00605BD3">
        <w:rPr>
          <w:bCs/>
          <w:sz w:val="22"/>
          <w:szCs w:val="24"/>
          <w:lang w:val="es-ES"/>
        </w:rPr>
        <w:t>Epidemiolog</w:t>
      </w:r>
      <w:r>
        <w:rPr>
          <w:bCs/>
          <w:sz w:val="22"/>
          <w:szCs w:val="24"/>
          <w:lang w:val="es-ES"/>
        </w:rPr>
        <w:t>y</w:t>
      </w:r>
      <w:proofErr w:type="spellEnd"/>
      <w:r>
        <w:rPr>
          <w:bCs/>
          <w:sz w:val="22"/>
          <w:szCs w:val="24"/>
          <w:lang w:val="es-ES"/>
        </w:rPr>
        <w:t xml:space="preserve"> of </w:t>
      </w:r>
      <w:proofErr w:type="spellStart"/>
      <w:r>
        <w:rPr>
          <w:bCs/>
          <w:sz w:val="22"/>
          <w:szCs w:val="24"/>
          <w:lang w:val="es-ES"/>
        </w:rPr>
        <w:t>Leishmaniais</w:t>
      </w:r>
      <w:proofErr w:type="spellEnd"/>
      <w:r>
        <w:rPr>
          <w:bCs/>
          <w:sz w:val="22"/>
          <w:szCs w:val="24"/>
          <w:lang w:val="es-ES"/>
        </w:rPr>
        <w:t xml:space="preserve"> in </w:t>
      </w:r>
      <w:proofErr w:type="spellStart"/>
      <w:r>
        <w:rPr>
          <w:bCs/>
          <w:sz w:val="22"/>
          <w:szCs w:val="24"/>
          <w:lang w:val="es-ES"/>
        </w:rPr>
        <w:t>Spain</w:t>
      </w:r>
      <w:proofErr w:type="spellEnd"/>
      <w:r>
        <w:rPr>
          <w:bCs/>
          <w:sz w:val="22"/>
          <w:szCs w:val="24"/>
          <w:lang w:val="es-ES"/>
        </w:rPr>
        <w:t xml:space="preserve"> </w:t>
      </w:r>
      <w:proofErr w:type="spellStart"/>
      <w:r>
        <w:rPr>
          <w:bCs/>
          <w:sz w:val="22"/>
          <w:szCs w:val="24"/>
          <w:lang w:val="es-ES"/>
        </w:rPr>
        <w:t>base</w:t>
      </w:r>
      <w:r w:rsidRPr="00605BD3">
        <w:rPr>
          <w:bCs/>
          <w:sz w:val="22"/>
          <w:szCs w:val="24"/>
          <w:lang w:val="es-ES"/>
        </w:rPr>
        <w:t>d</w:t>
      </w:r>
      <w:proofErr w:type="spellEnd"/>
      <w:r>
        <w:rPr>
          <w:bCs/>
          <w:sz w:val="22"/>
          <w:szCs w:val="24"/>
          <w:lang w:val="es-ES"/>
        </w:rPr>
        <w:t xml:space="preserve"> </w:t>
      </w:r>
      <w:proofErr w:type="spellStart"/>
      <w:r w:rsidRPr="00605BD3">
        <w:rPr>
          <w:bCs/>
          <w:sz w:val="22"/>
          <w:szCs w:val="24"/>
          <w:lang w:val="es-ES"/>
        </w:rPr>
        <w:t>on</w:t>
      </w:r>
      <w:proofErr w:type="spellEnd"/>
      <w:r w:rsidRPr="00605BD3">
        <w:rPr>
          <w:bCs/>
          <w:sz w:val="22"/>
          <w:szCs w:val="24"/>
          <w:lang w:val="es-ES"/>
        </w:rPr>
        <w:t xml:space="preserve"> </w:t>
      </w:r>
      <w:proofErr w:type="spellStart"/>
      <w:r w:rsidRPr="00605BD3">
        <w:rPr>
          <w:bCs/>
          <w:sz w:val="22"/>
          <w:szCs w:val="24"/>
          <w:lang w:val="es-ES"/>
        </w:rPr>
        <w:t>hospitalization</w:t>
      </w:r>
      <w:proofErr w:type="spellEnd"/>
      <w:r w:rsidRPr="00605BD3">
        <w:rPr>
          <w:bCs/>
          <w:sz w:val="22"/>
          <w:szCs w:val="24"/>
          <w:lang w:val="es-ES"/>
        </w:rPr>
        <w:t xml:space="preserve"> records (1997-2008). </w:t>
      </w:r>
      <w:r>
        <w:rPr>
          <w:bCs/>
          <w:sz w:val="22"/>
          <w:szCs w:val="24"/>
          <w:lang w:val="es-ES"/>
        </w:rPr>
        <w:t xml:space="preserve">Am J </w:t>
      </w:r>
      <w:proofErr w:type="spellStart"/>
      <w:r>
        <w:rPr>
          <w:bCs/>
          <w:sz w:val="22"/>
          <w:szCs w:val="24"/>
          <w:lang w:val="es-ES"/>
        </w:rPr>
        <w:t>Trop</w:t>
      </w:r>
      <w:proofErr w:type="spellEnd"/>
      <w:r>
        <w:rPr>
          <w:bCs/>
          <w:sz w:val="22"/>
          <w:szCs w:val="24"/>
          <w:lang w:val="es-ES"/>
        </w:rPr>
        <w:t xml:space="preserve"> </w:t>
      </w:r>
      <w:proofErr w:type="spellStart"/>
      <w:r>
        <w:rPr>
          <w:bCs/>
          <w:sz w:val="22"/>
          <w:szCs w:val="24"/>
          <w:lang w:val="es-ES"/>
        </w:rPr>
        <w:t>Med</w:t>
      </w:r>
      <w:proofErr w:type="spellEnd"/>
      <w:r>
        <w:rPr>
          <w:bCs/>
          <w:sz w:val="22"/>
          <w:szCs w:val="24"/>
          <w:lang w:val="es-ES"/>
        </w:rPr>
        <w:t xml:space="preserve"> </w:t>
      </w:r>
      <w:proofErr w:type="spellStart"/>
      <w:r>
        <w:rPr>
          <w:bCs/>
          <w:sz w:val="22"/>
          <w:szCs w:val="24"/>
          <w:lang w:val="es-ES"/>
        </w:rPr>
        <w:t>Hyg</w:t>
      </w:r>
      <w:proofErr w:type="spellEnd"/>
      <w:r>
        <w:rPr>
          <w:bCs/>
          <w:sz w:val="22"/>
          <w:szCs w:val="24"/>
          <w:lang w:val="es-ES"/>
        </w:rPr>
        <w:t xml:space="preserve"> (in </w:t>
      </w:r>
      <w:proofErr w:type="spellStart"/>
      <w:r>
        <w:rPr>
          <w:bCs/>
          <w:sz w:val="22"/>
          <w:szCs w:val="24"/>
          <w:lang w:val="es-ES"/>
        </w:rPr>
        <w:t>press</w:t>
      </w:r>
      <w:proofErr w:type="spellEnd"/>
      <w:r>
        <w:rPr>
          <w:bCs/>
          <w:sz w:val="22"/>
          <w:szCs w:val="24"/>
          <w:lang w:val="es-ES"/>
        </w:rPr>
        <w:t>).</w:t>
      </w:r>
    </w:p>
    <w:p w:rsidR="004D7E32" w:rsidRPr="00605BD3" w:rsidRDefault="004D7E32" w:rsidP="004D7E32">
      <w:pPr>
        <w:ind w:left="0" w:firstLine="0"/>
        <w:rPr>
          <w:bCs/>
          <w:sz w:val="22"/>
          <w:szCs w:val="24"/>
          <w:lang w:val="es-ES"/>
        </w:rPr>
      </w:pPr>
    </w:p>
    <w:p w:rsidR="004D7E32" w:rsidRPr="00217FC3" w:rsidRDefault="004D7E32" w:rsidP="004D7E32">
      <w:pPr>
        <w:ind w:left="0" w:firstLine="0"/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 xml:space="preserve">3. </w:t>
      </w:r>
      <w:r w:rsidRPr="0020355F">
        <w:rPr>
          <w:sz w:val="22"/>
          <w:szCs w:val="24"/>
          <w:lang w:val="es-ES"/>
        </w:rPr>
        <w:t xml:space="preserve">Alvar J, </w:t>
      </w:r>
      <w:proofErr w:type="spellStart"/>
      <w:r w:rsidRPr="0020355F">
        <w:rPr>
          <w:sz w:val="22"/>
          <w:szCs w:val="24"/>
          <w:lang w:val="es-ES"/>
        </w:rPr>
        <w:t>Cañavate</w:t>
      </w:r>
      <w:proofErr w:type="spellEnd"/>
      <w:r w:rsidRPr="0020355F">
        <w:rPr>
          <w:sz w:val="22"/>
          <w:szCs w:val="24"/>
          <w:lang w:val="es-ES"/>
        </w:rPr>
        <w:t xml:space="preserve"> C, Gutiérrez-Solar B, Jiménez M, Laguna F</w:t>
      </w:r>
      <w:r>
        <w:rPr>
          <w:sz w:val="22"/>
          <w:szCs w:val="24"/>
          <w:lang w:val="es-ES"/>
        </w:rPr>
        <w:t xml:space="preserve"> et al</w:t>
      </w:r>
      <w:r w:rsidRPr="0020355F">
        <w:rPr>
          <w:sz w:val="22"/>
          <w:szCs w:val="24"/>
          <w:lang w:val="es-ES"/>
        </w:rPr>
        <w:t xml:space="preserve"> </w:t>
      </w:r>
      <w:r>
        <w:rPr>
          <w:sz w:val="22"/>
          <w:szCs w:val="24"/>
          <w:lang w:val="es-ES"/>
        </w:rPr>
        <w:t>(</w:t>
      </w:r>
      <w:r w:rsidRPr="0020355F">
        <w:rPr>
          <w:sz w:val="22"/>
          <w:szCs w:val="24"/>
          <w:lang w:val="es-ES"/>
        </w:rPr>
        <w:t>1997</w:t>
      </w:r>
      <w:r>
        <w:rPr>
          <w:sz w:val="22"/>
          <w:szCs w:val="24"/>
          <w:lang w:val="es-ES"/>
        </w:rPr>
        <w:t>).</w:t>
      </w:r>
      <w:r w:rsidRPr="0020355F">
        <w:rPr>
          <w:sz w:val="22"/>
          <w:szCs w:val="24"/>
          <w:lang w:val="es-ES"/>
        </w:rPr>
        <w:t xml:space="preserve"> </w:t>
      </w:r>
      <w:r w:rsidRPr="00217FC3">
        <w:rPr>
          <w:sz w:val="22"/>
          <w:szCs w:val="24"/>
          <w:lang w:val="es-ES"/>
        </w:rPr>
        <w:t xml:space="preserve">Leishmania and </w:t>
      </w:r>
      <w:proofErr w:type="spellStart"/>
      <w:r w:rsidRPr="00217FC3">
        <w:rPr>
          <w:sz w:val="22"/>
          <w:szCs w:val="24"/>
          <w:lang w:val="es-ES"/>
        </w:rPr>
        <w:t>human</w:t>
      </w:r>
      <w:proofErr w:type="spellEnd"/>
      <w:r w:rsidRPr="00217FC3">
        <w:rPr>
          <w:sz w:val="22"/>
          <w:szCs w:val="24"/>
          <w:lang w:val="es-ES"/>
        </w:rPr>
        <w:t xml:space="preserve"> </w:t>
      </w:r>
      <w:proofErr w:type="spellStart"/>
      <w:r w:rsidRPr="00217FC3">
        <w:rPr>
          <w:sz w:val="22"/>
          <w:szCs w:val="24"/>
          <w:lang w:val="es-ES"/>
        </w:rPr>
        <w:t>immunodeficiency</w:t>
      </w:r>
      <w:proofErr w:type="spellEnd"/>
      <w:r w:rsidRPr="00217FC3">
        <w:rPr>
          <w:sz w:val="22"/>
          <w:szCs w:val="24"/>
          <w:lang w:val="es-ES"/>
        </w:rPr>
        <w:t xml:space="preserve"> virus coinfection: the </w:t>
      </w:r>
      <w:proofErr w:type="spellStart"/>
      <w:r w:rsidRPr="00217FC3">
        <w:rPr>
          <w:sz w:val="22"/>
          <w:szCs w:val="24"/>
          <w:lang w:val="es-ES"/>
        </w:rPr>
        <w:t>first</w:t>
      </w:r>
      <w:proofErr w:type="spellEnd"/>
      <w:r w:rsidRPr="00217FC3">
        <w:rPr>
          <w:sz w:val="22"/>
          <w:szCs w:val="24"/>
          <w:lang w:val="es-ES"/>
        </w:rPr>
        <w:t xml:space="preserve"> 10 </w:t>
      </w:r>
      <w:proofErr w:type="spellStart"/>
      <w:r w:rsidRPr="00217FC3">
        <w:rPr>
          <w:sz w:val="22"/>
          <w:szCs w:val="24"/>
          <w:lang w:val="es-ES"/>
        </w:rPr>
        <w:t>years</w:t>
      </w:r>
      <w:proofErr w:type="spellEnd"/>
      <w:r w:rsidRPr="00217FC3">
        <w:rPr>
          <w:sz w:val="22"/>
          <w:szCs w:val="24"/>
          <w:lang w:val="es-ES"/>
        </w:rPr>
        <w:t xml:space="preserve">. </w:t>
      </w:r>
      <w:proofErr w:type="spellStart"/>
      <w:r w:rsidRPr="00217FC3">
        <w:rPr>
          <w:sz w:val="22"/>
          <w:szCs w:val="24"/>
          <w:lang w:val="es-ES"/>
        </w:rPr>
        <w:t>Clin</w:t>
      </w:r>
      <w:proofErr w:type="spellEnd"/>
      <w:r w:rsidRPr="00217FC3">
        <w:rPr>
          <w:sz w:val="22"/>
          <w:szCs w:val="24"/>
          <w:lang w:val="es-ES"/>
        </w:rPr>
        <w:t xml:space="preserve"> </w:t>
      </w:r>
      <w:proofErr w:type="spellStart"/>
      <w:r w:rsidRPr="00217FC3">
        <w:rPr>
          <w:sz w:val="22"/>
          <w:szCs w:val="24"/>
          <w:lang w:val="es-ES"/>
        </w:rPr>
        <w:t>Microbiol</w:t>
      </w:r>
      <w:proofErr w:type="spellEnd"/>
      <w:r w:rsidRPr="00217FC3">
        <w:rPr>
          <w:sz w:val="22"/>
          <w:szCs w:val="24"/>
          <w:lang w:val="es-ES"/>
        </w:rPr>
        <w:t xml:space="preserve"> Rev. 10(2):298--319.</w:t>
      </w:r>
    </w:p>
    <w:p w:rsidR="004D7E32" w:rsidRPr="00217FC3" w:rsidRDefault="004D7E32" w:rsidP="004D7E32">
      <w:pPr>
        <w:ind w:left="0"/>
        <w:rPr>
          <w:sz w:val="22"/>
          <w:szCs w:val="24"/>
          <w:lang w:val="es-ES"/>
        </w:rPr>
      </w:pPr>
    </w:p>
    <w:p w:rsidR="004D7E32" w:rsidRPr="005B3AA4" w:rsidRDefault="004D7E32" w:rsidP="004D7E32">
      <w:pPr>
        <w:ind w:left="0" w:firstLine="0"/>
        <w:rPr>
          <w:sz w:val="22"/>
          <w:szCs w:val="24"/>
          <w:lang w:val="pt-BR"/>
        </w:rPr>
      </w:pPr>
      <w:r w:rsidRPr="00217FC3">
        <w:rPr>
          <w:sz w:val="22"/>
          <w:szCs w:val="24"/>
          <w:lang w:val="es-ES"/>
        </w:rPr>
        <w:t>4</w:t>
      </w:r>
      <w:r>
        <w:rPr>
          <w:sz w:val="22"/>
          <w:szCs w:val="24"/>
          <w:lang w:val="es-ES"/>
        </w:rPr>
        <w:t>.</w:t>
      </w:r>
      <w:r w:rsidRPr="00217FC3">
        <w:rPr>
          <w:sz w:val="22"/>
          <w:szCs w:val="24"/>
          <w:lang w:val="es-ES"/>
        </w:rPr>
        <w:t xml:space="preserve"> López-Vélez R, Pérez Molina JA, Guerrero J, Baquero F, </w:t>
      </w:r>
      <w:proofErr w:type="spellStart"/>
      <w:r w:rsidRPr="00217FC3">
        <w:rPr>
          <w:sz w:val="22"/>
          <w:szCs w:val="24"/>
          <w:lang w:val="es-ES"/>
        </w:rPr>
        <w:t>Villarrubia</w:t>
      </w:r>
      <w:proofErr w:type="spellEnd"/>
      <w:r w:rsidRPr="00217FC3">
        <w:rPr>
          <w:sz w:val="22"/>
          <w:szCs w:val="24"/>
          <w:lang w:val="es-ES"/>
        </w:rPr>
        <w:t xml:space="preserve"> J </w:t>
      </w:r>
      <w:r>
        <w:rPr>
          <w:sz w:val="22"/>
          <w:szCs w:val="24"/>
          <w:lang w:val="en-GB"/>
        </w:rPr>
        <w:t>et al</w:t>
      </w:r>
      <w:r w:rsidRPr="0020355F">
        <w:rPr>
          <w:sz w:val="22"/>
          <w:szCs w:val="24"/>
          <w:lang w:val="en-GB"/>
        </w:rPr>
        <w:t xml:space="preserve"> </w:t>
      </w:r>
      <w:r>
        <w:rPr>
          <w:sz w:val="22"/>
          <w:szCs w:val="24"/>
          <w:lang w:val="en-GB"/>
        </w:rPr>
        <w:t>(</w:t>
      </w:r>
      <w:r w:rsidRPr="0020355F">
        <w:rPr>
          <w:sz w:val="22"/>
          <w:szCs w:val="24"/>
          <w:lang w:val="en-GB"/>
        </w:rPr>
        <w:t>1998</w:t>
      </w:r>
      <w:r>
        <w:rPr>
          <w:sz w:val="22"/>
          <w:szCs w:val="24"/>
          <w:lang w:val="en-GB"/>
        </w:rPr>
        <w:t>).</w:t>
      </w:r>
      <w:r w:rsidRPr="0020355F">
        <w:rPr>
          <w:sz w:val="22"/>
          <w:szCs w:val="24"/>
          <w:lang w:val="en-GB"/>
        </w:rPr>
        <w:t xml:space="preserve"> </w:t>
      </w:r>
      <w:proofErr w:type="spellStart"/>
      <w:r w:rsidRPr="0020355F">
        <w:rPr>
          <w:sz w:val="22"/>
          <w:szCs w:val="24"/>
          <w:lang w:val="en-GB"/>
        </w:rPr>
        <w:t>Clinicoepidemiologic</w:t>
      </w:r>
      <w:proofErr w:type="spellEnd"/>
      <w:r w:rsidRPr="0020355F">
        <w:rPr>
          <w:sz w:val="22"/>
          <w:szCs w:val="24"/>
          <w:lang w:val="en-GB"/>
        </w:rPr>
        <w:t xml:space="preserve"> characteristics, prognostic factors, and survival </w:t>
      </w:r>
      <w:proofErr w:type="spellStart"/>
      <w:r w:rsidRPr="0020355F">
        <w:rPr>
          <w:sz w:val="22"/>
          <w:szCs w:val="24"/>
          <w:lang w:val="en-GB"/>
        </w:rPr>
        <w:t>análisis</w:t>
      </w:r>
      <w:proofErr w:type="spellEnd"/>
      <w:r w:rsidRPr="0020355F">
        <w:rPr>
          <w:sz w:val="22"/>
          <w:szCs w:val="24"/>
          <w:lang w:val="en-GB"/>
        </w:rPr>
        <w:t xml:space="preserve"> of patients coinfected with human immunodeficiency virus and Leishmania in an area of Madrid, Spain. </w:t>
      </w:r>
      <w:r w:rsidRPr="0020355F">
        <w:rPr>
          <w:sz w:val="22"/>
          <w:szCs w:val="24"/>
          <w:lang w:val="pt-BR"/>
        </w:rPr>
        <w:t>Am J Trop Med Hyg 58:436--443</w:t>
      </w:r>
      <w:r>
        <w:rPr>
          <w:sz w:val="22"/>
          <w:szCs w:val="24"/>
          <w:lang w:val="pt-BR"/>
        </w:rPr>
        <w:t>.</w:t>
      </w:r>
    </w:p>
    <w:p w:rsidR="004D7E32" w:rsidRPr="005B3AA4" w:rsidRDefault="004D7E32" w:rsidP="004D7E32">
      <w:pPr>
        <w:ind w:left="0"/>
        <w:rPr>
          <w:b/>
          <w:sz w:val="22"/>
          <w:szCs w:val="24"/>
          <w:lang w:val="pt-BR"/>
        </w:rPr>
      </w:pPr>
    </w:p>
    <w:p w:rsidR="004D7E32" w:rsidRPr="005B3AA4" w:rsidRDefault="004D7E32" w:rsidP="004D7E32">
      <w:pPr>
        <w:ind w:left="0" w:firstLine="0"/>
        <w:rPr>
          <w:sz w:val="22"/>
          <w:szCs w:val="24"/>
          <w:lang w:val="en-GB"/>
        </w:rPr>
      </w:pPr>
      <w:r>
        <w:rPr>
          <w:sz w:val="22"/>
          <w:szCs w:val="24"/>
          <w:lang w:val="pt-BR"/>
        </w:rPr>
        <w:t xml:space="preserve">5. </w:t>
      </w:r>
      <w:r w:rsidRPr="0020355F">
        <w:rPr>
          <w:sz w:val="22"/>
          <w:szCs w:val="24"/>
          <w:lang w:val="pt-PT"/>
        </w:rPr>
        <w:t xml:space="preserve">Cruz I, Morales MA, Noguer I, Rodríguez A, Alvar J </w:t>
      </w:r>
      <w:r>
        <w:rPr>
          <w:sz w:val="22"/>
          <w:szCs w:val="24"/>
          <w:lang w:val="pt-PT"/>
        </w:rPr>
        <w:t>(</w:t>
      </w:r>
      <w:r w:rsidRPr="0020355F">
        <w:rPr>
          <w:sz w:val="22"/>
          <w:szCs w:val="24"/>
          <w:lang w:val="pt-PT"/>
        </w:rPr>
        <w:t>2002</w:t>
      </w:r>
      <w:r>
        <w:rPr>
          <w:sz w:val="22"/>
          <w:szCs w:val="24"/>
          <w:lang w:val="pt-PT"/>
        </w:rPr>
        <w:t>).</w:t>
      </w:r>
      <w:r w:rsidRPr="0020355F">
        <w:rPr>
          <w:sz w:val="22"/>
          <w:szCs w:val="24"/>
          <w:lang w:val="pt-PT"/>
        </w:rPr>
        <w:t xml:space="preserve"> </w:t>
      </w:r>
      <w:proofErr w:type="gramStart"/>
      <w:r w:rsidRPr="0020355F">
        <w:rPr>
          <w:sz w:val="22"/>
          <w:szCs w:val="24"/>
          <w:lang w:val="en-GB"/>
        </w:rPr>
        <w:t>Leishmania in discarded syringes from intravenous drug users.</w:t>
      </w:r>
      <w:proofErr w:type="gramEnd"/>
      <w:r w:rsidRPr="0020355F">
        <w:rPr>
          <w:sz w:val="22"/>
          <w:szCs w:val="24"/>
          <w:lang w:val="en-GB"/>
        </w:rPr>
        <w:t xml:space="preserve"> </w:t>
      </w:r>
      <w:r w:rsidRPr="0020355F">
        <w:rPr>
          <w:sz w:val="22"/>
          <w:szCs w:val="24"/>
          <w:lang w:val="en-US"/>
        </w:rPr>
        <w:t>Lancet</w:t>
      </w:r>
      <w:r>
        <w:rPr>
          <w:sz w:val="22"/>
          <w:szCs w:val="24"/>
          <w:lang w:val="en-US"/>
        </w:rPr>
        <w:t xml:space="preserve"> </w:t>
      </w:r>
      <w:r w:rsidRPr="0020355F">
        <w:rPr>
          <w:sz w:val="22"/>
          <w:szCs w:val="24"/>
          <w:lang w:val="en-US"/>
        </w:rPr>
        <w:t>59</w:t>
      </w:r>
      <w:r>
        <w:rPr>
          <w:sz w:val="22"/>
          <w:szCs w:val="24"/>
          <w:lang w:val="en-US"/>
        </w:rPr>
        <w:t xml:space="preserve"> </w:t>
      </w:r>
      <w:r w:rsidRPr="0020355F">
        <w:rPr>
          <w:sz w:val="22"/>
          <w:szCs w:val="24"/>
          <w:lang w:val="en-US"/>
        </w:rPr>
        <w:t>(9312):1124--5</w:t>
      </w:r>
      <w:r>
        <w:rPr>
          <w:sz w:val="22"/>
          <w:szCs w:val="24"/>
          <w:lang w:val="en-US"/>
        </w:rPr>
        <w:t>.</w:t>
      </w:r>
    </w:p>
    <w:p w:rsidR="004D7E32" w:rsidRPr="005B3AA4" w:rsidRDefault="004D7E32" w:rsidP="004D7E32">
      <w:pPr>
        <w:ind w:left="0"/>
        <w:rPr>
          <w:sz w:val="22"/>
          <w:szCs w:val="24"/>
          <w:lang w:val="en-GB"/>
        </w:rPr>
      </w:pPr>
    </w:p>
    <w:p w:rsidR="004D7E32" w:rsidRDefault="004D7E32" w:rsidP="004D7E32">
      <w:pPr>
        <w:ind w:left="0" w:firstLine="0"/>
        <w:rPr>
          <w:sz w:val="22"/>
          <w:szCs w:val="24"/>
          <w:lang w:val="en-GB"/>
        </w:rPr>
      </w:pPr>
      <w:r w:rsidRPr="00F44188">
        <w:rPr>
          <w:sz w:val="22"/>
          <w:szCs w:val="24"/>
          <w:lang w:val="en-GB"/>
        </w:rPr>
        <w:t>6</w:t>
      </w:r>
      <w:r>
        <w:rPr>
          <w:sz w:val="22"/>
          <w:szCs w:val="24"/>
          <w:lang w:val="en-GB"/>
        </w:rPr>
        <w:t>.</w:t>
      </w:r>
      <w:r w:rsidRPr="00F44188">
        <w:rPr>
          <w:sz w:val="22"/>
          <w:szCs w:val="24"/>
          <w:lang w:val="en-GB"/>
        </w:rPr>
        <w:t xml:space="preserve"> </w:t>
      </w:r>
      <w:proofErr w:type="spellStart"/>
      <w:r w:rsidRPr="00F44188">
        <w:rPr>
          <w:sz w:val="22"/>
          <w:szCs w:val="24"/>
          <w:lang w:val="en-GB"/>
        </w:rPr>
        <w:t>López-Vélez</w:t>
      </w:r>
      <w:proofErr w:type="spellEnd"/>
      <w:r w:rsidRPr="00F44188">
        <w:rPr>
          <w:sz w:val="22"/>
          <w:szCs w:val="24"/>
          <w:lang w:val="en-GB"/>
        </w:rPr>
        <w:t xml:space="preserve"> R, </w:t>
      </w:r>
      <w:proofErr w:type="spellStart"/>
      <w:r w:rsidRPr="00F44188">
        <w:rPr>
          <w:sz w:val="22"/>
          <w:szCs w:val="24"/>
          <w:lang w:val="en-GB"/>
        </w:rPr>
        <w:t>Casado</w:t>
      </w:r>
      <w:proofErr w:type="spellEnd"/>
      <w:r w:rsidRPr="00F44188">
        <w:rPr>
          <w:sz w:val="22"/>
          <w:szCs w:val="24"/>
          <w:lang w:val="en-GB"/>
        </w:rPr>
        <w:t xml:space="preserve"> JL, </w:t>
      </w:r>
      <w:proofErr w:type="spellStart"/>
      <w:r w:rsidRPr="00F44188">
        <w:rPr>
          <w:sz w:val="22"/>
          <w:szCs w:val="24"/>
          <w:lang w:val="en-GB"/>
        </w:rPr>
        <w:t>Pintado</w:t>
      </w:r>
      <w:proofErr w:type="spellEnd"/>
      <w:r w:rsidRPr="00F44188">
        <w:rPr>
          <w:sz w:val="22"/>
          <w:szCs w:val="24"/>
          <w:lang w:val="en-GB"/>
        </w:rPr>
        <w:t xml:space="preserve"> V </w:t>
      </w:r>
      <w:r>
        <w:rPr>
          <w:sz w:val="22"/>
          <w:szCs w:val="24"/>
          <w:lang w:val="en-GB"/>
        </w:rPr>
        <w:t>(</w:t>
      </w:r>
      <w:r w:rsidRPr="00F44188">
        <w:rPr>
          <w:sz w:val="22"/>
          <w:szCs w:val="24"/>
          <w:lang w:val="en-GB"/>
        </w:rPr>
        <w:t>2001</w:t>
      </w:r>
      <w:r>
        <w:rPr>
          <w:sz w:val="22"/>
          <w:szCs w:val="24"/>
          <w:lang w:val="en-GB"/>
        </w:rPr>
        <w:t>).</w:t>
      </w:r>
      <w:r w:rsidRPr="00F44188">
        <w:rPr>
          <w:sz w:val="22"/>
          <w:szCs w:val="24"/>
          <w:lang w:val="en-GB"/>
        </w:rPr>
        <w:t xml:space="preserve"> </w:t>
      </w:r>
      <w:proofErr w:type="gramStart"/>
      <w:r w:rsidRPr="0020355F">
        <w:rPr>
          <w:sz w:val="22"/>
          <w:szCs w:val="24"/>
          <w:lang w:val="en-GB"/>
        </w:rPr>
        <w:t>Decline of a visceral leishmaniasis epidemic in HIV-infected patients after the introduction of highly active antiretroviral therapy (HAART).</w:t>
      </w:r>
      <w:proofErr w:type="gramEnd"/>
      <w:r w:rsidRPr="0020355F">
        <w:rPr>
          <w:sz w:val="22"/>
          <w:szCs w:val="24"/>
          <w:lang w:val="en-GB"/>
        </w:rPr>
        <w:t xml:space="preserve"> </w:t>
      </w:r>
      <w:proofErr w:type="spellStart"/>
      <w:r w:rsidRPr="0020355F">
        <w:rPr>
          <w:sz w:val="22"/>
          <w:szCs w:val="24"/>
          <w:lang w:val="en-GB"/>
        </w:rPr>
        <w:t>Clin</w:t>
      </w:r>
      <w:proofErr w:type="spellEnd"/>
      <w:r w:rsidRPr="0020355F">
        <w:rPr>
          <w:sz w:val="22"/>
          <w:szCs w:val="24"/>
          <w:lang w:val="en-GB"/>
        </w:rPr>
        <w:t xml:space="preserve"> </w:t>
      </w:r>
      <w:proofErr w:type="spellStart"/>
      <w:r w:rsidRPr="0020355F">
        <w:rPr>
          <w:sz w:val="22"/>
          <w:szCs w:val="24"/>
          <w:lang w:val="en-GB"/>
        </w:rPr>
        <w:t>Microbiol</w:t>
      </w:r>
      <w:proofErr w:type="spellEnd"/>
      <w:r w:rsidRPr="0020355F">
        <w:rPr>
          <w:sz w:val="22"/>
          <w:szCs w:val="24"/>
          <w:lang w:val="en-GB"/>
        </w:rPr>
        <w:t xml:space="preserve"> Infect</w:t>
      </w:r>
      <w:r>
        <w:rPr>
          <w:sz w:val="22"/>
          <w:szCs w:val="24"/>
          <w:lang w:val="en-GB"/>
        </w:rPr>
        <w:t xml:space="preserve"> </w:t>
      </w:r>
      <w:r w:rsidRPr="0020355F">
        <w:rPr>
          <w:sz w:val="22"/>
          <w:szCs w:val="24"/>
          <w:lang w:val="en-GB"/>
        </w:rPr>
        <w:t xml:space="preserve">7:394--5. </w:t>
      </w:r>
    </w:p>
    <w:p w:rsidR="004D7E32" w:rsidRDefault="004D7E32" w:rsidP="004D7E32">
      <w:pPr>
        <w:ind w:left="0" w:firstLine="0"/>
        <w:rPr>
          <w:sz w:val="22"/>
          <w:szCs w:val="24"/>
          <w:lang w:val="en-GB"/>
        </w:rPr>
      </w:pPr>
    </w:p>
    <w:p w:rsidR="004D7E32" w:rsidRPr="004D7E32" w:rsidRDefault="004D7E32" w:rsidP="004D7E32">
      <w:pPr>
        <w:ind w:left="0" w:firstLine="0"/>
        <w:rPr>
          <w:sz w:val="22"/>
          <w:lang w:val="en-GB"/>
        </w:rPr>
      </w:pPr>
      <w:r w:rsidRPr="004D7E32">
        <w:rPr>
          <w:sz w:val="22"/>
          <w:lang w:val="en-GB"/>
        </w:rPr>
        <w:t xml:space="preserve">7. Alvar J, </w:t>
      </w:r>
      <w:proofErr w:type="spellStart"/>
      <w:r w:rsidRPr="004D7E32">
        <w:rPr>
          <w:sz w:val="22"/>
          <w:lang w:val="en-GB"/>
        </w:rPr>
        <w:t>Aparicio</w:t>
      </w:r>
      <w:proofErr w:type="spellEnd"/>
      <w:r w:rsidRPr="004D7E32">
        <w:rPr>
          <w:sz w:val="22"/>
          <w:lang w:val="en-GB"/>
        </w:rPr>
        <w:t xml:space="preserve"> P, </w:t>
      </w:r>
      <w:proofErr w:type="spellStart"/>
      <w:r w:rsidRPr="004D7E32">
        <w:rPr>
          <w:sz w:val="22"/>
          <w:lang w:val="en-GB"/>
        </w:rPr>
        <w:t>Aseffa</w:t>
      </w:r>
      <w:proofErr w:type="spellEnd"/>
      <w:r w:rsidRPr="004D7E32">
        <w:rPr>
          <w:sz w:val="22"/>
          <w:lang w:val="en-GB"/>
        </w:rPr>
        <w:t xml:space="preserve"> A, Den Boer M, </w:t>
      </w:r>
      <w:proofErr w:type="spellStart"/>
      <w:r w:rsidRPr="004D7E32">
        <w:rPr>
          <w:sz w:val="22"/>
          <w:lang w:val="en-GB"/>
        </w:rPr>
        <w:t>Cañavate</w:t>
      </w:r>
      <w:proofErr w:type="spellEnd"/>
      <w:r w:rsidRPr="004D7E32">
        <w:rPr>
          <w:sz w:val="22"/>
          <w:lang w:val="en-GB"/>
        </w:rPr>
        <w:t xml:space="preserve"> C et al (2008). The relationship between leishmaniasis and AIDS: the second 10 years. </w:t>
      </w:r>
      <w:proofErr w:type="spellStart"/>
      <w:r w:rsidRPr="004D7E32">
        <w:rPr>
          <w:sz w:val="22"/>
          <w:lang w:val="en-GB"/>
        </w:rPr>
        <w:t>Clin</w:t>
      </w:r>
      <w:proofErr w:type="spellEnd"/>
      <w:r w:rsidRPr="004D7E32">
        <w:rPr>
          <w:sz w:val="22"/>
          <w:lang w:val="en-GB"/>
        </w:rPr>
        <w:t xml:space="preserve"> </w:t>
      </w:r>
      <w:proofErr w:type="spellStart"/>
      <w:r w:rsidRPr="004D7E32">
        <w:rPr>
          <w:sz w:val="22"/>
          <w:lang w:val="en-GB"/>
        </w:rPr>
        <w:t>Microbiol</w:t>
      </w:r>
      <w:proofErr w:type="spellEnd"/>
      <w:r w:rsidRPr="004D7E32">
        <w:rPr>
          <w:sz w:val="22"/>
          <w:lang w:val="en-GB"/>
        </w:rPr>
        <w:t xml:space="preserve"> Rev 21(2):334--59.</w:t>
      </w:r>
    </w:p>
    <w:p w:rsidR="004D7E32" w:rsidRPr="004D7E32" w:rsidRDefault="004D7E32" w:rsidP="004D7E32">
      <w:pPr>
        <w:ind w:left="0" w:firstLine="0"/>
        <w:rPr>
          <w:bCs/>
          <w:sz w:val="22"/>
          <w:lang w:val="en-GB"/>
        </w:rPr>
      </w:pPr>
    </w:p>
    <w:p w:rsidR="004D7E32" w:rsidRPr="004D7E32" w:rsidRDefault="004D7E32" w:rsidP="004D7E32">
      <w:pPr>
        <w:shd w:val="clear" w:color="auto" w:fill="FFFFFF"/>
        <w:ind w:left="0" w:firstLine="0"/>
        <w:rPr>
          <w:bCs/>
          <w:sz w:val="22"/>
        </w:rPr>
      </w:pPr>
      <w:r w:rsidRPr="004D7E32">
        <w:rPr>
          <w:bCs/>
          <w:sz w:val="22"/>
          <w:lang w:val="en-GB"/>
        </w:rPr>
        <w:t xml:space="preserve">8. </w:t>
      </w:r>
      <w:hyperlink r:id="rId8" w:history="1">
        <w:proofErr w:type="spellStart"/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>Miró</w:t>
        </w:r>
        <w:proofErr w:type="spellEnd"/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 xml:space="preserve"> G</w:t>
        </w:r>
      </w:hyperlink>
      <w:r w:rsidRPr="004D7E32">
        <w:rPr>
          <w:bCs/>
          <w:sz w:val="22"/>
          <w:lang w:val="en-GB"/>
        </w:rPr>
        <w:t xml:space="preserve">, </w:t>
      </w:r>
      <w:hyperlink r:id="rId9" w:history="1"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>Montoya A</w:t>
        </w:r>
      </w:hyperlink>
      <w:r w:rsidRPr="004D7E32">
        <w:rPr>
          <w:bCs/>
          <w:sz w:val="22"/>
          <w:lang w:val="en-GB"/>
        </w:rPr>
        <w:t xml:space="preserve">, </w:t>
      </w:r>
      <w:hyperlink r:id="rId10" w:history="1"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>Mateo M</w:t>
        </w:r>
      </w:hyperlink>
      <w:r w:rsidRPr="004D7E32">
        <w:rPr>
          <w:bCs/>
          <w:sz w:val="22"/>
          <w:lang w:val="en-GB"/>
        </w:rPr>
        <w:t xml:space="preserve">, </w:t>
      </w:r>
      <w:hyperlink r:id="rId11" w:history="1"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>Alonso A</w:t>
        </w:r>
      </w:hyperlink>
      <w:r w:rsidRPr="004D7E32">
        <w:rPr>
          <w:bCs/>
          <w:sz w:val="22"/>
          <w:lang w:val="en-GB"/>
        </w:rPr>
        <w:t xml:space="preserve">, </w:t>
      </w:r>
      <w:hyperlink r:id="rId12" w:history="1">
        <w:proofErr w:type="spellStart"/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>García</w:t>
        </w:r>
        <w:proofErr w:type="spellEnd"/>
        <w:r w:rsidRPr="004D7E32">
          <w:rPr>
            <w:rStyle w:val="Hyperlink"/>
            <w:bCs/>
            <w:color w:val="000000"/>
            <w:sz w:val="22"/>
            <w:u w:val="none"/>
            <w:lang w:val="en-GB"/>
          </w:rPr>
          <w:t xml:space="preserve"> S</w:t>
        </w:r>
      </w:hyperlink>
      <w:r w:rsidRPr="004D7E32">
        <w:rPr>
          <w:bCs/>
          <w:sz w:val="22"/>
          <w:lang w:val="en-GB"/>
        </w:rPr>
        <w:t xml:space="preserve"> </w:t>
      </w:r>
      <w:r w:rsidRPr="004D7E32">
        <w:rPr>
          <w:bCs/>
          <w:sz w:val="22"/>
        </w:rPr>
        <w:t>et al (2007)</w:t>
      </w:r>
      <w:r w:rsidRPr="004D7E32">
        <w:rPr>
          <w:bCs/>
          <w:sz w:val="22"/>
          <w:lang w:val="en-GB"/>
        </w:rPr>
        <w:t xml:space="preserve">. A </w:t>
      </w:r>
      <w:proofErr w:type="spellStart"/>
      <w:r w:rsidRPr="004D7E32">
        <w:rPr>
          <w:bCs/>
          <w:sz w:val="22"/>
          <w:lang w:val="en-GB"/>
        </w:rPr>
        <w:t>leishmaniosis</w:t>
      </w:r>
      <w:proofErr w:type="spellEnd"/>
      <w:r w:rsidRPr="004D7E32">
        <w:rPr>
          <w:bCs/>
          <w:sz w:val="22"/>
          <w:lang w:val="en-GB"/>
        </w:rPr>
        <w:t xml:space="preserve"> surveillance system among stray dogs in the region of </w:t>
      </w:r>
      <w:smartTag w:uri="urn:schemas-microsoft-com:office:smarttags" w:element="place">
        <w:smartTag w:uri="urn:schemas-microsoft-com:office:smarttags" w:element="State">
          <w:r w:rsidRPr="004D7E32">
            <w:rPr>
              <w:bCs/>
              <w:sz w:val="22"/>
              <w:lang w:val="en-GB"/>
            </w:rPr>
            <w:t>Madrid</w:t>
          </w:r>
        </w:smartTag>
      </w:smartTag>
      <w:r w:rsidRPr="004D7E32">
        <w:rPr>
          <w:bCs/>
          <w:sz w:val="22"/>
          <w:lang w:val="en-GB"/>
        </w:rPr>
        <w:t xml:space="preserve">: ten years of </w:t>
      </w:r>
      <w:proofErr w:type="spellStart"/>
      <w:r w:rsidRPr="004D7E32">
        <w:rPr>
          <w:bCs/>
          <w:sz w:val="22"/>
          <w:lang w:val="en-GB"/>
        </w:rPr>
        <w:t>serodiagnosis</w:t>
      </w:r>
      <w:proofErr w:type="spellEnd"/>
      <w:r w:rsidRPr="004D7E32">
        <w:rPr>
          <w:bCs/>
          <w:sz w:val="22"/>
          <w:lang w:val="en-GB"/>
        </w:rPr>
        <w:t xml:space="preserve"> (1996-2006). </w:t>
      </w:r>
      <w:hyperlink r:id="rId13" w:anchor="#" w:tooltip="Parasitology research." w:history="1">
        <w:proofErr w:type="spellStart"/>
        <w:r w:rsidRPr="004D7E32">
          <w:rPr>
            <w:rStyle w:val="Hyperlink"/>
            <w:bCs/>
            <w:color w:val="000000"/>
            <w:sz w:val="22"/>
            <w:u w:val="none"/>
          </w:rPr>
          <w:t>Parasitol</w:t>
        </w:r>
        <w:proofErr w:type="spellEnd"/>
        <w:r w:rsidRPr="004D7E32">
          <w:rPr>
            <w:rStyle w:val="Hyperlink"/>
            <w:bCs/>
            <w:color w:val="000000"/>
            <w:sz w:val="22"/>
            <w:u w:val="none"/>
          </w:rPr>
          <w:t xml:space="preserve"> Res</w:t>
        </w:r>
      </w:hyperlink>
      <w:r w:rsidRPr="004D7E32">
        <w:rPr>
          <w:bCs/>
          <w:sz w:val="22"/>
        </w:rPr>
        <w:t xml:space="preserve"> 101(2):253-7. </w:t>
      </w:r>
      <w:proofErr w:type="spellStart"/>
      <w:r w:rsidRPr="004D7E32">
        <w:rPr>
          <w:bCs/>
          <w:sz w:val="22"/>
        </w:rPr>
        <w:t>Epub</w:t>
      </w:r>
      <w:proofErr w:type="spellEnd"/>
      <w:r w:rsidRPr="004D7E32">
        <w:rPr>
          <w:bCs/>
          <w:sz w:val="22"/>
        </w:rPr>
        <w:t xml:space="preserve"> 2007 </w:t>
      </w:r>
      <w:proofErr w:type="spellStart"/>
      <w:r w:rsidRPr="004D7E32">
        <w:rPr>
          <w:bCs/>
          <w:sz w:val="22"/>
        </w:rPr>
        <w:t>Feb</w:t>
      </w:r>
      <w:proofErr w:type="spellEnd"/>
      <w:r w:rsidRPr="004D7E32">
        <w:rPr>
          <w:bCs/>
          <w:sz w:val="22"/>
        </w:rPr>
        <w:t xml:space="preserve"> 25.</w:t>
      </w:r>
    </w:p>
    <w:p w:rsidR="004D7E32" w:rsidRPr="004D7E32" w:rsidRDefault="004D7E32" w:rsidP="004D7E32">
      <w:pPr>
        <w:shd w:val="clear" w:color="auto" w:fill="FFFFFF"/>
        <w:rPr>
          <w:sz w:val="22"/>
        </w:rPr>
      </w:pPr>
    </w:p>
    <w:p w:rsidR="004D7E32" w:rsidRPr="004D7E32" w:rsidRDefault="004D7E32" w:rsidP="004D7E32">
      <w:pPr>
        <w:shd w:val="clear" w:color="auto" w:fill="FFFFFF"/>
        <w:ind w:left="0" w:firstLine="0"/>
        <w:rPr>
          <w:sz w:val="22"/>
          <w:lang w:val="en-GB"/>
        </w:rPr>
      </w:pPr>
      <w:r w:rsidRPr="004D7E32">
        <w:rPr>
          <w:sz w:val="22"/>
        </w:rPr>
        <w:t xml:space="preserve">9. </w:t>
      </w:r>
      <w:hyperlink r:id="rId14" w:history="1">
        <w:r w:rsidRPr="004D7E32">
          <w:rPr>
            <w:rStyle w:val="Hyperlink"/>
            <w:color w:val="000000"/>
            <w:sz w:val="22"/>
            <w:u w:val="none"/>
          </w:rPr>
          <w:t>Gálvez R</w:t>
        </w:r>
      </w:hyperlink>
      <w:r w:rsidRPr="004D7E32">
        <w:rPr>
          <w:sz w:val="22"/>
        </w:rPr>
        <w:t xml:space="preserve">, </w:t>
      </w:r>
      <w:hyperlink r:id="rId15" w:history="1">
        <w:r w:rsidRPr="004D7E32">
          <w:rPr>
            <w:rStyle w:val="Hyperlink"/>
            <w:color w:val="000000"/>
            <w:sz w:val="22"/>
            <w:u w:val="none"/>
          </w:rPr>
          <w:t>Miró G</w:t>
        </w:r>
      </w:hyperlink>
      <w:r w:rsidRPr="004D7E32">
        <w:rPr>
          <w:sz w:val="22"/>
        </w:rPr>
        <w:t xml:space="preserve">, </w:t>
      </w:r>
      <w:hyperlink r:id="rId16" w:history="1">
        <w:r w:rsidRPr="004D7E32">
          <w:rPr>
            <w:rStyle w:val="Hyperlink"/>
            <w:color w:val="000000"/>
            <w:sz w:val="22"/>
            <w:u w:val="none"/>
          </w:rPr>
          <w:t>Descalzo MA</w:t>
        </w:r>
      </w:hyperlink>
      <w:r w:rsidRPr="004D7E32">
        <w:rPr>
          <w:sz w:val="22"/>
        </w:rPr>
        <w:t xml:space="preserve">, </w:t>
      </w:r>
      <w:hyperlink r:id="rId17" w:history="1">
        <w:r w:rsidRPr="004D7E32">
          <w:rPr>
            <w:rStyle w:val="Hyperlink"/>
            <w:color w:val="000000"/>
            <w:sz w:val="22"/>
            <w:u w:val="none"/>
          </w:rPr>
          <w:t>Nieto J</w:t>
        </w:r>
      </w:hyperlink>
      <w:r w:rsidRPr="004D7E32">
        <w:rPr>
          <w:sz w:val="22"/>
        </w:rPr>
        <w:t xml:space="preserve">, </w:t>
      </w:r>
      <w:hyperlink r:id="rId18" w:history="1">
        <w:r w:rsidRPr="004D7E32">
          <w:rPr>
            <w:rStyle w:val="Hyperlink"/>
            <w:color w:val="000000"/>
            <w:sz w:val="22"/>
            <w:u w:val="none"/>
          </w:rPr>
          <w:t>Dado D</w:t>
        </w:r>
      </w:hyperlink>
      <w:r w:rsidRPr="004D7E32">
        <w:rPr>
          <w:sz w:val="22"/>
        </w:rPr>
        <w:t xml:space="preserve"> et al (2910). </w:t>
      </w:r>
      <w:proofErr w:type="spellStart"/>
      <w:r w:rsidRPr="004D7E32">
        <w:rPr>
          <w:sz w:val="22"/>
        </w:rPr>
        <w:t>Emerging</w:t>
      </w:r>
      <w:proofErr w:type="spellEnd"/>
      <w:r w:rsidRPr="004D7E32">
        <w:rPr>
          <w:sz w:val="22"/>
        </w:rPr>
        <w:t xml:space="preserve"> </w:t>
      </w:r>
      <w:proofErr w:type="spellStart"/>
      <w:r w:rsidRPr="004D7E32">
        <w:rPr>
          <w:sz w:val="22"/>
        </w:rPr>
        <w:t>trends</w:t>
      </w:r>
      <w:proofErr w:type="spellEnd"/>
      <w:r w:rsidRPr="004D7E32">
        <w:rPr>
          <w:sz w:val="22"/>
        </w:rPr>
        <w:t xml:space="preserve"> in the </w:t>
      </w:r>
      <w:proofErr w:type="spellStart"/>
      <w:r w:rsidRPr="004D7E32">
        <w:rPr>
          <w:sz w:val="22"/>
        </w:rPr>
        <w:t>seroprevalence</w:t>
      </w:r>
      <w:proofErr w:type="spellEnd"/>
      <w:r w:rsidRPr="004D7E32">
        <w:rPr>
          <w:sz w:val="22"/>
        </w:rPr>
        <w:t xml:space="preserve"> of </w:t>
      </w:r>
      <w:proofErr w:type="spellStart"/>
      <w:r w:rsidRPr="004D7E32">
        <w:rPr>
          <w:sz w:val="22"/>
        </w:rPr>
        <w:t>canine</w:t>
      </w:r>
      <w:proofErr w:type="spellEnd"/>
      <w:r w:rsidRPr="004D7E32">
        <w:rPr>
          <w:sz w:val="22"/>
        </w:rPr>
        <w:t xml:space="preserve"> leishmaniasis in the Madrid </w:t>
      </w:r>
      <w:proofErr w:type="spellStart"/>
      <w:r w:rsidRPr="004D7E32">
        <w:rPr>
          <w:sz w:val="22"/>
        </w:rPr>
        <w:t>region</w:t>
      </w:r>
      <w:proofErr w:type="spellEnd"/>
      <w:r w:rsidRPr="004D7E32">
        <w:rPr>
          <w:sz w:val="22"/>
        </w:rPr>
        <w:t xml:space="preserve"> (central </w:t>
      </w:r>
      <w:proofErr w:type="spellStart"/>
      <w:r w:rsidRPr="004D7E32">
        <w:rPr>
          <w:sz w:val="22"/>
        </w:rPr>
        <w:t>Spain</w:t>
      </w:r>
      <w:proofErr w:type="spellEnd"/>
      <w:r w:rsidRPr="004D7E32">
        <w:rPr>
          <w:sz w:val="22"/>
        </w:rPr>
        <w:t xml:space="preserve">). </w:t>
      </w:r>
      <w:hyperlink r:id="rId19" w:anchor="#" w:tooltip="Veterinary parasitology." w:history="1">
        <w:r w:rsidRPr="004D7E32">
          <w:rPr>
            <w:rStyle w:val="Hyperlink"/>
            <w:color w:val="000000"/>
            <w:sz w:val="22"/>
            <w:u w:val="none"/>
            <w:lang w:val="en-GB"/>
          </w:rPr>
          <w:t xml:space="preserve">Vet </w:t>
        </w:r>
        <w:proofErr w:type="spellStart"/>
        <w:r w:rsidRPr="004D7E32">
          <w:rPr>
            <w:rStyle w:val="Hyperlink"/>
            <w:color w:val="000000"/>
            <w:sz w:val="22"/>
            <w:u w:val="none"/>
            <w:lang w:val="en-GB"/>
          </w:rPr>
          <w:t>Parasitol</w:t>
        </w:r>
        <w:proofErr w:type="spellEnd"/>
      </w:hyperlink>
      <w:r w:rsidRPr="004D7E32">
        <w:rPr>
          <w:sz w:val="22"/>
        </w:rPr>
        <w:t xml:space="preserve"> </w:t>
      </w:r>
      <w:r w:rsidRPr="004D7E32">
        <w:rPr>
          <w:sz w:val="22"/>
          <w:lang w:val="en-GB"/>
        </w:rPr>
        <w:t>11</w:t>
      </w:r>
      <w:proofErr w:type="gramStart"/>
      <w:r w:rsidRPr="004D7E32">
        <w:rPr>
          <w:sz w:val="22"/>
          <w:lang w:val="en-GB"/>
        </w:rPr>
        <w:t>;169</w:t>
      </w:r>
      <w:proofErr w:type="gramEnd"/>
      <w:r w:rsidRPr="004D7E32">
        <w:rPr>
          <w:sz w:val="22"/>
          <w:lang w:val="en-GB"/>
        </w:rPr>
        <w:t xml:space="preserve">(3-4):327-34. </w:t>
      </w:r>
    </w:p>
    <w:p w:rsidR="004D7E32" w:rsidRPr="004D7E32" w:rsidRDefault="004D7E32" w:rsidP="004D7E32">
      <w:pPr>
        <w:shd w:val="clear" w:color="auto" w:fill="FFFFFF"/>
        <w:spacing w:line="432" w:lineRule="atLeast"/>
        <w:rPr>
          <w:sz w:val="18"/>
          <w:szCs w:val="18"/>
          <w:lang w:val="en-GB"/>
        </w:rPr>
      </w:pPr>
    </w:p>
    <w:p w:rsidR="004D7E32" w:rsidRPr="004D7E32" w:rsidRDefault="004D7E32" w:rsidP="004D7E32">
      <w:pPr>
        <w:ind w:left="0" w:firstLine="0"/>
        <w:rPr>
          <w:bCs/>
          <w:sz w:val="22"/>
          <w:lang w:val="en-GB"/>
        </w:rPr>
      </w:pPr>
    </w:p>
    <w:sectPr w:rsidR="004D7E32" w:rsidRPr="004D7E32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7E32"/>
    <w:rsid w:val="000028F1"/>
    <w:rsid w:val="00010242"/>
    <w:rsid w:val="00046B72"/>
    <w:rsid w:val="00052A25"/>
    <w:rsid w:val="0005677D"/>
    <w:rsid w:val="000578BC"/>
    <w:rsid w:val="000848FF"/>
    <w:rsid w:val="000B48D7"/>
    <w:rsid w:val="000B7479"/>
    <w:rsid w:val="000C4165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3660B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57F73"/>
    <w:rsid w:val="00491E29"/>
    <w:rsid w:val="004A37D9"/>
    <w:rsid w:val="004A5A5B"/>
    <w:rsid w:val="004C53F0"/>
    <w:rsid w:val="004D15B3"/>
    <w:rsid w:val="004D7E32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031D1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2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4D7E32"/>
    <w:rPr>
      <w:color w:val="0000FF"/>
      <w:u w:val="single"/>
    </w:rPr>
  </w:style>
  <w:style w:type="paragraph" w:styleId="NoSpacing">
    <w:name w:val="No Spacing"/>
    <w:qFormat/>
    <w:rsid w:val="004D7E32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2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Mir%C3%B3%20G%22%5BAuthor%5D" TargetMode="External"/><Relationship Id="rId13" Type="http://schemas.openxmlformats.org/officeDocument/2006/relationships/hyperlink" Target="http://www.ncbi.nlm.nih.gov/pubmed/17323100" TargetMode="External"/><Relationship Id="rId18" Type="http://schemas.openxmlformats.org/officeDocument/2006/relationships/hyperlink" Target="http://www.ncbi.nlm.nih.gov/pubmed?term=%22Dado%20D%22%5BAuthor%5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://www.ncbi.nlm.nih.gov/pubmed?term=%22Garc%C3%ADa%20S%22%5BAuthor%5D" TargetMode="External"/><Relationship Id="rId17" Type="http://schemas.openxmlformats.org/officeDocument/2006/relationships/hyperlink" Target="http://www.ncbi.nlm.nih.gov/pubmed?term=%22Nieto%20J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Descalzo%20MA%22%5BAuthor%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Alonso%20A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Mir%C3%B3%20G%22%5BAuthor%5D" TargetMode="External"/><Relationship Id="rId10" Type="http://schemas.openxmlformats.org/officeDocument/2006/relationships/hyperlink" Target="http://www.ncbi.nlm.nih.gov/pubmed?term=%22Mateo%20M%22%5BAuthor%5D" TargetMode="External"/><Relationship Id="rId19" Type="http://schemas.openxmlformats.org/officeDocument/2006/relationships/hyperlink" Target="http://www.ncbi.nlm.nih.gov/pubmed/20031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Montoya%20A%22%5BAuthor%5D" TargetMode="External"/><Relationship Id="rId14" Type="http://schemas.openxmlformats.org/officeDocument/2006/relationships/hyperlink" Target="http://www.ncbi.nlm.nih.gov/pubmed?term=%22G%C3%A1lvez%20R%22%5BAuthor%5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144578313253013"/>
          <c:y val="6.6115702479338873E-2"/>
          <c:w val="0.87349397590361444"/>
          <c:h val="0.723140495867768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VL cases</c:v>
                </c:pt>
              </c:strCache>
            </c:strRef>
          </c:tx>
          <c:spPr>
            <a:solidFill>
              <a:srgbClr val="0066CC"/>
            </a:solidFill>
            <a:ln w="12664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89</c:v>
                </c:pt>
                <c:pt idx="1">
                  <c:v>82</c:v>
                </c:pt>
                <c:pt idx="2">
                  <c:v>72</c:v>
                </c:pt>
                <c:pt idx="3">
                  <c:v>161</c:v>
                </c:pt>
                <c:pt idx="4">
                  <c:v>117</c:v>
                </c:pt>
                <c:pt idx="5">
                  <c:v>111</c:v>
                </c:pt>
                <c:pt idx="6">
                  <c:v>151</c:v>
                </c:pt>
                <c:pt idx="7">
                  <c:v>202</c:v>
                </c:pt>
                <c:pt idx="8">
                  <c:v>177</c:v>
                </c:pt>
                <c:pt idx="9">
                  <c:v>191</c:v>
                </c:pt>
                <c:pt idx="10">
                  <c:v>204</c:v>
                </c:pt>
                <c:pt idx="11">
                  <c:v>182</c:v>
                </c:pt>
                <c:pt idx="12">
                  <c:v>192</c:v>
                </c:pt>
                <c:pt idx="13">
                  <c:v>203</c:v>
                </c:pt>
                <c:pt idx="14">
                  <c:v>137</c:v>
                </c:pt>
              </c:numCache>
            </c:numRef>
          </c:val>
        </c:ser>
        <c:gapDepth val="0"/>
        <c:shape val="box"/>
        <c:axId val="70356352"/>
        <c:axId val="72476160"/>
        <c:axId val="0"/>
      </c:bar3DChart>
      <c:catAx>
        <c:axId val="7035635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476160"/>
        <c:crosses val="autoZero"/>
        <c:auto val="1"/>
        <c:lblAlgn val="ctr"/>
        <c:lblOffset val="100"/>
        <c:tickLblSkip val="2"/>
        <c:tickMarkSkip val="1"/>
      </c:catAx>
      <c:valAx>
        <c:axId val="72476160"/>
        <c:scaling>
          <c:orientation val="minMax"/>
        </c:scaling>
        <c:axPos val="l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356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2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2012-04-02T13:54:00Z</dcterms:created>
  <dcterms:modified xsi:type="dcterms:W3CDTF">2012-04-15T20:12:00Z</dcterms:modified>
</cp:coreProperties>
</file>