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D" w:rsidRDefault="001E6DDD" w:rsidP="001E6DDD">
      <w:pPr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ROMANIA</w:t>
      </w:r>
    </w:p>
    <w:p w:rsidR="001E6DDD" w:rsidRPr="002C75B8" w:rsidRDefault="001E6DDD" w:rsidP="001E6DDD">
      <w:pPr>
        <w:ind w:left="0" w:firstLine="0"/>
        <w:rPr>
          <w:b/>
          <w:sz w:val="22"/>
          <w:u w:val="single"/>
        </w:rPr>
      </w:pP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857500" cy="1914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DD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Default="001E6DDD" w:rsidP="001E6DD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1E6DDD" w:rsidRPr="002C75B8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21</w:t>
      </w:r>
      <w:r>
        <w:rPr>
          <w:sz w:val="22"/>
          <w:lang w:val="en-US"/>
        </w:rPr>
        <w:t>,442,012</w:t>
      </w:r>
      <w:r w:rsidRPr="002C75B8">
        <w:rPr>
          <w:sz w:val="22"/>
          <w:lang w:val="en-US"/>
        </w:rPr>
        <w:t xml:space="preserve">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15%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4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0.5%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13.8</w:t>
      </w:r>
      <w:r w:rsidRPr="002C75B8">
        <w:rPr>
          <w:sz w:val="22"/>
          <w:lang w:val="en-US"/>
        </w:rPr>
        <w:t>%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</w:t>
      </w:r>
      <w:r>
        <w:rPr>
          <w:sz w:val="22"/>
          <w:lang w:val="en-US"/>
        </w:rPr>
        <w:t>economy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High human development (ranking </w:t>
      </w:r>
      <w:r>
        <w:rPr>
          <w:sz w:val="22"/>
          <w:lang w:val="en-US"/>
        </w:rPr>
        <w:t>50</w:t>
      </w:r>
      <w:r w:rsidRPr="002C75B8">
        <w:rPr>
          <w:sz w:val="22"/>
          <w:lang w:val="en-US"/>
        </w:rPr>
        <w:t>)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408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73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63</w:t>
      </w:r>
      <w:r w:rsidRPr="002C75B8">
        <w:rPr>
          <w:sz w:val="22"/>
          <w:lang w:val="en-GB"/>
        </w:rPr>
        <w:t xml:space="preserve">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1E6DDD" w:rsidRPr="002C75B8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Default="001E6DDD" w:rsidP="001E6DD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1E6DDD" w:rsidRPr="002C75B8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iCs/>
          <w:sz w:val="22"/>
          <w:lang w:val="en-US"/>
        </w:rPr>
      </w:pPr>
      <w:r w:rsidRPr="002C75B8">
        <w:rPr>
          <w:iCs/>
          <w:sz w:val="22"/>
          <w:lang w:val="en-US"/>
        </w:rPr>
        <w:t xml:space="preserve">The first case of VL was reported in 1912 </w:t>
      </w:r>
      <w:r>
        <w:rPr>
          <w:iCs/>
          <w:sz w:val="22"/>
          <w:lang w:val="en-US"/>
        </w:rPr>
        <w:t>[1]</w:t>
      </w:r>
      <w:r w:rsidRPr="002C75B8">
        <w:rPr>
          <w:iCs/>
          <w:sz w:val="22"/>
          <w:lang w:val="en-US"/>
        </w:rPr>
        <w:t xml:space="preserve">. In 1954, an outbreak of VL was described in </w:t>
      </w:r>
      <w:proofErr w:type="spellStart"/>
      <w:r w:rsidRPr="002C75B8">
        <w:rPr>
          <w:iCs/>
          <w:sz w:val="22"/>
          <w:lang w:val="en-US"/>
        </w:rPr>
        <w:t>Oltenia</w:t>
      </w:r>
      <w:proofErr w:type="spellEnd"/>
      <w:r w:rsidRPr="002C75B8">
        <w:rPr>
          <w:iCs/>
          <w:sz w:val="22"/>
          <w:lang w:val="en-US"/>
        </w:rPr>
        <w:t xml:space="preserve"> region </w:t>
      </w:r>
      <w:r>
        <w:rPr>
          <w:iCs/>
          <w:sz w:val="22"/>
          <w:lang w:val="en-US"/>
        </w:rPr>
        <w:t>[2]</w:t>
      </w:r>
      <w:r w:rsidRPr="002C75B8">
        <w:rPr>
          <w:iCs/>
          <w:sz w:val="22"/>
          <w:lang w:val="en-US"/>
        </w:rPr>
        <w:t xml:space="preserve">. No further cases were documented until 1989. However, since increasing numbers of Romanians have become seasonal migrant workers in </w:t>
      </w:r>
      <w:r>
        <w:rPr>
          <w:iCs/>
          <w:sz w:val="22"/>
          <w:lang w:val="en-US"/>
        </w:rPr>
        <w:t>s</w:t>
      </w:r>
      <w:r w:rsidRPr="002C75B8">
        <w:rPr>
          <w:iCs/>
          <w:sz w:val="22"/>
          <w:lang w:val="en-US"/>
        </w:rPr>
        <w:t>outhern Mediterra</w:t>
      </w:r>
      <w:r>
        <w:rPr>
          <w:iCs/>
          <w:sz w:val="22"/>
          <w:lang w:val="en-US"/>
        </w:rPr>
        <w:t>n</w:t>
      </w:r>
      <w:r w:rsidRPr="002C75B8">
        <w:rPr>
          <w:iCs/>
          <w:sz w:val="22"/>
          <w:lang w:val="en-US"/>
        </w:rPr>
        <w:t xml:space="preserve">ean countries, imported VL is now seen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iCs/>
              <w:sz w:val="22"/>
              <w:lang w:val="en-US"/>
            </w:rPr>
            <w:t>Romania</w:t>
          </w:r>
        </w:smartTag>
      </w:smartTag>
      <w:r w:rsidRPr="002C75B8">
        <w:rPr>
          <w:iCs/>
          <w:sz w:val="22"/>
          <w:lang w:val="en-US"/>
        </w:rPr>
        <w:t>. Six cases of VL were imported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between 1999</w:t>
      </w:r>
      <w:r>
        <w:rPr>
          <w:iCs/>
          <w:sz w:val="22"/>
          <w:lang w:val="en-US"/>
        </w:rPr>
        <w:t xml:space="preserve"> and </w:t>
      </w:r>
      <w:r w:rsidRPr="002C75B8">
        <w:rPr>
          <w:iCs/>
          <w:sz w:val="22"/>
          <w:lang w:val="en-US"/>
        </w:rPr>
        <w:t>2006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by returning male migrant workers that acquired VL in </w:t>
      </w:r>
      <w:smartTag w:uri="urn:schemas-microsoft-com:office:smarttags" w:element="country-region">
        <w:r w:rsidRPr="002C75B8">
          <w:rPr>
            <w:iCs/>
            <w:sz w:val="22"/>
            <w:lang w:val="en-US"/>
          </w:rPr>
          <w:t>Italy</w:t>
        </w:r>
      </w:smartTag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</w:t>
      </w:r>
      <w:smartTag w:uri="urn:schemas-microsoft-com:office:smarttags" w:element="country-region">
        <w:r w:rsidRPr="002C75B8">
          <w:rPr>
            <w:iCs/>
            <w:sz w:val="22"/>
            <w:lang w:val="en-US"/>
          </w:rPr>
          <w:t>Greece</w:t>
        </w:r>
      </w:smartTag>
      <w:r>
        <w:rPr>
          <w:iCs/>
          <w:sz w:val="22"/>
          <w:lang w:val="en-US"/>
        </w:rPr>
        <w:t xml:space="preserve"> </w:t>
      </w:r>
      <w:r w:rsidRPr="002C75B8">
        <w:rPr>
          <w:iCs/>
          <w:sz w:val="22"/>
          <w:lang w:val="en-US"/>
        </w:rPr>
        <w:t>and</w:t>
      </w:r>
      <w:r w:rsidRPr="00B67738">
        <w:rPr>
          <w:iCs/>
          <w:sz w:val="22"/>
          <w:vertAlign w:val="superscript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iCs/>
              <w:sz w:val="22"/>
              <w:lang w:val="en-US"/>
            </w:rPr>
            <w:t>Spain</w:t>
          </w:r>
        </w:smartTag>
      </w:smartTag>
      <w:r>
        <w:rPr>
          <w:iCs/>
          <w:sz w:val="22"/>
          <w:lang w:val="en-US"/>
        </w:rPr>
        <w:t xml:space="preserve"> [3]</w:t>
      </w:r>
      <w:r w:rsidRPr="002C75B8">
        <w:rPr>
          <w:iCs/>
          <w:sz w:val="22"/>
          <w:lang w:val="en-US"/>
        </w:rPr>
        <w:t xml:space="preserve">. In 2007, another 5 imported cases from Italy and Greece were documented and in 2010, a case of VL was documented in a woman that had spent a long time in Greece. </w:t>
      </w:r>
    </w:p>
    <w:p w:rsidR="001E6DDD" w:rsidRPr="002C75B8" w:rsidRDefault="001E6DDD" w:rsidP="001E6DDD">
      <w:pPr>
        <w:ind w:left="0" w:firstLine="0"/>
        <w:rPr>
          <w:b/>
          <w:sz w:val="22"/>
          <w:lang w:val="en-GB"/>
        </w:rPr>
      </w:pPr>
    </w:p>
    <w:p w:rsidR="001E6DDD" w:rsidRDefault="001E6DDD" w:rsidP="001E6DDD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1E6DDD" w:rsidRPr="002C75B8" w:rsidRDefault="001E6DDD" w:rsidP="001E6DDD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944"/>
        <w:gridCol w:w="3150"/>
        <w:gridCol w:w="2088"/>
      </w:tblGrid>
      <w:tr w:rsidR="001E6DDD" w:rsidRPr="002C75B8" w:rsidTr="00A7768B">
        <w:tc>
          <w:tcPr>
            <w:tcW w:w="2394" w:type="dxa"/>
            <w:vAlign w:val="center"/>
          </w:tcPr>
          <w:p w:rsidR="001E6DDD" w:rsidRPr="002C75B8" w:rsidRDefault="001E6DD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44" w:type="dxa"/>
            <w:vAlign w:val="center"/>
          </w:tcPr>
          <w:p w:rsidR="001E6DDD" w:rsidRPr="002C75B8" w:rsidRDefault="001E6DD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E6DDD" w:rsidRPr="002C75B8" w:rsidRDefault="001E6DD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vAlign w:val="center"/>
          </w:tcPr>
          <w:p w:rsidR="001E6DDD" w:rsidRPr="002C75B8" w:rsidRDefault="001E6DD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E6DDD" w:rsidRPr="002C75B8" w:rsidRDefault="001E6DD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vAlign w:val="center"/>
          </w:tcPr>
          <w:p w:rsidR="001E6DDD" w:rsidRPr="002C75B8" w:rsidRDefault="001E6DD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E6DDD" w:rsidRPr="002C75B8" w:rsidRDefault="001E6DD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1E6DDD" w:rsidRPr="002C75B8" w:rsidTr="00A7768B">
        <w:tc>
          <w:tcPr>
            <w:tcW w:w="2394" w:type="dxa"/>
            <w:vAlign w:val="center"/>
          </w:tcPr>
          <w:p w:rsidR="001E6DDD" w:rsidRPr="002C75B8" w:rsidRDefault="001E6DD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944" w:type="dxa"/>
            <w:vAlign w:val="center"/>
          </w:tcPr>
          <w:p w:rsidR="001E6DDD" w:rsidRPr="002C75B8" w:rsidRDefault="001E6DD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3150" w:type="dxa"/>
            <w:vAlign w:val="center"/>
          </w:tcPr>
          <w:p w:rsidR="001E6DDD" w:rsidRPr="002C75B8" w:rsidRDefault="001E6DD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neglectus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perfiliewi</w:t>
            </w:r>
            <w:proofErr w:type="spellEnd"/>
          </w:p>
        </w:tc>
        <w:tc>
          <w:tcPr>
            <w:tcW w:w="2088" w:type="dxa"/>
            <w:vAlign w:val="center"/>
          </w:tcPr>
          <w:p w:rsidR="001E6DDD" w:rsidRPr="00125FDE" w:rsidRDefault="001E6DD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1E6DDD" w:rsidRPr="002C75B8" w:rsidRDefault="001E6DDD" w:rsidP="001E6DDD">
      <w:pPr>
        <w:tabs>
          <w:tab w:val="left" w:pos="2327"/>
        </w:tabs>
        <w:ind w:left="0" w:firstLine="0"/>
        <w:rPr>
          <w:b/>
          <w:sz w:val="22"/>
          <w:lang w:val="en-US"/>
        </w:rPr>
      </w:pPr>
    </w:p>
    <w:p w:rsidR="001E6DDD" w:rsidRDefault="001E6DDD" w:rsidP="001E6DDD">
      <w:pPr>
        <w:tabs>
          <w:tab w:val="left" w:pos="2327"/>
        </w:tabs>
        <w:ind w:left="0" w:firstLine="0"/>
        <w:rPr>
          <w:b/>
          <w:sz w:val="22"/>
          <w:lang w:val="en-US"/>
        </w:rPr>
      </w:pPr>
    </w:p>
    <w:p w:rsidR="001E6DDD" w:rsidRPr="002C75B8" w:rsidRDefault="001E6DDD" w:rsidP="001E6DDD">
      <w:pPr>
        <w:tabs>
          <w:tab w:val="left" w:pos="2327"/>
        </w:tabs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1E6DDD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Pr="002E7033" w:rsidRDefault="001E6DDD" w:rsidP="001E6DDD">
      <w:pPr>
        <w:ind w:left="0" w:firstLine="0"/>
        <w:rPr>
          <w:bCs/>
          <w:sz w:val="22"/>
          <w:lang w:val="en-US"/>
        </w:rPr>
      </w:pPr>
      <w:r w:rsidRPr="002E7033">
        <w:rPr>
          <w:bCs/>
          <w:sz w:val="22"/>
          <w:lang w:val="en-US"/>
        </w:rPr>
        <w:t>No information available</w:t>
      </w:r>
      <w:r>
        <w:rPr>
          <w:bCs/>
          <w:sz w:val="22"/>
          <w:lang w:val="en-US"/>
        </w:rPr>
        <w:t>.</w:t>
      </w:r>
    </w:p>
    <w:p w:rsidR="001E6DDD" w:rsidRPr="002C75B8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Default="001E6DDD" w:rsidP="001E6DDD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lastRenderedPageBreak/>
        <w:t>CONTROL</w:t>
      </w:r>
    </w:p>
    <w:p w:rsidR="001E6DDD" w:rsidRPr="002C75B8" w:rsidRDefault="001E6DDD" w:rsidP="001E6DDD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E6DDD" w:rsidRPr="002C75B8" w:rsidRDefault="001E6DDD" w:rsidP="001E6DDD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GB" w:eastAsia="es-ES"/>
        </w:rPr>
        <w:t xml:space="preserve">The notification of leishmaniasis is not mandatory in the country and there is no </w:t>
      </w:r>
      <w:r w:rsidRPr="002C75B8">
        <w:rPr>
          <w:rFonts w:eastAsia="Times New Roman"/>
          <w:sz w:val="22"/>
          <w:lang w:val="en-US" w:eastAsia="es-ES"/>
        </w:rPr>
        <w:t xml:space="preserve">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 xml:space="preserve">eishmaniasis control program. There is no leishmaniasis vector control program and no leishmaniasis reservoir control program. </w:t>
      </w:r>
    </w:p>
    <w:p w:rsidR="001E6DDD" w:rsidRDefault="001E6DDD" w:rsidP="001E6DDD">
      <w:pPr>
        <w:ind w:left="0" w:firstLine="0"/>
        <w:rPr>
          <w:rFonts w:eastAsia="Times New Roman"/>
          <w:sz w:val="22"/>
          <w:lang w:val="en-US" w:eastAsia="es-ES"/>
        </w:rPr>
      </w:pPr>
    </w:p>
    <w:p w:rsidR="001E6DDD" w:rsidRPr="002C75B8" w:rsidRDefault="001E6DDD" w:rsidP="001E6DDD">
      <w:pPr>
        <w:ind w:left="0" w:firstLine="0"/>
        <w:rPr>
          <w:rFonts w:eastAsia="Times New Roman"/>
          <w:sz w:val="22"/>
          <w:lang w:val="en-US" w:eastAsia="es-ES"/>
        </w:rPr>
      </w:pPr>
    </w:p>
    <w:p w:rsidR="001E6DDD" w:rsidRDefault="001E6DDD" w:rsidP="001E6DD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1E6DDD" w:rsidRPr="002C75B8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 xml:space="preserve">: </w:t>
      </w:r>
      <w:r w:rsidRPr="00562689">
        <w:rPr>
          <w:sz w:val="22"/>
          <w:lang w:val="en-GB"/>
        </w:rPr>
        <w:t>confirmation</w:t>
      </w:r>
      <w:r w:rsidRPr="002C75B8">
        <w:rPr>
          <w:sz w:val="22"/>
          <w:lang w:val="en-GB"/>
        </w:rPr>
        <w:t xml:space="preserve"> by </w:t>
      </w:r>
      <w:r w:rsidRPr="002C75B8">
        <w:rPr>
          <w:sz w:val="22"/>
          <w:lang w:val="en-US"/>
        </w:rPr>
        <w:t>microscopic examination</w:t>
      </w:r>
      <w:r w:rsidRPr="002C75B8">
        <w:rPr>
          <w:sz w:val="22"/>
          <w:lang w:val="en-GB"/>
        </w:rPr>
        <w:t xml:space="preserve"> of bone marrow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</w:t>
      </w:r>
    </w:p>
    <w:p w:rsidR="001E6DDD" w:rsidRDefault="001E6DDD" w:rsidP="001E6DDD">
      <w:pPr>
        <w:ind w:left="0" w:firstLine="0"/>
        <w:rPr>
          <w:b/>
          <w:bCs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1E6DDD" w:rsidRPr="002C75B8" w:rsidRDefault="001E6DDD" w:rsidP="001E6DDD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GB"/>
        </w:rPr>
        <w:t>VL</w:t>
      </w:r>
      <w:r w:rsidRPr="00562689">
        <w:rPr>
          <w:bCs/>
          <w:sz w:val="22"/>
          <w:lang w:val="en-GB"/>
        </w:rPr>
        <w:t xml:space="preserve">: </w:t>
      </w:r>
      <w:r>
        <w:rPr>
          <w:bCs/>
          <w:sz w:val="22"/>
          <w:lang w:val="en-GB"/>
        </w:rPr>
        <w:t>a</w:t>
      </w:r>
      <w:r w:rsidRPr="00562689">
        <w:rPr>
          <w:bCs/>
          <w:sz w:val="22"/>
          <w:lang w:val="en-GB"/>
        </w:rPr>
        <w:t>mphotericin</w:t>
      </w:r>
      <w:r w:rsidRPr="002C75B8">
        <w:rPr>
          <w:bCs/>
          <w:sz w:val="22"/>
          <w:lang w:val="en-GB"/>
        </w:rPr>
        <w:t xml:space="preserve"> B or </w:t>
      </w:r>
      <w:proofErr w:type="spellStart"/>
      <w:r w:rsidRPr="002C75B8">
        <w:rPr>
          <w:bCs/>
          <w:sz w:val="22"/>
          <w:lang w:val="en-GB"/>
        </w:rPr>
        <w:t>pentamidine</w:t>
      </w:r>
      <w:proofErr w:type="spellEnd"/>
      <w:r>
        <w:rPr>
          <w:bCs/>
          <w:sz w:val="22"/>
          <w:lang w:val="en-GB"/>
        </w:rPr>
        <w:t>.</w:t>
      </w:r>
      <w:r w:rsidRPr="002C75B8">
        <w:rPr>
          <w:bCs/>
          <w:sz w:val="22"/>
          <w:lang w:val="en-US"/>
        </w:rPr>
        <w:t xml:space="preserve"> </w:t>
      </w:r>
    </w:p>
    <w:p w:rsidR="001E6DDD" w:rsidRPr="002C75B8" w:rsidRDefault="001E6DDD" w:rsidP="001E6DDD">
      <w:pPr>
        <w:ind w:left="0" w:firstLine="0"/>
        <w:rPr>
          <w:bCs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b/>
          <w:bCs/>
          <w:sz w:val="22"/>
          <w:lang w:val="en-US"/>
        </w:rPr>
      </w:pPr>
    </w:p>
    <w:p w:rsidR="001E6DDD" w:rsidRDefault="001E6DDD" w:rsidP="001E6DDD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VL is little known in Romania. T</w:t>
      </w:r>
      <w:r w:rsidRPr="002C75B8">
        <w:rPr>
          <w:sz w:val="22"/>
          <w:lang w:val="en-GB"/>
        </w:rPr>
        <w:t xml:space="preserve">he period between clinical onset and diagnosis of VL in imported cases varied between 2 and 14 months. </w:t>
      </w:r>
    </w:p>
    <w:p w:rsidR="001E6DDD" w:rsidRDefault="001E6DDD" w:rsidP="001E6DDD">
      <w:pPr>
        <w:ind w:left="0" w:firstLine="0"/>
        <w:rPr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</w:p>
    <w:p w:rsidR="001E6DDD" w:rsidRDefault="001E6DDD" w:rsidP="001E6DDD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antimonials are registered.</w:t>
      </w:r>
      <w:r w:rsidRPr="002C75B8">
        <w:rPr>
          <w:sz w:val="22"/>
          <w:lang w:val="en-GB"/>
        </w:rPr>
        <w:t xml:space="preserve"> 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</w:p>
    <w:p w:rsidR="001E6DDD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b/>
          <w:sz w:val="22"/>
          <w:lang w:val="en-US"/>
        </w:rPr>
      </w:pPr>
    </w:p>
    <w:p w:rsidR="001E6DDD" w:rsidRPr="002C75B8" w:rsidRDefault="001E6DDD" w:rsidP="001E6DDD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1E6DDD" w:rsidRPr="002C75B8" w:rsidRDefault="001E6DDD" w:rsidP="001E6DDD">
      <w:pPr>
        <w:ind w:left="0" w:firstLine="0"/>
        <w:rPr>
          <w:sz w:val="22"/>
          <w:lang w:val="en-US"/>
        </w:rPr>
      </w:pPr>
    </w:p>
    <w:p w:rsidR="001E6DDD" w:rsidRDefault="001E6DDD" w:rsidP="001E6DDD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proofErr w:type="spellStart"/>
      <w:r w:rsidRPr="002C75B8">
        <w:rPr>
          <w:sz w:val="22"/>
          <w:lang w:val="en-US"/>
        </w:rPr>
        <w:t>Gaman</w:t>
      </w:r>
      <w:proofErr w:type="spellEnd"/>
      <w:r w:rsidRPr="002C75B8">
        <w:rPr>
          <w:sz w:val="22"/>
          <w:lang w:val="en-US"/>
        </w:rPr>
        <w:t xml:space="preserve"> A, </w:t>
      </w:r>
      <w:proofErr w:type="spellStart"/>
      <w:r w:rsidRPr="002C75B8">
        <w:rPr>
          <w:sz w:val="22"/>
          <w:lang w:val="en-US"/>
        </w:rPr>
        <w:t>Dobrea</w:t>
      </w:r>
      <w:proofErr w:type="spellEnd"/>
      <w:r w:rsidRPr="002C75B8">
        <w:rPr>
          <w:sz w:val="22"/>
          <w:lang w:val="en-US"/>
        </w:rPr>
        <w:t xml:space="preserve"> C, </w:t>
      </w:r>
      <w:proofErr w:type="spellStart"/>
      <w:r w:rsidRPr="002C75B8">
        <w:rPr>
          <w:sz w:val="22"/>
          <w:lang w:val="en-US"/>
        </w:rPr>
        <w:t>Gaman</w:t>
      </w:r>
      <w:proofErr w:type="spellEnd"/>
      <w:r w:rsidRPr="002C75B8">
        <w:rPr>
          <w:sz w:val="22"/>
          <w:lang w:val="en-US"/>
        </w:rPr>
        <w:t xml:space="preserve"> G</w:t>
      </w:r>
      <w:r>
        <w:rPr>
          <w:sz w:val="22"/>
          <w:lang w:val="en-US"/>
        </w:rPr>
        <w:t xml:space="preserve"> (2010)</w:t>
      </w:r>
      <w:r w:rsidRPr="002C75B8">
        <w:rPr>
          <w:sz w:val="22"/>
          <w:lang w:val="en-US"/>
        </w:rPr>
        <w:t xml:space="preserve">. </w:t>
      </w:r>
      <w:proofErr w:type="gramStart"/>
      <w:r w:rsidRPr="002C75B8">
        <w:rPr>
          <w:sz w:val="22"/>
          <w:lang w:val="en-US"/>
        </w:rPr>
        <w:t xml:space="preserve">A case of visceral leishmaniasis in </w:t>
      </w:r>
      <w:proofErr w:type="spellStart"/>
      <w:r w:rsidRPr="002C75B8">
        <w:rPr>
          <w:sz w:val="22"/>
          <w:lang w:val="en-US"/>
        </w:rPr>
        <w:t>Oltenia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región</w:t>
      </w:r>
      <w:proofErr w:type="spellEnd"/>
      <w:r w:rsidRPr="002C75B8">
        <w:rPr>
          <w:sz w:val="22"/>
          <w:lang w:val="en-US"/>
        </w:rPr>
        <w:t xml:space="preserve"> (</w:t>
      </w:r>
      <w:r w:rsidRPr="00C0527B">
        <w:rPr>
          <w:sz w:val="22"/>
          <w:lang w:val="en-US"/>
        </w:rPr>
        <w:t>Romania).</w:t>
      </w:r>
      <w:proofErr w:type="gramEnd"/>
      <w:r w:rsidRPr="00C0527B">
        <w:rPr>
          <w:sz w:val="22"/>
          <w:lang w:val="en-US"/>
        </w:rPr>
        <w:t xml:space="preserve"> </w:t>
      </w:r>
      <w:r w:rsidRPr="00C0527B">
        <w:rPr>
          <w:iCs/>
          <w:sz w:val="22"/>
          <w:lang w:val="en-US"/>
        </w:rPr>
        <w:t xml:space="preserve">Romanian Journal of Morphology and Embryology </w:t>
      </w:r>
      <w:r w:rsidRPr="00C0527B">
        <w:rPr>
          <w:sz w:val="22"/>
          <w:lang w:val="en-US"/>
        </w:rPr>
        <w:t>51(2</w:t>
      </w:r>
      <w:r w:rsidRPr="002C75B8">
        <w:rPr>
          <w:sz w:val="22"/>
          <w:lang w:val="en-US"/>
        </w:rPr>
        <w:t>):391–394</w:t>
      </w:r>
      <w:r>
        <w:rPr>
          <w:sz w:val="22"/>
          <w:lang w:val="en-US"/>
        </w:rPr>
        <w:t>.</w:t>
      </w:r>
    </w:p>
    <w:p w:rsidR="001E6DDD" w:rsidRDefault="001E6DDD" w:rsidP="001E6DDD">
      <w:pPr>
        <w:ind w:left="0" w:firstLine="0"/>
        <w:rPr>
          <w:sz w:val="22"/>
          <w:lang w:val="en-US"/>
        </w:rPr>
      </w:pPr>
    </w:p>
    <w:p w:rsidR="001E6DDD" w:rsidRPr="00AA7A8B" w:rsidRDefault="001E6DDD" w:rsidP="001E6DDD">
      <w:pPr>
        <w:ind w:left="0" w:firstLine="0"/>
        <w:rPr>
          <w:sz w:val="22"/>
          <w:lang w:val="en-US"/>
        </w:rPr>
      </w:pPr>
      <w:r w:rsidRPr="00AA7A8B">
        <w:rPr>
          <w:sz w:val="22"/>
          <w:lang w:val="en-US"/>
        </w:rPr>
        <w:t xml:space="preserve">2. Desjeux P </w:t>
      </w:r>
      <w:r>
        <w:rPr>
          <w:sz w:val="22"/>
          <w:lang w:val="en-US"/>
        </w:rPr>
        <w:t>(</w:t>
      </w:r>
      <w:r w:rsidRPr="00AA7A8B">
        <w:rPr>
          <w:sz w:val="22"/>
          <w:lang w:val="en-US"/>
        </w:rPr>
        <w:t>1991</w:t>
      </w:r>
      <w:r>
        <w:rPr>
          <w:sz w:val="22"/>
          <w:lang w:val="en-US"/>
        </w:rPr>
        <w:t>)</w:t>
      </w:r>
      <w:r w:rsidRPr="00AA7A8B">
        <w:rPr>
          <w:sz w:val="22"/>
          <w:lang w:val="en-US"/>
        </w:rPr>
        <w:t xml:space="preserve"> Information on the epidemiology and control of the leishmaniases by country or territory. </w:t>
      </w:r>
      <w:proofErr w:type="gramStart"/>
      <w:r w:rsidRPr="00AA7A8B">
        <w:rPr>
          <w:sz w:val="22"/>
          <w:lang w:val="en-US"/>
        </w:rPr>
        <w:t>World Health Organization.</w:t>
      </w:r>
      <w:proofErr w:type="gramEnd"/>
      <w:r w:rsidRPr="00AA7A8B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1E6DDD" w:rsidRPr="00B67738" w:rsidRDefault="001E6DDD" w:rsidP="001E6DDD">
      <w:pPr>
        <w:ind w:left="0" w:firstLine="0"/>
        <w:rPr>
          <w:color w:val="FF0000"/>
          <w:sz w:val="22"/>
          <w:lang w:val="en-US"/>
        </w:rPr>
      </w:pPr>
    </w:p>
    <w:p w:rsidR="001E6DDD" w:rsidRDefault="001E6DDD" w:rsidP="001E6DDD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3. </w:t>
      </w:r>
      <w:proofErr w:type="spellStart"/>
      <w:r w:rsidRPr="002C75B8">
        <w:rPr>
          <w:sz w:val="22"/>
          <w:lang w:val="en-US"/>
        </w:rPr>
        <w:t>Neghina</w:t>
      </w:r>
      <w:proofErr w:type="spellEnd"/>
      <w:r w:rsidRPr="002C75B8">
        <w:rPr>
          <w:sz w:val="22"/>
          <w:lang w:val="en-US"/>
        </w:rPr>
        <w:t xml:space="preserve"> R,</w:t>
      </w:r>
      <w:r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Neghina</w:t>
      </w:r>
      <w:proofErr w:type="spellEnd"/>
      <w:r w:rsidRPr="002C75B8">
        <w:rPr>
          <w:sz w:val="22"/>
          <w:lang w:val="en-US"/>
        </w:rPr>
        <w:t xml:space="preserve"> AM,</w:t>
      </w:r>
      <w:r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Merkler</w:t>
      </w:r>
      <w:proofErr w:type="spellEnd"/>
      <w:r w:rsidRPr="002C75B8">
        <w:rPr>
          <w:sz w:val="22"/>
          <w:lang w:val="en-US"/>
        </w:rPr>
        <w:t xml:space="preserve"> C,</w:t>
      </w:r>
      <w:r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Marincu</w:t>
      </w:r>
      <w:proofErr w:type="spellEnd"/>
      <w:r w:rsidRPr="002C75B8">
        <w:rPr>
          <w:sz w:val="22"/>
          <w:lang w:val="en-US"/>
        </w:rPr>
        <w:t xml:space="preserve"> I,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Moldovan R</w:t>
      </w:r>
      <w:r>
        <w:rPr>
          <w:sz w:val="22"/>
          <w:lang w:val="en-US"/>
        </w:rPr>
        <w:t xml:space="preserve"> et al (2009)</w:t>
      </w:r>
      <w:r w:rsidRPr="002C75B8">
        <w:rPr>
          <w:sz w:val="22"/>
          <w:lang w:val="en-US"/>
        </w:rPr>
        <w:t xml:space="preserve">. </w:t>
      </w:r>
      <w:proofErr w:type="gramStart"/>
      <w:r w:rsidRPr="002C75B8">
        <w:rPr>
          <w:bCs/>
          <w:sz w:val="22"/>
          <w:lang w:val="en-US"/>
        </w:rPr>
        <w:t>Importation of visceral leishmaniasis in returning Romanian workers from Spain.</w:t>
      </w:r>
      <w:proofErr w:type="gramEnd"/>
      <w:r w:rsidRPr="002C75B8">
        <w:rPr>
          <w:sz w:val="22"/>
          <w:lang w:val="en-US"/>
        </w:rPr>
        <w:t xml:space="preserve"> Travel Med Infect </w:t>
      </w:r>
      <w:proofErr w:type="spellStart"/>
      <w:r w:rsidRPr="002C75B8">
        <w:rPr>
          <w:sz w:val="22"/>
          <w:lang w:val="en-US"/>
        </w:rPr>
        <w:t>Dis</w:t>
      </w:r>
      <w:proofErr w:type="spellEnd"/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7(1):35-9. </w:t>
      </w:r>
    </w:p>
    <w:p w:rsidR="002F7C1A" w:rsidRDefault="002F7C1A" w:rsidP="001E6DDD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DDD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1E6DDD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1E6DD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DD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2012-04-02T13:05:00Z</dcterms:created>
  <dcterms:modified xsi:type="dcterms:W3CDTF">2012-04-02T13:06:00Z</dcterms:modified>
</cp:coreProperties>
</file>