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MALTA</w:t>
          </w:r>
        </w:smartTag>
      </w:smartTag>
    </w:p>
    <w:p w:rsidR="00023AA7" w:rsidRDefault="00023AA7" w:rsidP="00023AA7">
      <w:pPr>
        <w:spacing w:line="480" w:lineRule="auto"/>
        <w:ind w:left="0" w:firstLine="0"/>
        <w:rPr>
          <w:b/>
          <w:sz w:val="22"/>
          <w:lang w:val="es-E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086100" cy="2068195"/>
            <wp:effectExtent l="19050" t="0" r="0" b="0"/>
            <wp:docPr id="2" name="Picture 2" descr="MT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4</w:t>
      </w:r>
      <w:r>
        <w:rPr>
          <w:sz w:val="22"/>
          <w:lang w:val="en-US"/>
        </w:rPr>
        <w:t>12,961</w:t>
      </w:r>
      <w:r w:rsidRPr="002C75B8">
        <w:rPr>
          <w:sz w:val="22"/>
          <w:lang w:val="en-US"/>
        </w:rPr>
        <w:t xml:space="preserve">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1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no data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Income status: High income</w:t>
      </w:r>
      <w:r>
        <w:rPr>
          <w:sz w:val="22"/>
          <w:lang w:val="en-US"/>
        </w:rPr>
        <w:t xml:space="preserve"> economy</w:t>
      </w:r>
      <w:r w:rsidRPr="002C75B8">
        <w:rPr>
          <w:sz w:val="22"/>
          <w:lang w:val="en-US"/>
        </w:rPr>
        <w:t xml:space="preserve">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 Very high human development (ranking 3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>)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 1</w:t>
      </w:r>
      <w:r>
        <w:rPr>
          <w:sz w:val="22"/>
          <w:lang w:val="en-US"/>
        </w:rPr>
        <w:t>,446</w:t>
      </w:r>
      <w:r w:rsidRPr="002C75B8">
        <w:rPr>
          <w:sz w:val="22"/>
          <w:lang w:val="en-US"/>
        </w:rPr>
        <w:t xml:space="preserve">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</w:t>
      </w:r>
      <w:r>
        <w:rPr>
          <w:sz w:val="22"/>
          <w:lang w:val="en-US"/>
        </w:rPr>
        <w:t>80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71 </w:t>
      </w:r>
    </w:p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lang w:val="en-US"/>
        </w:rPr>
      </w:pPr>
    </w:p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023AA7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VL was first diagnosed in 1911 </w:t>
      </w:r>
      <w:r>
        <w:rPr>
          <w:sz w:val="22"/>
          <w:lang w:val="en-GB"/>
        </w:rPr>
        <w:t>[1]</w:t>
      </w:r>
      <w:r w:rsidRPr="002C75B8">
        <w:rPr>
          <w:sz w:val="22"/>
          <w:lang w:val="en-GB"/>
        </w:rPr>
        <w:t>. When reporting became mandatory in 1946, VL was highly prevalent with 1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264 cases </w:t>
      </w:r>
      <w:r>
        <w:rPr>
          <w:sz w:val="22"/>
          <w:lang w:val="en-GB"/>
        </w:rPr>
        <w:t>[2].</w:t>
      </w:r>
      <w:r w:rsidRPr="002C75B8">
        <w:rPr>
          <w:color w:val="E36C0A"/>
          <w:sz w:val="22"/>
          <w:lang w:val="en-GB"/>
        </w:rPr>
        <w:t xml:space="preserve"> </w:t>
      </w:r>
      <w:r w:rsidRPr="002C75B8">
        <w:rPr>
          <w:sz w:val="22"/>
          <w:lang w:val="en-GB"/>
        </w:rPr>
        <w:t>The incidence has declined significantly since the 1960s. Canine VL has also decreased</w:t>
      </w:r>
      <w:r>
        <w:rPr>
          <w:sz w:val="22"/>
          <w:lang w:val="en-GB"/>
        </w:rPr>
        <w:t xml:space="preserve"> </w:t>
      </w:r>
      <w:r w:rsidRPr="002C75B8">
        <w:rPr>
          <w:sz w:val="22"/>
          <w:lang w:val="en-GB"/>
        </w:rPr>
        <w:t>in the last 10 years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due to an effective control program. Before </w:t>
      </w:r>
      <w:r w:rsidRPr="002C75B8">
        <w:rPr>
          <w:sz w:val="22"/>
          <w:lang w:val="en-US"/>
        </w:rPr>
        <w:t xml:space="preserve">1963, nearly all cases were aged </w:t>
      </w:r>
      <w:r>
        <w:rPr>
          <w:sz w:val="22"/>
          <w:lang w:val="en-US"/>
        </w:rPr>
        <w:t>under</w:t>
      </w:r>
      <w:r w:rsidRPr="002C75B8">
        <w:rPr>
          <w:sz w:val="22"/>
          <w:lang w:val="en-US"/>
        </w:rPr>
        <w:t xml:space="preserve"> 10 </w:t>
      </w:r>
      <w:r>
        <w:rPr>
          <w:sz w:val="22"/>
          <w:lang w:val="en-US"/>
        </w:rPr>
        <w:t>[3]</w:t>
      </w:r>
      <w:r w:rsidRPr="002C75B8">
        <w:rPr>
          <w:sz w:val="22"/>
          <w:lang w:val="en-US"/>
        </w:rPr>
        <w:t>. Adult cases have become more prevalent since then: between 1980-1998, only 56% of cases w</w:t>
      </w:r>
      <w:r>
        <w:rPr>
          <w:sz w:val="22"/>
          <w:lang w:val="en-US"/>
        </w:rPr>
        <w:t>ere</w:t>
      </w:r>
      <w:r w:rsidRPr="002C75B8"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under</w:t>
      </w:r>
      <w:proofErr w:type="gramEnd"/>
      <w:r w:rsidRPr="002C75B8">
        <w:rPr>
          <w:sz w:val="22"/>
          <w:lang w:val="en-US"/>
        </w:rPr>
        <w:t xml:space="preserve"> 14 year</w:t>
      </w:r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 xml:space="preserve"> o</w:t>
      </w:r>
      <w:r>
        <w:rPr>
          <w:sz w:val="22"/>
          <w:lang w:val="en-US"/>
        </w:rPr>
        <w:t>f age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[4]</w:t>
      </w:r>
      <w:r w:rsidRPr="002C75B8">
        <w:rPr>
          <w:sz w:val="22"/>
          <w:lang w:val="en-US"/>
        </w:rPr>
        <w:t xml:space="preserve">. 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2C75B8">
        <w:rPr>
          <w:sz w:val="22"/>
          <w:lang w:val="en-GB"/>
        </w:rPr>
        <w:t xml:space="preserve">CL is less prevalent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GB"/>
            </w:rPr>
            <w:t>Malta</w:t>
          </w:r>
        </w:smartTag>
      </w:smartTag>
      <w:r w:rsidRPr="002C75B8">
        <w:rPr>
          <w:sz w:val="22"/>
          <w:lang w:val="en-GB"/>
        </w:rPr>
        <w:t>, and was</w:t>
      </w:r>
      <w:r w:rsidRPr="002C75B8">
        <w:rPr>
          <w:sz w:val="22"/>
          <w:lang w:val="en-US"/>
        </w:rPr>
        <w:t xml:space="preserve"> first reported in the early 1980s, </w:t>
      </w:r>
      <w:r w:rsidRPr="002C75B8">
        <w:rPr>
          <w:sz w:val="22"/>
          <w:lang w:val="en-GB"/>
        </w:rPr>
        <w:t xml:space="preserve">mostly in a small eastern coastal area of </w:t>
      </w:r>
      <w:proofErr w:type="spellStart"/>
      <w:r w:rsidRPr="002C75B8">
        <w:rPr>
          <w:sz w:val="22"/>
          <w:lang w:val="en-GB"/>
        </w:rPr>
        <w:t>Gozo</w:t>
      </w:r>
      <w:proofErr w:type="spellEnd"/>
      <w:r>
        <w:rPr>
          <w:sz w:val="22"/>
          <w:lang w:val="en-GB"/>
        </w:rPr>
        <w:t xml:space="preserve"> [5]</w:t>
      </w:r>
      <w:r w:rsidRPr="002C75B8">
        <w:rPr>
          <w:sz w:val="22"/>
          <w:lang w:val="en-US"/>
        </w:rPr>
        <w:t>. The incidence of CL has recently increased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023AA7" w:rsidRPr="002C75B8" w:rsidRDefault="00023AA7" w:rsidP="00023AA7">
      <w:pPr>
        <w:ind w:left="0" w:firstLine="0"/>
        <w:rPr>
          <w:b/>
          <w:bCs/>
          <w:sz w:val="22"/>
        </w:rPr>
      </w:pPr>
    </w:p>
    <w:p w:rsidR="00023AA7" w:rsidRPr="002C75B8" w:rsidRDefault="00023AA7" w:rsidP="00023AA7">
      <w:pPr>
        <w:ind w:left="0" w:firstLine="0"/>
        <w:rPr>
          <w:b/>
          <w:bCs/>
          <w:sz w:val="22"/>
        </w:rPr>
      </w:pPr>
    </w:p>
    <w:p w:rsidR="00023AA7" w:rsidRPr="002C75B8" w:rsidRDefault="00023AA7" w:rsidP="00023AA7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023AA7" w:rsidRPr="002C75B8" w:rsidRDefault="00023AA7" w:rsidP="00023AA7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10"/>
        <w:gridCol w:w="2311"/>
        <w:gridCol w:w="2311"/>
      </w:tblGrid>
      <w:tr w:rsidR="00023AA7" w:rsidRPr="002C75B8" w:rsidTr="00A7768B">
        <w:tc>
          <w:tcPr>
            <w:tcW w:w="2310" w:type="dxa"/>
            <w:vAlign w:val="center"/>
          </w:tcPr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0" w:type="dxa"/>
            <w:vAlign w:val="center"/>
          </w:tcPr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11" w:type="dxa"/>
            <w:vAlign w:val="center"/>
          </w:tcPr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023AA7" w:rsidRPr="002C75B8" w:rsidRDefault="00023AA7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023AA7" w:rsidRPr="008540BD" w:rsidTr="00A7768B">
        <w:tc>
          <w:tcPr>
            <w:tcW w:w="2310" w:type="dxa"/>
            <w:vAlign w:val="center"/>
          </w:tcPr>
          <w:p w:rsidR="00023AA7" w:rsidRPr="002C75B8" w:rsidRDefault="00023AA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2310" w:type="dxa"/>
            <w:vAlign w:val="center"/>
          </w:tcPr>
          <w:p w:rsidR="00023AA7" w:rsidRPr="002C75B8" w:rsidRDefault="00023AA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311" w:type="dxa"/>
            <w:vAlign w:val="center"/>
          </w:tcPr>
          <w:p w:rsidR="00023AA7" w:rsidRPr="002C75B8" w:rsidRDefault="00023AA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pemiciosus</w:t>
            </w:r>
            <w:proofErr w:type="spellEnd"/>
          </w:p>
        </w:tc>
        <w:tc>
          <w:tcPr>
            <w:tcW w:w="2311" w:type="dxa"/>
            <w:vAlign w:val="center"/>
          </w:tcPr>
          <w:p w:rsidR="00023AA7" w:rsidRPr="008540BD" w:rsidRDefault="00023AA7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540BD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8540BD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8540BD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023AA7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  <w:r w:rsidRPr="00A072C3">
        <w:rPr>
          <w:b/>
          <w:bCs/>
          <w:sz w:val="22"/>
          <w:lang w:val="en-GB"/>
        </w:rPr>
        <w:lastRenderedPageBreak/>
        <w:t>MAPS AND TRENDS</w:t>
      </w: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  <w:r w:rsidRPr="00A072C3">
        <w:rPr>
          <w:b/>
          <w:bCs/>
          <w:sz w:val="22"/>
          <w:lang w:val="en-GB"/>
        </w:rPr>
        <w:t>Visceral and cutaneous leishmaniasis</w:t>
      </w: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sz w:val="22"/>
          <w:lang w:val="en-GB"/>
        </w:rPr>
      </w:pPr>
      <w:r w:rsidRPr="00A072C3">
        <w:rPr>
          <w:sz w:val="22"/>
          <w:lang w:val="en-GB"/>
        </w:rPr>
        <w:t xml:space="preserve"> Not available</w:t>
      </w:r>
      <w:r>
        <w:rPr>
          <w:sz w:val="22"/>
          <w:lang w:val="en-GB"/>
        </w:rPr>
        <w:t>.</w:t>
      </w: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132715</wp:posOffset>
            </wp:positionV>
            <wp:extent cx="8231505" cy="285877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b/>
          <w:bCs/>
          <w:sz w:val="22"/>
          <w:lang w:val="en-GB"/>
        </w:rPr>
        <w:t>C</w:t>
      </w:r>
      <w:r w:rsidRPr="00A072C3">
        <w:rPr>
          <w:b/>
          <w:bCs/>
          <w:sz w:val="22"/>
          <w:lang w:val="en-GB"/>
        </w:rPr>
        <w:t xml:space="preserve">utaneous </w:t>
      </w:r>
      <w:r>
        <w:rPr>
          <w:b/>
          <w:bCs/>
          <w:sz w:val="22"/>
          <w:lang w:val="en-GB"/>
        </w:rPr>
        <w:t>l</w:t>
      </w:r>
      <w:r w:rsidRPr="00A072C3">
        <w:rPr>
          <w:b/>
          <w:bCs/>
          <w:sz w:val="22"/>
          <w:lang w:val="en-GB"/>
        </w:rPr>
        <w:t>eishmania</w:t>
      </w:r>
      <w:r>
        <w:rPr>
          <w:b/>
          <w:bCs/>
          <w:sz w:val="22"/>
          <w:lang w:val="en-GB"/>
        </w:rPr>
        <w:t>s</w:t>
      </w:r>
      <w:r w:rsidRPr="00A072C3">
        <w:rPr>
          <w:b/>
          <w:bCs/>
          <w:sz w:val="22"/>
          <w:lang w:val="en-GB"/>
        </w:rPr>
        <w:t>is</w:t>
      </w:r>
      <w:r>
        <w:rPr>
          <w:b/>
          <w:bCs/>
          <w:sz w:val="22"/>
          <w:lang w:val="en-GB"/>
        </w:rPr>
        <w:t xml:space="preserve"> trend</w:t>
      </w: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Pr="00A072C3" w:rsidRDefault="00023AA7" w:rsidP="00023AA7">
      <w:pPr>
        <w:ind w:left="0" w:firstLine="0"/>
        <w:rPr>
          <w:b/>
          <w:bCs/>
          <w:sz w:val="22"/>
          <w:lang w:val="en-GB"/>
        </w:rPr>
      </w:pPr>
    </w:p>
    <w:p w:rsidR="00023AA7" w:rsidRDefault="00023AA7" w:rsidP="00023AA7">
      <w:pPr>
        <w:spacing w:line="480" w:lineRule="auto"/>
        <w:ind w:left="0" w:firstLine="0"/>
        <w:rPr>
          <w:b/>
          <w:sz w:val="22"/>
          <w:lang w:val="en-GB"/>
        </w:rPr>
      </w:pPr>
    </w:p>
    <w:p w:rsidR="00023AA7" w:rsidRDefault="00023AA7" w:rsidP="00023AA7">
      <w:pPr>
        <w:spacing w:line="480" w:lineRule="auto"/>
        <w:ind w:left="0" w:firstLine="0"/>
        <w:rPr>
          <w:b/>
          <w:sz w:val="22"/>
          <w:lang w:val="en-GB"/>
        </w:rPr>
      </w:pPr>
    </w:p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t>CONTROL</w:t>
      </w:r>
    </w:p>
    <w:p w:rsidR="00023AA7" w:rsidRPr="002C75B8" w:rsidRDefault="00023AA7" w:rsidP="00023AA7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GB"/>
        </w:rPr>
        <w:t xml:space="preserve">The notification of leishmaniasis </w:t>
      </w:r>
      <w:r>
        <w:rPr>
          <w:bCs/>
          <w:sz w:val="22"/>
          <w:lang w:val="en-GB"/>
        </w:rPr>
        <w:t>has been</w:t>
      </w:r>
      <w:r w:rsidRPr="002C75B8">
        <w:rPr>
          <w:bCs/>
          <w:sz w:val="22"/>
          <w:lang w:val="en-GB"/>
        </w:rPr>
        <w:t xml:space="preserve"> mandatory in the country since 1946; there </w:t>
      </w:r>
      <w:r>
        <w:rPr>
          <w:bCs/>
          <w:sz w:val="22"/>
          <w:lang w:val="en-GB"/>
        </w:rPr>
        <w:t>has been</w:t>
      </w:r>
      <w:r w:rsidRPr="002C75B8">
        <w:rPr>
          <w:bCs/>
          <w:sz w:val="22"/>
          <w:lang w:val="en-GB"/>
        </w:rPr>
        <w:t xml:space="preserve"> a </w:t>
      </w:r>
      <w:r w:rsidRPr="002C75B8">
        <w:rPr>
          <w:bCs/>
          <w:sz w:val="22"/>
          <w:lang w:val="en-US"/>
        </w:rPr>
        <w:t xml:space="preserve">national </w:t>
      </w:r>
      <w:r>
        <w:rPr>
          <w:bCs/>
          <w:sz w:val="22"/>
          <w:lang w:val="en-US"/>
        </w:rPr>
        <w:t>l</w:t>
      </w:r>
      <w:r w:rsidRPr="002C75B8">
        <w:rPr>
          <w:bCs/>
          <w:sz w:val="22"/>
          <w:lang w:val="en-US"/>
        </w:rPr>
        <w:t>eishmaniasis control program since 1971. There is no leishmaniasis vector control program</w:t>
      </w:r>
      <w:r>
        <w:rPr>
          <w:bCs/>
          <w:sz w:val="22"/>
          <w:lang w:val="en-US"/>
        </w:rPr>
        <w:t>, but</w:t>
      </w:r>
      <w:r w:rsidRPr="002C75B8">
        <w:rPr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>t</w:t>
      </w:r>
      <w:r w:rsidRPr="002C75B8">
        <w:rPr>
          <w:bCs/>
          <w:sz w:val="22"/>
          <w:lang w:val="en-US"/>
        </w:rPr>
        <w:t xml:space="preserve">here is a reservoir control program that includes sacrifice of stray dogs and sacrifice or treatment of infected dogs with lifelong </w:t>
      </w:r>
      <w:proofErr w:type="spellStart"/>
      <w:r w:rsidRPr="002C75B8">
        <w:rPr>
          <w:bCs/>
          <w:sz w:val="22"/>
          <w:lang w:val="en-US"/>
        </w:rPr>
        <w:t>allopurinol</w:t>
      </w:r>
      <w:proofErr w:type="spellEnd"/>
      <w:r w:rsidRPr="002C75B8">
        <w:rPr>
          <w:bCs/>
          <w:sz w:val="22"/>
          <w:lang w:val="en-US"/>
        </w:rPr>
        <w:t xml:space="preserve">. </w:t>
      </w:r>
    </w:p>
    <w:p w:rsidR="00023AA7" w:rsidRPr="002C75B8" w:rsidRDefault="00023AA7" w:rsidP="00023AA7">
      <w:pPr>
        <w:spacing w:line="480" w:lineRule="auto"/>
        <w:ind w:left="0" w:firstLine="0"/>
        <w:rPr>
          <w:b/>
          <w:sz w:val="22"/>
          <w:lang w:val="en-US"/>
        </w:rPr>
      </w:pPr>
    </w:p>
    <w:p w:rsidR="00023AA7" w:rsidRPr="002C75B8" w:rsidRDefault="00023AA7" w:rsidP="00023AA7">
      <w:pPr>
        <w:spacing w:line="36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023AA7" w:rsidRPr="002C75B8" w:rsidRDefault="00023AA7" w:rsidP="00023AA7">
      <w:pPr>
        <w:ind w:left="0" w:firstLine="0"/>
        <w:rPr>
          <w:b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  <w:r w:rsidRPr="002C75B8">
        <w:rPr>
          <w:b/>
          <w:sz w:val="22"/>
          <w:lang w:val="en-US"/>
        </w:rPr>
        <w:t xml:space="preserve"> </w:t>
      </w:r>
    </w:p>
    <w:p w:rsidR="00023AA7" w:rsidRPr="00562689" w:rsidRDefault="00023AA7" w:rsidP="00023AA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CL</w:t>
      </w:r>
      <w:r w:rsidRPr="00562689">
        <w:rPr>
          <w:sz w:val="22"/>
          <w:lang w:val="en-US"/>
        </w:rPr>
        <w:t xml:space="preserve">: </w:t>
      </w:r>
      <w:r w:rsidRPr="00562689">
        <w:rPr>
          <w:sz w:val="22"/>
          <w:lang w:val="en-GB"/>
        </w:rPr>
        <w:t>confirmation by m</w:t>
      </w:r>
      <w:proofErr w:type="spellStart"/>
      <w:r>
        <w:rPr>
          <w:sz w:val="22"/>
          <w:lang w:val="en-US"/>
        </w:rPr>
        <w:t>icroscope</w:t>
      </w:r>
      <w:proofErr w:type="spellEnd"/>
      <w:r w:rsidRPr="00562689">
        <w:rPr>
          <w:sz w:val="22"/>
          <w:lang w:val="en-US"/>
        </w:rPr>
        <w:t xml:space="preserve"> examination of skin lesion sample.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 xml:space="preserve">: </w:t>
      </w:r>
      <w:r w:rsidRPr="00562689">
        <w:rPr>
          <w:sz w:val="22"/>
          <w:lang w:val="en-GB"/>
        </w:rPr>
        <w:t>confirmation</w:t>
      </w:r>
      <w:r w:rsidRPr="002C75B8">
        <w:rPr>
          <w:sz w:val="22"/>
          <w:lang w:val="en-GB"/>
        </w:rPr>
        <w:t xml:space="preserve"> by m</w:t>
      </w:r>
      <w:proofErr w:type="spellStart"/>
      <w:r>
        <w:rPr>
          <w:sz w:val="22"/>
          <w:lang w:val="en-US"/>
        </w:rPr>
        <w:t>icroscope</w:t>
      </w:r>
      <w:proofErr w:type="spellEnd"/>
      <w:r w:rsidRPr="002C75B8">
        <w:rPr>
          <w:sz w:val="22"/>
          <w:lang w:val="en-US"/>
        </w:rPr>
        <w:t xml:space="preserve"> examination</w:t>
      </w:r>
      <w:r w:rsidRPr="002C75B8">
        <w:rPr>
          <w:sz w:val="22"/>
          <w:lang w:val="en-GB"/>
        </w:rPr>
        <w:t xml:space="preserve"> of bone marrow or spleen aspirate</w:t>
      </w:r>
      <w:r>
        <w:rPr>
          <w:sz w:val="22"/>
          <w:lang w:val="en-GB"/>
        </w:rPr>
        <w:t>.</w:t>
      </w:r>
      <w:r w:rsidRPr="002C75B8">
        <w:rPr>
          <w:sz w:val="22"/>
          <w:lang w:val="en-GB"/>
        </w:rPr>
        <w:t xml:space="preserve">  </w:t>
      </w:r>
    </w:p>
    <w:p w:rsidR="00023AA7" w:rsidRPr="002C75B8" w:rsidRDefault="00023AA7" w:rsidP="00023AA7">
      <w:pPr>
        <w:ind w:left="0" w:firstLine="0"/>
        <w:rPr>
          <w:b/>
          <w:bCs/>
          <w:sz w:val="22"/>
          <w:lang w:val="en-US"/>
        </w:rPr>
      </w:pPr>
    </w:p>
    <w:p w:rsidR="00023AA7" w:rsidRPr="002C75B8" w:rsidRDefault="00023AA7" w:rsidP="00023AA7">
      <w:pPr>
        <w:ind w:left="0" w:firstLine="0"/>
        <w:rPr>
          <w:b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  <w:r w:rsidRPr="002C75B8">
        <w:rPr>
          <w:b/>
          <w:sz w:val="22"/>
          <w:lang w:val="en-US"/>
        </w:rPr>
        <w:t xml:space="preserve"> </w:t>
      </w:r>
    </w:p>
    <w:p w:rsidR="00023AA7" w:rsidRPr="00562689" w:rsidRDefault="00023AA7" w:rsidP="00023AA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 xml:space="preserve">: antimonials 20 mg </w:t>
      </w:r>
      <w:proofErr w:type="spellStart"/>
      <w:r w:rsidRPr="00562689">
        <w:rPr>
          <w:sz w:val="22"/>
          <w:lang w:val="en-US"/>
        </w:rPr>
        <w:t>Sb</w:t>
      </w:r>
      <w:r w:rsidRPr="00562689">
        <w:rPr>
          <w:sz w:val="22"/>
          <w:vertAlign w:val="superscript"/>
          <w:lang w:val="en-US"/>
        </w:rPr>
        <w:t>v</w:t>
      </w:r>
      <w:proofErr w:type="spellEnd"/>
      <w:r w:rsidRPr="00562689">
        <w:rPr>
          <w:sz w:val="22"/>
          <w:lang w:val="en-US"/>
        </w:rPr>
        <w:t xml:space="preserve">/kg/day for 30 days. Cure rate is 94% in children. Second line therapy is with liposomal amphotericin B. 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CL</w:t>
      </w:r>
      <w:r w:rsidRPr="00562689">
        <w:rPr>
          <w:sz w:val="22"/>
          <w:lang w:val="en-US"/>
        </w:rPr>
        <w:t>: cryotherapy</w:t>
      </w:r>
      <w:r w:rsidRPr="002C75B8">
        <w:rPr>
          <w:sz w:val="22"/>
          <w:lang w:val="en-US"/>
        </w:rPr>
        <w:t>.</w:t>
      </w:r>
    </w:p>
    <w:p w:rsidR="00023AA7" w:rsidRDefault="00023AA7" w:rsidP="00023AA7">
      <w:pPr>
        <w:spacing w:line="360" w:lineRule="auto"/>
        <w:ind w:left="0" w:firstLine="0"/>
        <w:rPr>
          <w:sz w:val="22"/>
          <w:lang w:val="en-US"/>
        </w:rPr>
      </w:pPr>
    </w:p>
    <w:p w:rsidR="00023AA7" w:rsidRPr="002C75B8" w:rsidRDefault="00023AA7" w:rsidP="00023AA7">
      <w:pPr>
        <w:spacing w:line="360" w:lineRule="auto"/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023AA7" w:rsidRPr="002C75B8" w:rsidRDefault="00023AA7" w:rsidP="00023AA7">
      <w:pPr>
        <w:pStyle w:val="NoSpacing1"/>
        <w:rPr>
          <w:rFonts w:ascii="Arial" w:hAnsi="Arial" w:cs="Arial"/>
          <w:lang w:val="en-US"/>
        </w:rPr>
      </w:pPr>
      <w:r w:rsidRPr="002C75B8">
        <w:rPr>
          <w:rFonts w:ascii="Arial" w:hAnsi="Arial" w:cs="Arial"/>
          <w:lang w:val="en-US"/>
        </w:rPr>
        <w:t>All patients are thought to have access to care</w:t>
      </w:r>
      <w:r>
        <w:rPr>
          <w:rFonts w:ascii="Arial" w:hAnsi="Arial" w:cs="Arial"/>
          <w:lang w:val="en-US"/>
        </w:rPr>
        <w:t>.</w:t>
      </w:r>
    </w:p>
    <w:p w:rsidR="00023AA7" w:rsidRDefault="00023AA7" w:rsidP="00023AA7">
      <w:pPr>
        <w:pStyle w:val="NoSpacing1"/>
        <w:jc w:val="both"/>
        <w:rPr>
          <w:rFonts w:ascii="Arial" w:hAnsi="Arial" w:cs="Arial"/>
        </w:rPr>
      </w:pPr>
    </w:p>
    <w:p w:rsidR="00023AA7" w:rsidRDefault="00023AA7" w:rsidP="00023AA7">
      <w:pPr>
        <w:pStyle w:val="NoSpacing1"/>
        <w:jc w:val="both"/>
        <w:rPr>
          <w:rFonts w:ascii="Arial" w:hAnsi="Arial" w:cs="Arial"/>
        </w:rPr>
      </w:pPr>
    </w:p>
    <w:p w:rsidR="00023AA7" w:rsidRPr="002C75B8" w:rsidRDefault="00023AA7" w:rsidP="00023AA7">
      <w:pPr>
        <w:pStyle w:val="NoSpacing1"/>
        <w:jc w:val="both"/>
        <w:rPr>
          <w:rFonts w:ascii="Arial" w:hAnsi="Arial" w:cs="Arial"/>
        </w:rPr>
      </w:pPr>
    </w:p>
    <w:p w:rsidR="00023AA7" w:rsidRPr="002C75B8" w:rsidRDefault="00023AA7" w:rsidP="00023AA7">
      <w:pPr>
        <w:pStyle w:val="NoSpacing1"/>
        <w:jc w:val="both"/>
        <w:rPr>
          <w:rFonts w:ascii="Arial" w:hAnsi="Arial" w:cs="Arial"/>
          <w:b/>
        </w:rPr>
      </w:pPr>
      <w:r w:rsidRPr="002C75B8">
        <w:rPr>
          <w:rFonts w:ascii="Arial" w:hAnsi="Arial" w:cs="Arial"/>
          <w:b/>
        </w:rPr>
        <w:t>ACCESS TO DRUGS</w:t>
      </w:r>
    </w:p>
    <w:p w:rsidR="00023AA7" w:rsidRPr="002C75B8" w:rsidRDefault="00023AA7" w:rsidP="00023AA7">
      <w:pPr>
        <w:pStyle w:val="NoSpacing1"/>
        <w:jc w:val="both"/>
        <w:rPr>
          <w:rFonts w:ascii="Arial" w:hAnsi="Arial" w:cs="Arial"/>
          <w:b/>
        </w:rPr>
      </w:pPr>
      <w:r w:rsidRPr="002C75B8">
        <w:rPr>
          <w:rFonts w:ascii="Arial" w:hAnsi="Arial" w:cs="Arial"/>
          <w:b/>
        </w:rPr>
        <w:t xml:space="preserve"> </w:t>
      </w:r>
    </w:p>
    <w:p w:rsidR="00023AA7" w:rsidRPr="002C75B8" w:rsidRDefault="00023AA7" w:rsidP="00023AA7">
      <w:pPr>
        <w:ind w:left="0" w:firstLine="0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>A</w:t>
      </w:r>
      <w:r w:rsidRPr="002C75B8">
        <w:rPr>
          <w:rFonts w:eastAsia="Times New Roman"/>
          <w:sz w:val="22"/>
          <w:lang w:val="en-US"/>
        </w:rPr>
        <w:t>ntimonials</w:t>
      </w:r>
      <w:r>
        <w:rPr>
          <w:rFonts w:eastAsia="Times New Roman"/>
          <w:sz w:val="22"/>
          <w:lang w:val="en-US"/>
        </w:rPr>
        <w:t xml:space="preserve"> are not</w:t>
      </w:r>
      <w:r w:rsidRPr="002C75B8">
        <w:rPr>
          <w:rFonts w:eastAsia="Times New Roman"/>
          <w:sz w:val="22"/>
          <w:lang w:val="en-US"/>
        </w:rPr>
        <w:t xml:space="preserve">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rFonts w:eastAsia="Times New Roman"/>
              <w:sz w:val="22"/>
              <w:lang w:val="en-US"/>
            </w:rPr>
            <w:t>Malta</w:t>
          </w:r>
        </w:smartTag>
      </w:smartTag>
      <w:r w:rsidRPr="002C75B8">
        <w:rPr>
          <w:rFonts w:eastAsia="Times New Roman"/>
          <w:sz w:val="22"/>
          <w:lang w:val="en-US"/>
        </w:rPr>
        <w:t xml:space="preserve">. Sodium stibogluconate (Pentostam, GSK) is used for treatment of VL. </w:t>
      </w:r>
    </w:p>
    <w:p w:rsidR="00023AA7" w:rsidRDefault="00023AA7" w:rsidP="00023AA7">
      <w:pPr>
        <w:spacing w:line="360" w:lineRule="auto"/>
        <w:ind w:left="0" w:firstLine="0"/>
        <w:rPr>
          <w:bCs/>
          <w:sz w:val="22"/>
          <w:lang w:val="en-US"/>
        </w:rPr>
      </w:pPr>
    </w:p>
    <w:p w:rsidR="00023AA7" w:rsidRDefault="00023AA7" w:rsidP="00023AA7">
      <w:pPr>
        <w:spacing w:line="360" w:lineRule="auto"/>
        <w:ind w:left="0"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S</w:t>
      </w:r>
      <w:r w:rsidRPr="002C75B8">
        <w:rPr>
          <w:b/>
          <w:sz w:val="22"/>
          <w:lang w:val="en-US"/>
        </w:rPr>
        <w:t>OURCES OF INFORMATION</w:t>
      </w:r>
    </w:p>
    <w:p w:rsidR="00023AA7" w:rsidRDefault="00023AA7" w:rsidP="00023AA7">
      <w:pPr>
        <w:spacing w:line="360" w:lineRule="auto"/>
        <w:ind w:left="0" w:firstLine="0"/>
        <w:rPr>
          <w:b/>
          <w:sz w:val="22"/>
          <w:lang w:val="en-US"/>
        </w:rPr>
      </w:pPr>
    </w:p>
    <w:p w:rsidR="00023AA7" w:rsidRDefault="00023AA7" w:rsidP="00023AA7">
      <w:pPr>
        <w:ind w:left="0" w:firstLine="0"/>
        <w:rPr>
          <w:sz w:val="22"/>
          <w:lang w:val="en-US"/>
        </w:rPr>
      </w:pPr>
      <w:r w:rsidRPr="008666E4">
        <w:rPr>
          <w:sz w:val="22"/>
          <w:lang w:val="en-US"/>
        </w:rPr>
        <w:t xml:space="preserve">1. </w:t>
      </w:r>
      <w:proofErr w:type="spellStart"/>
      <w:r w:rsidRPr="008666E4">
        <w:rPr>
          <w:sz w:val="22"/>
          <w:lang w:val="en-US"/>
        </w:rPr>
        <w:t>Critien</w:t>
      </w:r>
      <w:proofErr w:type="spellEnd"/>
      <w:r w:rsidRPr="008666E4">
        <w:rPr>
          <w:sz w:val="22"/>
          <w:lang w:val="en-US"/>
        </w:rPr>
        <w:t xml:space="preserve"> A</w:t>
      </w:r>
      <w:r>
        <w:rPr>
          <w:sz w:val="22"/>
          <w:lang w:val="en-US"/>
        </w:rPr>
        <w:t xml:space="preserve"> (1911)</w:t>
      </w:r>
      <w:r w:rsidRPr="008666E4">
        <w:rPr>
          <w:sz w:val="22"/>
          <w:lang w:val="en-US"/>
        </w:rPr>
        <w:t xml:space="preserve">. </w:t>
      </w:r>
      <w:proofErr w:type="gramStart"/>
      <w:r w:rsidRPr="008666E4">
        <w:rPr>
          <w:sz w:val="22"/>
          <w:lang w:val="en-US"/>
        </w:rPr>
        <w:t xml:space="preserve">Infantile leishmaniasis in </w:t>
      </w:r>
      <w:smartTag w:uri="urn:schemas-microsoft-com:office:smarttags" w:element="place">
        <w:smartTag w:uri="urn:schemas-microsoft-com:office:smarttags" w:element="country-region">
          <w:r w:rsidRPr="008666E4">
            <w:rPr>
              <w:sz w:val="22"/>
              <w:lang w:val="en-US"/>
            </w:rPr>
            <w:t>Malta</w:t>
          </w:r>
        </w:smartTag>
      </w:smartTag>
      <w:r w:rsidRPr="008666E4">
        <w:rPr>
          <w:sz w:val="22"/>
          <w:lang w:val="en-US"/>
        </w:rPr>
        <w:t>.</w:t>
      </w:r>
      <w:proofErr w:type="gramEnd"/>
      <w:r w:rsidRPr="008666E4"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Ann </w:t>
      </w:r>
      <w:proofErr w:type="spellStart"/>
      <w:r w:rsidRPr="002C75B8">
        <w:rPr>
          <w:sz w:val="22"/>
          <w:lang w:val="en-US"/>
        </w:rPr>
        <w:t>Trop</w:t>
      </w:r>
      <w:proofErr w:type="spellEnd"/>
      <w:r w:rsidRPr="002C75B8">
        <w:rPr>
          <w:sz w:val="22"/>
          <w:lang w:val="en-US"/>
        </w:rPr>
        <w:t xml:space="preserve"> Med </w:t>
      </w:r>
      <w:proofErr w:type="spellStart"/>
      <w:r w:rsidRPr="002C75B8">
        <w:rPr>
          <w:sz w:val="22"/>
          <w:lang w:val="en-US"/>
        </w:rPr>
        <w:t>Parasitol</w:t>
      </w:r>
      <w:proofErr w:type="spellEnd"/>
      <w:r w:rsidRPr="002C75B8">
        <w:rPr>
          <w:sz w:val="22"/>
          <w:lang w:val="en-US"/>
        </w:rPr>
        <w:t xml:space="preserve"> 1911</w:t>
      </w:r>
      <w:proofErr w:type="gramStart"/>
      <w:r w:rsidRPr="002C75B8">
        <w:rPr>
          <w:sz w:val="22"/>
          <w:lang w:val="en-US"/>
        </w:rPr>
        <w:t>;5:37</w:t>
      </w:r>
      <w:proofErr w:type="gramEnd"/>
      <w:r w:rsidRPr="002C75B8">
        <w:rPr>
          <w:sz w:val="22"/>
          <w:lang w:val="en-US"/>
        </w:rPr>
        <w:t>.</w:t>
      </w:r>
    </w:p>
    <w:p w:rsidR="00023AA7" w:rsidRPr="002C75B8" w:rsidRDefault="00023AA7" w:rsidP="00023AA7">
      <w:pPr>
        <w:ind w:left="0" w:firstLine="0"/>
        <w:rPr>
          <w:sz w:val="22"/>
          <w:lang w:val="en-US"/>
        </w:rPr>
      </w:pPr>
    </w:p>
    <w:p w:rsidR="00023AA7" w:rsidRDefault="00023AA7" w:rsidP="00023AA7">
      <w:pPr>
        <w:ind w:left="0" w:firstLine="0"/>
        <w:outlineLvl w:val="0"/>
        <w:rPr>
          <w:rFonts w:eastAsia="Times New Roman"/>
          <w:bCs/>
          <w:color w:val="000000"/>
          <w:kern w:val="36"/>
          <w:sz w:val="22"/>
          <w:lang w:val="en-GB" w:eastAsia="es-ES"/>
        </w:rPr>
      </w:pPr>
      <w:r w:rsidRPr="00CD6770">
        <w:rPr>
          <w:rFonts w:eastAsia="Times New Roman"/>
          <w:bCs/>
          <w:color w:val="000000"/>
          <w:kern w:val="36"/>
          <w:sz w:val="22"/>
          <w:lang w:val="en-US" w:eastAsia="es-ES"/>
        </w:rPr>
        <w:t xml:space="preserve">2. </w:t>
      </w:r>
      <w:hyperlink r:id="rId7" w:history="1">
        <w:proofErr w:type="spellStart"/>
        <w:r w:rsidRPr="00CD046F">
          <w:rPr>
            <w:rStyle w:val="Hyperlink"/>
            <w:bCs/>
            <w:color w:val="000000"/>
            <w:kern w:val="36"/>
            <w:sz w:val="22"/>
            <w:lang w:val="en-US" w:eastAsia="es-ES"/>
          </w:rPr>
          <w:t>Fenech</w:t>
        </w:r>
        <w:proofErr w:type="spellEnd"/>
        <w:r w:rsidRPr="00CD046F">
          <w:rPr>
            <w:rStyle w:val="Hyperlink"/>
            <w:bCs/>
            <w:color w:val="000000"/>
            <w:kern w:val="36"/>
            <w:sz w:val="22"/>
            <w:lang w:val="en-US" w:eastAsia="es-ES"/>
          </w:rPr>
          <w:t xml:space="preserve"> FF</w:t>
        </w:r>
      </w:hyperlink>
      <w:r>
        <w:rPr>
          <w:rFonts w:eastAsia="Times New Roman"/>
          <w:bCs/>
          <w:color w:val="000000"/>
          <w:kern w:val="36"/>
          <w:sz w:val="22"/>
          <w:lang w:val="en-US" w:eastAsia="es-ES"/>
        </w:rPr>
        <w:t xml:space="preserve"> (1997)</w:t>
      </w:r>
      <w:r w:rsidRPr="00CD046F">
        <w:rPr>
          <w:rFonts w:eastAsia="Times New Roman"/>
          <w:bCs/>
          <w:color w:val="000000"/>
          <w:kern w:val="36"/>
          <w:sz w:val="22"/>
          <w:lang w:val="en-US" w:eastAsia="es-ES"/>
        </w:rPr>
        <w:t xml:space="preserve">. </w:t>
      </w:r>
      <w:proofErr w:type="gramStart"/>
      <w:r w:rsidRPr="00CD046F">
        <w:rPr>
          <w:rFonts w:eastAsia="Times New Roman"/>
          <w:bCs/>
          <w:color w:val="000000"/>
          <w:kern w:val="36"/>
          <w:sz w:val="22"/>
          <w:lang w:val="en-US" w:eastAsia="es-ES"/>
        </w:rPr>
        <w:t>Leishmaniasis in Malta and the Mediterranean basin.</w:t>
      </w:r>
      <w:proofErr w:type="gramEnd"/>
      <w:r w:rsidRPr="00CD046F">
        <w:rPr>
          <w:rFonts w:eastAsia="Times New Roman"/>
          <w:bCs/>
          <w:color w:val="000000"/>
          <w:kern w:val="36"/>
          <w:sz w:val="22"/>
          <w:lang w:val="en-US" w:eastAsia="es-ES"/>
        </w:rPr>
        <w:t xml:space="preserve"> </w:t>
      </w:r>
      <w:hyperlink r:id="rId8" w:tooltip="Search for Annals of Tropical Medicine &amp; Parasitology" w:history="1">
        <w:r w:rsidRPr="00CD046F">
          <w:rPr>
            <w:rStyle w:val="Hyperlink"/>
            <w:bCs/>
            <w:color w:val="000000"/>
            <w:kern w:val="36"/>
            <w:sz w:val="22"/>
            <w:lang w:val="en-GB" w:eastAsia="es-ES"/>
          </w:rPr>
          <w:t xml:space="preserve">Annals of </w:t>
        </w:r>
        <w:proofErr w:type="spellStart"/>
        <w:r w:rsidRPr="00CD046F">
          <w:rPr>
            <w:rStyle w:val="Hyperlink"/>
            <w:bCs/>
            <w:color w:val="000000"/>
            <w:kern w:val="36"/>
            <w:sz w:val="22"/>
            <w:lang w:val="en-GB" w:eastAsia="es-ES"/>
          </w:rPr>
          <w:t>Trop</w:t>
        </w:r>
        <w:proofErr w:type="spellEnd"/>
        <w:r w:rsidRPr="00CD046F">
          <w:rPr>
            <w:rStyle w:val="Hyperlink"/>
            <w:bCs/>
            <w:color w:val="000000"/>
            <w:kern w:val="36"/>
            <w:sz w:val="22"/>
            <w:lang w:val="en-GB" w:eastAsia="es-ES"/>
          </w:rPr>
          <w:t xml:space="preserve"> Med</w:t>
        </w:r>
        <w:r>
          <w:rPr>
            <w:rStyle w:val="Hyperlink"/>
            <w:bCs/>
            <w:color w:val="000000"/>
            <w:kern w:val="36"/>
            <w:sz w:val="22"/>
            <w:lang w:val="en-GB" w:eastAsia="es-ES"/>
          </w:rPr>
          <w:t xml:space="preserve"> </w:t>
        </w:r>
        <w:proofErr w:type="spellStart"/>
        <w:r w:rsidRPr="00CD046F">
          <w:rPr>
            <w:rStyle w:val="Hyperlink"/>
            <w:bCs/>
            <w:color w:val="000000"/>
            <w:kern w:val="36"/>
            <w:sz w:val="22"/>
            <w:lang w:val="en-GB" w:eastAsia="es-ES"/>
          </w:rPr>
          <w:t>Parasitology</w:t>
        </w:r>
        <w:proofErr w:type="spellEnd"/>
      </w:hyperlink>
      <w:r>
        <w:rPr>
          <w:rFonts w:eastAsia="Times New Roman"/>
          <w:bCs/>
          <w:color w:val="000000"/>
          <w:kern w:val="36"/>
          <w:sz w:val="22"/>
          <w:lang w:val="en-GB" w:eastAsia="es-ES"/>
        </w:rPr>
        <w:t xml:space="preserve"> </w:t>
      </w:r>
      <w:r w:rsidRPr="00CD046F">
        <w:rPr>
          <w:rFonts w:eastAsia="Times New Roman"/>
          <w:bCs/>
          <w:color w:val="000000"/>
          <w:kern w:val="36"/>
          <w:sz w:val="22"/>
          <w:lang w:val="en-GB" w:eastAsia="es-ES"/>
        </w:rPr>
        <w:t>91</w:t>
      </w:r>
      <w:r>
        <w:rPr>
          <w:rFonts w:eastAsia="Times New Roman"/>
          <w:bCs/>
          <w:color w:val="000000"/>
          <w:kern w:val="36"/>
          <w:sz w:val="22"/>
          <w:lang w:val="en-GB" w:eastAsia="es-ES"/>
        </w:rPr>
        <w:t>(7):</w:t>
      </w:r>
      <w:r w:rsidRPr="00CD046F">
        <w:rPr>
          <w:rFonts w:eastAsia="Times New Roman"/>
          <w:bCs/>
          <w:color w:val="000000"/>
          <w:kern w:val="36"/>
          <w:sz w:val="22"/>
          <w:lang w:val="en-GB" w:eastAsia="es-ES"/>
        </w:rPr>
        <w:t>747-8.</w:t>
      </w:r>
    </w:p>
    <w:p w:rsidR="00023AA7" w:rsidRPr="00CD046F" w:rsidRDefault="00023AA7" w:rsidP="00023AA7">
      <w:pPr>
        <w:ind w:left="0" w:firstLine="0"/>
        <w:outlineLvl w:val="0"/>
        <w:rPr>
          <w:rFonts w:eastAsia="Times New Roman"/>
          <w:bCs/>
          <w:color w:val="000000"/>
          <w:kern w:val="36"/>
          <w:sz w:val="22"/>
          <w:lang w:val="en-GB" w:eastAsia="es-ES"/>
        </w:rPr>
      </w:pPr>
    </w:p>
    <w:p w:rsidR="00023AA7" w:rsidRDefault="00023AA7" w:rsidP="00023AA7">
      <w:pPr>
        <w:ind w:left="0" w:firstLine="0"/>
        <w:outlineLvl w:val="0"/>
        <w:rPr>
          <w:rFonts w:eastAsia="Times New Roman"/>
          <w:sz w:val="22"/>
          <w:lang w:val="en-US"/>
        </w:rPr>
      </w:pPr>
      <w:r>
        <w:rPr>
          <w:rFonts w:eastAsia="Times New Roman"/>
          <w:sz w:val="22"/>
          <w:lang w:val="en-US"/>
        </w:rPr>
        <w:t xml:space="preserve">3. </w:t>
      </w:r>
      <w:proofErr w:type="spellStart"/>
      <w:r w:rsidRPr="002C75B8">
        <w:rPr>
          <w:rFonts w:eastAsia="Times New Roman"/>
          <w:sz w:val="22"/>
          <w:lang w:val="en-US"/>
        </w:rPr>
        <w:t>Grech</w:t>
      </w:r>
      <w:proofErr w:type="spellEnd"/>
      <w:r w:rsidRPr="002C75B8">
        <w:rPr>
          <w:rFonts w:eastAsia="Times New Roman"/>
          <w:sz w:val="22"/>
          <w:lang w:val="en-US"/>
        </w:rPr>
        <w:t xml:space="preserve"> V</w:t>
      </w:r>
      <w:r>
        <w:rPr>
          <w:rFonts w:eastAsia="Times New Roman"/>
          <w:sz w:val="22"/>
          <w:lang w:val="en-US"/>
        </w:rPr>
        <w:t>,</w:t>
      </w:r>
      <w:r w:rsidRPr="002C75B8">
        <w:rPr>
          <w:rFonts w:eastAsia="Times New Roman"/>
          <w:sz w:val="22"/>
          <w:lang w:val="en-US"/>
        </w:rPr>
        <w:t xml:space="preserve"> et al</w:t>
      </w:r>
      <w:r>
        <w:rPr>
          <w:rFonts w:eastAsia="Times New Roman"/>
          <w:sz w:val="22"/>
          <w:lang w:val="en-US"/>
        </w:rPr>
        <w:t xml:space="preserve"> (2000).</w:t>
      </w:r>
      <w:r w:rsidRPr="002C75B8">
        <w:rPr>
          <w:rFonts w:eastAsia="Times New Roman"/>
          <w:sz w:val="22"/>
          <w:lang w:val="en-US"/>
        </w:rPr>
        <w:t xml:space="preserve"> Visceral leishmaniasis in Malta—an 18 year </w:t>
      </w:r>
      <w:proofErr w:type="spellStart"/>
      <w:r w:rsidRPr="002C75B8">
        <w:rPr>
          <w:rFonts w:eastAsia="Times New Roman"/>
          <w:sz w:val="22"/>
          <w:lang w:val="en-US"/>
        </w:rPr>
        <w:t>paediatric</w:t>
      </w:r>
      <w:proofErr w:type="spellEnd"/>
      <w:r w:rsidRPr="002C75B8">
        <w:rPr>
          <w:rFonts w:eastAsia="Times New Roman"/>
          <w:sz w:val="22"/>
          <w:lang w:val="en-US"/>
        </w:rPr>
        <w:t xml:space="preserve">, population based study. </w:t>
      </w:r>
      <w:r w:rsidRPr="002C75B8">
        <w:rPr>
          <w:rFonts w:eastAsia="Times New Roman"/>
          <w:iCs/>
          <w:sz w:val="22"/>
          <w:lang w:val="en-US"/>
        </w:rPr>
        <w:t xml:space="preserve">Arch </w:t>
      </w:r>
      <w:proofErr w:type="spellStart"/>
      <w:r w:rsidRPr="002C75B8">
        <w:rPr>
          <w:rFonts w:eastAsia="Times New Roman"/>
          <w:iCs/>
          <w:sz w:val="22"/>
          <w:lang w:val="en-US"/>
        </w:rPr>
        <w:t>Dis</w:t>
      </w:r>
      <w:proofErr w:type="spellEnd"/>
      <w:r w:rsidRPr="002C75B8">
        <w:rPr>
          <w:rFonts w:eastAsia="Times New Roman"/>
          <w:iCs/>
          <w:sz w:val="22"/>
          <w:lang w:val="en-US"/>
        </w:rPr>
        <w:t xml:space="preserve"> Child</w:t>
      </w:r>
      <w:r>
        <w:rPr>
          <w:rFonts w:eastAsia="Times New Roman"/>
          <w:sz w:val="22"/>
          <w:lang w:val="en-US"/>
        </w:rPr>
        <w:t xml:space="preserve"> </w:t>
      </w:r>
      <w:r w:rsidRPr="002C75B8">
        <w:rPr>
          <w:rFonts w:eastAsia="Times New Roman"/>
          <w:bCs/>
          <w:sz w:val="22"/>
          <w:lang w:val="en-US"/>
        </w:rPr>
        <w:t>82</w:t>
      </w:r>
      <w:r w:rsidRPr="002C75B8">
        <w:rPr>
          <w:rFonts w:eastAsia="Times New Roman"/>
          <w:sz w:val="22"/>
          <w:lang w:val="en-US"/>
        </w:rPr>
        <w:t>:381–385</w:t>
      </w:r>
      <w:r>
        <w:rPr>
          <w:rFonts w:eastAsia="Times New Roman"/>
          <w:sz w:val="22"/>
          <w:lang w:val="en-US"/>
        </w:rPr>
        <w:t>.</w:t>
      </w:r>
    </w:p>
    <w:p w:rsidR="00023AA7" w:rsidRPr="002C75B8" w:rsidRDefault="00023AA7" w:rsidP="00023AA7">
      <w:pPr>
        <w:ind w:left="0" w:firstLine="0"/>
        <w:outlineLvl w:val="0"/>
        <w:rPr>
          <w:rFonts w:eastAsia="Times New Roman"/>
          <w:sz w:val="22"/>
          <w:lang w:val="en-US"/>
        </w:rPr>
      </w:pPr>
    </w:p>
    <w:p w:rsidR="00023AA7" w:rsidRDefault="00023AA7" w:rsidP="00023AA7">
      <w:pPr>
        <w:ind w:left="0" w:firstLine="0"/>
        <w:outlineLvl w:val="0"/>
        <w:rPr>
          <w:rFonts w:eastAsia="Times New Roman"/>
          <w:bCs/>
          <w:kern w:val="36"/>
          <w:sz w:val="22"/>
          <w:lang w:val="en-US" w:eastAsia="es-ES"/>
        </w:rPr>
      </w:pPr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4. </w:t>
      </w:r>
      <w:proofErr w:type="spellStart"/>
      <w:r w:rsidRPr="005B3AA4">
        <w:rPr>
          <w:rFonts w:eastAsia="Times New Roman"/>
          <w:bCs/>
          <w:kern w:val="36"/>
          <w:sz w:val="22"/>
          <w:lang w:val="en-GB" w:eastAsia="es-ES"/>
        </w:rPr>
        <w:t>Vella</w:t>
      </w:r>
      <w:proofErr w:type="spellEnd"/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 C, </w:t>
      </w:r>
      <w:proofErr w:type="spellStart"/>
      <w:r w:rsidRPr="005B3AA4">
        <w:rPr>
          <w:rFonts w:eastAsia="Times New Roman"/>
          <w:bCs/>
          <w:kern w:val="36"/>
          <w:sz w:val="22"/>
          <w:lang w:val="en-GB" w:eastAsia="es-ES"/>
        </w:rPr>
        <w:t>Grech</w:t>
      </w:r>
      <w:proofErr w:type="spellEnd"/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 V</w:t>
      </w:r>
      <w:r>
        <w:rPr>
          <w:rFonts w:eastAsia="Times New Roman"/>
          <w:bCs/>
          <w:kern w:val="36"/>
          <w:sz w:val="22"/>
          <w:lang w:val="en-GB" w:eastAsia="es-ES"/>
        </w:rPr>
        <w:t xml:space="preserve"> (2008)</w:t>
      </w:r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. </w:t>
      </w:r>
      <w:proofErr w:type="gramStart"/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Declining visceral leishmaniasis in </w:t>
      </w:r>
      <w:smartTag w:uri="urn:schemas-microsoft-com:office:smarttags" w:element="place">
        <w:smartTag w:uri="urn:schemas-microsoft-com:office:smarttags" w:element="country-region">
          <w:r w:rsidRPr="005B3AA4">
            <w:rPr>
              <w:rFonts w:eastAsia="Times New Roman"/>
              <w:bCs/>
              <w:kern w:val="36"/>
              <w:sz w:val="22"/>
              <w:lang w:val="en-GB" w:eastAsia="es-ES"/>
            </w:rPr>
            <w:t>Malta</w:t>
          </w:r>
        </w:smartTag>
      </w:smartTag>
      <w:r w:rsidRPr="005B3AA4">
        <w:rPr>
          <w:rFonts w:eastAsia="Times New Roman"/>
          <w:bCs/>
          <w:kern w:val="36"/>
          <w:sz w:val="22"/>
          <w:lang w:val="en-GB" w:eastAsia="es-ES"/>
        </w:rPr>
        <w:t>.</w:t>
      </w:r>
      <w:proofErr w:type="gramEnd"/>
      <w:r w:rsidRPr="005B3AA4">
        <w:rPr>
          <w:rFonts w:eastAsia="Times New Roman"/>
          <w:bCs/>
          <w:kern w:val="36"/>
          <w:sz w:val="22"/>
          <w:lang w:val="en-GB" w:eastAsia="es-ES"/>
        </w:rPr>
        <w:t xml:space="preserve"> </w:t>
      </w:r>
      <w:r w:rsidRPr="00CD046F">
        <w:rPr>
          <w:bCs/>
          <w:sz w:val="22"/>
          <w:lang w:val="en-US"/>
        </w:rPr>
        <w:t>Malta Medical Journal</w:t>
      </w:r>
      <w:r>
        <w:rPr>
          <w:sz w:val="22"/>
          <w:lang w:val="en-US"/>
        </w:rPr>
        <w:t xml:space="preserve"> </w:t>
      </w:r>
      <w:r w:rsidRPr="00CD046F">
        <w:rPr>
          <w:sz w:val="22"/>
          <w:lang w:val="en-US"/>
        </w:rPr>
        <w:t>20</w:t>
      </w:r>
      <w:r>
        <w:rPr>
          <w:sz w:val="22"/>
          <w:lang w:val="en-US"/>
        </w:rPr>
        <w:t xml:space="preserve"> (1):</w:t>
      </w:r>
      <w:r w:rsidRPr="00CD046F">
        <w:rPr>
          <w:sz w:val="22"/>
          <w:lang w:val="en-US"/>
        </w:rPr>
        <w:t>25-8.</w:t>
      </w:r>
      <w:r w:rsidRPr="00CD046F">
        <w:rPr>
          <w:rFonts w:eastAsia="Times New Roman"/>
          <w:bCs/>
          <w:kern w:val="36"/>
          <w:sz w:val="22"/>
          <w:lang w:val="en-US" w:eastAsia="es-ES"/>
        </w:rPr>
        <w:t xml:space="preserve"> </w:t>
      </w:r>
    </w:p>
    <w:p w:rsidR="00023AA7" w:rsidRPr="00CD046F" w:rsidRDefault="00023AA7" w:rsidP="00023AA7">
      <w:pPr>
        <w:ind w:left="0" w:firstLine="0"/>
        <w:outlineLvl w:val="0"/>
        <w:rPr>
          <w:rFonts w:eastAsia="Times New Roman"/>
          <w:bCs/>
          <w:kern w:val="36"/>
          <w:sz w:val="22"/>
          <w:lang w:val="en-US" w:eastAsia="es-ES"/>
        </w:rPr>
      </w:pPr>
    </w:p>
    <w:p w:rsidR="00023AA7" w:rsidRPr="00AE20E1" w:rsidRDefault="00023AA7" w:rsidP="00023AA7">
      <w:pPr>
        <w:ind w:left="0" w:firstLine="0"/>
        <w:rPr>
          <w:sz w:val="22"/>
          <w:lang w:val="en-US"/>
        </w:rPr>
      </w:pPr>
      <w:r>
        <w:rPr>
          <w:rFonts w:eastAsia="Times New Roman"/>
          <w:sz w:val="22"/>
          <w:lang w:val="en-US"/>
        </w:rPr>
        <w:t xml:space="preserve">5. </w:t>
      </w:r>
      <w:r>
        <w:rPr>
          <w:sz w:val="22"/>
          <w:lang w:val="en-US"/>
        </w:rPr>
        <w:t>Desjeux P</w:t>
      </w:r>
      <w:r w:rsidRPr="00AE20E1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 w:rsidRPr="00AE20E1">
        <w:rPr>
          <w:sz w:val="22"/>
          <w:lang w:val="en-US"/>
        </w:rPr>
        <w:t>1991</w:t>
      </w:r>
      <w:r>
        <w:rPr>
          <w:sz w:val="22"/>
          <w:lang w:val="en-US"/>
        </w:rPr>
        <w:t>).</w:t>
      </w:r>
      <w:r w:rsidRPr="00AE20E1">
        <w:rPr>
          <w:sz w:val="22"/>
          <w:lang w:val="en-US"/>
        </w:rPr>
        <w:t xml:space="preserve"> </w:t>
      </w:r>
      <w:proofErr w:type="gramStart"/>
      <w:r w:rsidRPr="00AE20E1">
        <w:rPr>
          <w:sz w:val="22"/>
          <w:lang w:val="en-US"/>
        </w:rPr>
        <w:t>Information on the epidemiology and control of the leishmaniases by country or territory.</w:t>
      </w:r>
      <w:proofErr w:type="gramEnd"/>
      <w:r w:rsidRPr="00AE20E1">
        <w:rPr>
          <w:sz w:val="22"/>
          <w:lang w:val="en-US"/>
        </w:rPr>
        <w:t xml:space="preserve"> </w:t>
      </w:r>
      <w:proofErr w:type="gramStart"/>
      <w:r w:rsidRPr="00AE20E1">
        <w:rPr>
          <w:sz w:val="22"/>
          <w:lang w:val="en-US"/>
        </w:rPr>
        <w:t>World Health Organization.</w:t>
      </w:r>
      <w:proofErr w:type="gramEnd"/>
      <w:r w:rsidRPr="00AE20E1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023AA7" w:rsidRPr="002C75B8" w:rsidRDefault="00023AA7" w:rsidP="00023AA7">
      <w:pPr>
        <w:spacing w:before="90" w:after="90" w:line="270" w:lineRule="atLeast"/>
        <w:ind w:left="0" w:firstLine="0"/>
        <w:outlineLvl w:val="0"/>
        <w:rPr>
          <w:rFonts w:eastAsia="Times New Roman"/>
          <w:sz w:val="22"/>
          <w:lang w:val="en-US"/>
        </w:rPr>
      </w:pPr>
    </w:p>
    <w:p w:rsidR="002F7C1A" w:rsidRDefault="002F7C1A" w:rsidP="00023AA7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AA7"/>
    <w:rsid w:val="000028F1"/>
    <w:rsid w:val="00010242"/>
    <w:rsid w:val="00023AA7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56FCE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A7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023A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023AA7"/>
    <w:rPr>
      <w:color w:val="0000FF"/>
      <w:u w:val="single"/>
    </w:rPr>
  </w:style>
  <w:style w:type="paragraph" w:customStyle="1" w:styleId="NoSpacing1">
    <w:name w:val="No Spacing1"/>
    <w:qFormat/>
    <w:rsid w:val="00023AA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A7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mdb%7E%7Eaph%7C%7Cjdb%7E%7Eaphjnh%7C%7Css%7E%7EJN%20%22Annals%20of%20Tropical%20Medicine%20%26%20Parasitology%22%7C%7Csl%7E%7Ejh',''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Fenech%20FF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786885245901641E-2"/>
          <c:y val="5.5172413793103468E-2"/>
          <c:w val="0.95550351288056201"/>
          <c:h val="0.813793103448276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66CC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Sheet1!$B$1:$AA$1</c:f>
              <c:numCache>
                <c:formatCode>General</c:formatCode>
                <c:ptCount val="26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</c:numCache>
            </c:num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9</c:v>
                </c:pt>
                <c:pt idx="1">
                  <c:v>18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  <c:pt idx="6">
                  <c:v>8</c:v>
                </c:pt>
                <c:pt idx="7">
                  <c:v>6</c:v>
                </c:pt>
                <c:pt idx="8">
                  <c:v>16</c:v>
                </c:pt>
                <c:pt idx="9">
                  <c:v>14</c:v>
                </c:pt>
                <c:pt idx="10">
                  <c:v>15</c:v>
                </c:pt>
                <c:pt idx="11">
                  <c:v>13</c:v>
                </c:pt>
                <c:pt idx="12">
                  <c:v>10</c:v>
                </c:pt>
                <c:pt idx="13">
                  <c:v>2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6</c:v>
                </c:pt>
                <c:pt idx="19">
                  <c:v>8</c:v>
                </c:pt>
                <c:pt idx="20">
                  <c:v>7</c:v>
                </c:pt>
                <c:pt idx="21">
                  <c:v>5</c:v>
                </c:pt>
                <c:pt idx="22">
                  <c:v>0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</c:numCache>
            </c:numRef>
          </c:val>
        </c:ser>
        <c:gapDepth val="0"/>
        <c:shape val="box"/>
        <c:axId val="571779328"/>
        <c:axId val="572837888"/>
        <c:axId val="0"/>
      </c:bar3DChart>
      <c:catAx>
        <c:axId val="57177932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2837888"/>
        <c:crosses val="autoZero"/>
        <c:auto val="1"/>
        <c:lblAlgn val="ctr"/>
        <c:lblOffset val="100"/>
        <c:tickLblSkip val="2"/>
        <c:tickMarkSkip val="1"/>
      </c:catAx>
      <c:valAx>
        <c:axId val="572837888"/>
        <c:scaling>
          <c:orientation val="minMax"/>
        </c:scaling>
        <c:axPos val="l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1779328"/>
        <c:crosses val="autoZero"/>
        <c:crossBetween val="between"/>
      </c:valAx>
      <c:dTable>
        <c:showHorzBorder val="1"/>
        <c:showVertBorder val="1"/>
        <c:showOutline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2012-04-02T09:59:00Z</dcterms:created>
  <dcterms:modified xsi:type="dcterms:W3CDTF">2012-04-02T10:16:00Z</dcterms:modified>
</cp:coreProperties>
</file>