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47" w:rsidRPr="002C75B8" w:rsidRDefault="009A4147" w:rsidP="009A4147">
      <w:pPr>
        <w:ind w:left="0" w:firstLine="0"/>
        <w:rPr>
          <w:b/>
          <w:sz w:val="22"/>
          <w:u w:val="single"/>
          <w:lang w:val="en-US"/>
        </w:rPr>
      </w:pPr>
      <w:smartTag w:uri="urn:schemas-microsoft-com:office:smarttags" w:element="place">
        <w:smartTag w:uri="urn:schemas-microsoft-com:office:smarttags" w:element="country-region">
          <w:r w:rsidRPr="002C75B8">
            <w:rPr>
              <w:b/>
              <w:sz w:val="22"/>
              <w:u w:val="single"/>
              <w:lang w:val="en-US"/>
            </w:rPr>
            <w:t>MALI</w:t>
          </w:r>
        </w:smartTag>
      </w:smartTag>
      <w:r w:rsidRPr="002C75B8">
        <w:rPr>
          <w:b/>
          <w:sz w:val="22"/>
          <w:u w:val="single"/>
          <w:lang w:val="en-US"/>
        </w:rPr>
        <w:t xml:space="preserve"> </w:t>
      </w:r>
    </w:p>
    <w:p w:rsidR="009A4147" w:rsidRPr="002C75B8" w:rsidRDefault="009A4147" w:rsidP="009A4147">
      <w:pPr>
        <w:ind w:left="0" w:firstLine="0"/>
        <w:rPr>
          <w:b/>
          <w:sz w:val="22"/>
          <w:u w:val="single"/>
          <w:lang w:val="en-US"/>
        </w:rPr>
      </w:pPr>
    </w:p>
    <w:p w:rsidR="009A4147" w:rsidRPr="002C75B8" w:rsidRDefault="009A4147" w:rsidP="009A4147">
      <w:pPr>
        <w:ind w:left="0" w:firstLine="0"/>
        <w:rPr>
          <w:b/>
          <w:sz w:val="22"/>
          <w:lang w:val="en-US"/>
        </w:rPr>
      </w:pPr>
      <w:r>
        <w:rPr>
          <w:b/>
          <w:noProof/>
          <w:sz w:val="22"/>
          <w:lang w:val="en-US"/>
        </w:rPr>
        <w:drawing>
          <wp:inline distT="0" distB="0" distL="0" distR="0">
            <wp:extent cx="2788920" cy="1866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2788920" cy="1866900"/>
                    </a:xfrm>
                    <a:prstGeom prst="rect">
                      <a:avLst/>
                    </a:prstGeom>
                    <a:noFill/>
                    <a:ln w="9525">
                      <a:noFill/>
                      <a:miter lim="800000"/>
                      <a:headEnd/>
                      <a:tailEnd/>
                    </a:ln>
                  </pic:spPr>
                </pic:pic>
              </a:graphicData>
            </a:graphic>
          </wp:inline>
        </w:drawing>
      </w: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r w:rsidRPr="002C75B8">
        <w:rPr>
          <w:b/>
          <w:sz w:val="22"/>
          <w:lang w:val="en-US"/>
        </w:rPr>
        <w:t>BASIC COUNTRY DATA</w:t>
      </w:r>
    </w:p>
    <w:p w:rsidR="009A4147" w:rsidRPr="002C75B8" w:rsidRDefault="009A4147" w:rsidP="009A4147">
      <w:pPr>
        <w:ind w:left="0" w:firstLine="0"/>
        <w:rPr>
          <w:sz w:val="22"/>
          <w:lang w:val="en-US"/>
        </w:rPr>
      </w:pPr>
    </w:p>
    <w:p w:rsidR="009A4147" w:rsidRPr="002C75B8" w:rsidRDefault="009A4147" w:rsidP="009A4147">
      <w:pPr>
        <w:ind w:left="0" w:firstLine="0"/>
        <w:rPr>
          <w:sz w:val="22"/>
          <w:lang w:val="en-US"/>
        </w:rPr>
      </w:pPr>
      <w:r w:rsidRPr="002C75B8">
        <w:rPr>
          <w:sz w:val="22"/>
          <w:lang w:val="en-US"/>
        </w:rPr>
        <w:t>Total Population: 1</w:t>
      </w:r>
      <w:r>
        <w:rPr>
          <w:sz w:val="22"/>
          <w:lang w:val="en-US"/>
        </w:rPr>
        <w:t>5,369,809</w:t>
      </w:r>
      <w:r w:rsidRPr="002C75B8">
        <w:rPr>
          <w:sz w:val="22"/>
          <w:lang w:val="en-US"/>
        </w:rPr>
        <w:t xml:space="preserve"> </w:t>
      </w:r>
    </w:p>
    <w:p w:rsidR="009A4147" w:rsidRPr="002C75B8" w:rsidRDefault="009A4147" w:rsidP="009A4147">
      <w:pPr>
        <w:ind w:left="0" w:firstLine="0"/>
        <w:rPr>
          <w:sz w:val="22"/>
          <w:lang w:val="en-US"/>
        </w:rPr>
      </w:pPr>
      <w:r w:rsidRPr="002C75B8">
        <w:rPr>
          <w:sz w:val="22"/>
          <w:lang w:val="en-US"/>
        </w:rPr>
        <w:t>Population 0-14 years: 4</w:t>
      </w:r>
      <w:r>
        <w:rPr>
          <w:sz w:val="22"/>
          <w:lang w:val="en-US"/>
        </w:rPr>
        <w:t>7</w:t>
      </w:r>
      <w:r w:rsidRPr="002C75B8">
        <w:rPr>
          <w:sz w:val="22"/>
          <w:lang w:val="en-US"/>
        </w:rPr>
        <w:t xml:space="preserve">% </w:t>
      </w:r>
    </w:p>
    <w:p w:rsidR="009A4147" w:rsidRPr="002C75B8" w:rsidRDefault="009A4147" w:rsidP="009A4147">
      <w:pPr>
        <w:ind w:left="0" w:firstLine="0"/>
        <w:rPr>
          <w:sz w:val="22"/>
          <w:lang w:val="en-US"/>
        </w:rPr>
      </w:pPr>
      <w:r w:rsidRPr="002C75B8">
        <w:rPr>
          <w:sz w:val="22"/>
          <w:lang w:val="en-US"/>
        </w:rPr>
        <w:t>Rural population: 6</w:t>
      </w:r>
      <w:r>
        <w:rPr>
          <w:sz w:val="22"/>
          <w:lang w:val="en-US"/>
        </w:rPr>
        <w:t>7</w:t>
      </w:r>
      <w:r w:rsidRPr="002C75B8">
        <w:rPr>
          <w:sz w:val="22"/>
          <w:lang w:val="en-US"/>
        </w:rPr>
        <w:t xml:space="preserve">% </w:t>
      </w:r>
    </w:p>
    <w:p w:rsidR="009A4147" w:rsidRPr="002C75B8" w:rsidRDefault="009A4147" w:rsidP="009A4147">
      <w:pPr>
        <w:ind w:left="0" w:firstLine="0"/>
        <w:rPr>
          <w:sz w:val="22"/>
          <w:lang w:val="en-US"/>
        </w:rPr>
      </w:pPr>
      <w:r w:rsidRPr="002C75B8">
        <w:rPr>
          <w:sz w:val="22"/>
          <w:lang w:val="en-US"/>
        </w:rPr>
        <w:t>Population living under USD 1</w:t>
      </w:r>
      <w:r>
        <w:rPr>
          <w:sz w:val="22"/>
          <w:lang w:val="en-US"/>
        </w:rPr>
        <w:t>.</w:t>
      </w:r>
      <w:r w:rsidRPr="002C75B8">
        <w:rPr>
          <w:sz w:val="22"/>
          <w:lang w:val="en-US"/>
        </w:rPr>
        <w:t>25 a day: 51</w:t>
      </w:r>
      <w:r>
        <w:rPr>
          <w:sz w:val="22"/>
          <w:lang w:val="en-US"/>
        </w:rPr>
        <w:t>.</w:t>
      </w:r>
      <w:r w:rsidRPr="002C75B8">
        <w:rPr>
          <w:sz w:val="22"/>
          <w:lang w:val="en-US"/>
        </w:rPr>
        <w:t xml:space="preserve">4% </w:t>
      </w:r>
    </w:p>
    <w:p w:rsidR="009A4147" w:rsidRPr="002C75B8" w:rsidRDefault="009A4147" w:rsidP="009A4147">
      <w:pPr>
        <w:ind w:left="0" w:firstLine="0"/>
        <w:rPr>
          <w:sz w:val="22"/>
          <w:lang w:val="en-US"/>
        </w:rPr>
      </w:pPr>
      <w:r w:rsidRPr="002C75B8">
        <w:rPr>
          <w:sz w:val="22"/>
          <w:lang w:val="en-US"/>
        </w:rPr>
        <w:t xml:space="preserve">Population living under the national poverty line: </w:t>
      </w:r>
      <w:r>
        <w:rPr>
          <w:sz w:val="22"/>
          <w:lang w:val="en-US"/>
        </w:rPr>
        <w:t>47.4</w:t>
      </w:r>
      <w:r w:rsidRPr="002C75B8">
        <w:rPr>
          <w:sz w:val="22"/>
          <w:lang w:val="en-US"/>
        </w:rPr>
        <w:t>%</w:t>
      </w:r>
    </w:p>
    <w:p w:rsidR="009A4147" w:rsidRPr="002C75B8" w:rsidRDefault="009A4147" w:rsidP="009A4147">
      <w:pPr>
        <w:ind w:left="0" w:firstLine="0"/>
        <w:rPr>
          <w:sz w:val="22"/>
          <w:lang w:val="en-US"/>
        </w:rPr>
      </w:pPr>
      <w:r w:rsidRPr="002C75B8">
        <w:rPr>
          <w:sz w:val="22"/>
          <w:lang w:val="en-US"/>
        </w:rPr>
        <w:t xml:space="preserve">Income status: Low income economy </w:t>
      </w:r>
    </w:p>
    <w:p w:rsidR="009A4147" w:rsidRPr="002C75B8" w:rsidRDefault="009A4147" w:rsidP="009A4147">
      <w:pPr>
        <w:ind w:left="0" w:firstLine="0"/>
        <w:rPr>
          <w:sz w:val="22"/>
          <w:lang w:val="en-US"/>
        </w:rPr>
      </w:pPr>
      <w:r w:rsidRPr="002C75B8">
        <w:rPr>
          <w:sz w:val="22"/>
          <w:lang w:val="en-US"/>
        </w:rPr>
        <w:t xml:space="preserve">Ranking: Low </w:t>
      </w:r>
      <w:r>
        <w:rPr>
          <w:sz w:val="22"/>
          <w:lang w:val="en-US"/>
        </w:rPr>
        <w:t>h</w:t>
      </w:r>
      <w:r w:rsidRPr="002C75B8">
        <w:rPr>
          <w:sz w:val="22"/>
          <w:lang w:val="en-US"/>
        </w:rPr>
        <w:t xml:space="preserve">uman </w:t>
      </w:r>
      <w:r>
        <w:rPr>
          <w:sz w:val="22"/>
          <w:lang w:val="en-US"/>
        </w:rPr>
        <w:t>d</w:t>
      </w:r>
      <w:r w:rsidRPr="002C75B8">
        <w:rPr>
          <w:sz w:val="22"/>
          <w:lang w:val="en-US"/>
        </w:rPr>
        <w:t>evelopment (ranking 17</w:t>
      </w:r>
      <w:r>
        <w:rPr>
          <w:sz w:val="22"/>
          <w:lang w:val="en-US"/>
        </w:rPr>
        <w:t>5</w:t>
      </w:r>
      <w:r w:rsidRPr="002C75B8">
        <w:rPr>
          <w:sz w:val="22"/>
          <w:lang w:val="en-US"/>
        </w:rPr>
        <w:t>)</w:t>
      </w:r>
    </w:p>
    <w:p w:rsidR="009A4147" w:rsidRPr="002C75B8" w:rsidRDefault="009A4147" w:rsidP="009A4147">
      <w:pPr>
        <w:ind w:left="0" w:firstLine="0"/>
        <w:rPr>
          <w:sz w:val="22"/>
          <w:lang w:val="en-US"/>
        </w:rPr>
      </w:pPr>
      <w:r w:rsidRPr="002C75B8">
        <w:rPr>
          <w:sz w:val="22"/>
          <w:lang w:val="en-US"/>
        </w:rPr>
        <w:t>Per capita total expenditure on health at average exchange rate (US dollar): 3</w:t>
      </w:r>
      <w:r>
        <w:rPr>
          <w:sz w:val="22"/>
          <w:lang w:val="en-US"/>
        </w:rPr>
        <w:t>8</w:t>
      </w:r>
    </w:p>
    <w:p w:rsidR="009A4147" w:rsidRDefault="009A4147" w:rsidP="009A4147">
      <w:pPr>
        <w:ind w:left="0" w:firstLine="0"/>
        <w:rPr>
          <w:sz w:val="22"/>
          <w:lang w:val="en-US"/>
        </w:rPr>
      </w:pPr>
      <w:r w:rsidRPr="002C75B8">
        <w:rPr>
          <w:sz w:val="22"/>
          <w:lang w:val="en-US"/>
        </w:rPr>
        <w:t xml:space="preserve">Life expectancy at birth (years): </w:t>
      </w:r>
      <w:r>
        <w:rPr>
          <w:sz w:val="22"/>
          <w:lang w:val="en-US"/>
        </w:rPr>
        <w:t>51</w:t>
      </w:r>
    </w:p>
    <w:p w:rsidR="009A4147" w:rsidRPr="002C75B8" w:rsidRDefault="009A4147" w:rsidP="009A4147">
      <w:pPr>
        <w:ind w:left="0" w:firstLine="0"/>
        <w:rPr>
          <w:sz w:val="22"/>
          <w:lang w:val="en-US"/>
        </w:rPr>
      </w:pPr>
      <w:r>
        <w:rPr>
          <w:sz w:val="22"/>
          <w:lang w:val="en-US"/>
        </w:rPr>
        <w:t>Healthy life expectancy at birth (years): 38</w:t>
      </w: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r w:rsidRPr="002C75B8">
        <w:rPr>
          <w:b/>
          <w:sz w:val="22"/>
          <w:lang w:val="en-US"/>
        </w:rPr>
        <w:t xml:space="preserve">BACKGROUND INFORMATION </w:t>
      </w:r>
    </w:p>
    <w:p w:rsidR="009A4147" w:rsidRPr="003A7470" w:rsidRDefault="009A4147" w:rsidP="009A4147">
      <w:pPr>
        <w:ind w:left="0" w:firstLine="0"/>
        <w:rPr>
          <w:sz w:val="22"/>
          <w:lang w:val="en-US"/>
        </w:rPr>
      </w:pPr>
    </w:p>
    <w:p w:rsidR="009A4147" w:rsidRDefault="009A4147" w:rsidP="009A4147">
      <w:pPr>
        <w:ind w:left="0" w:firstLine="0"/>
        <w:rPr>
          <w:sz w:val="22"/>
          <w:lang w:val="en-US"/>
        </w:rPr>
      </w:pPr>
      <w:r w:rsidRPr="003A7470">
        <w:rPr>
          <w:sz w:val="22"/>
          <w:lang w:val="en-US"/>
        </w:rPr>
        <w:t xml:space="preserve">VL is unknown in </w:t>
      </w:r>
      <w:smartTag w:uri="urn:schemas-microsoft-com:office:smarttags" w:element="place">
        <w:smartTag w:uri="urn:schemas-microsoft-com:office:smarttags" w:element="country-region">
          <w:r w:rsidRPr="003A7470">
            <w:rPr>
              <w:sz w:val="22"/>
              <w:lang w:val="en-US"/>
            </w:rPr>
            <w:t>Mali</w:t>
          </w:r>
        </w:smartTag>
      </w:smartTag>
      <w:r w:rsidRPr="003A7470">
        <w:rPr>
          <w:sz w:val="22"/>
          <w:lang w:val="en-US"/>
        </w:rPr>
        <w:t xml:space="preserve">. CL was first reported in 1948 </w:t>
      </w:r>
      <w:r>
        <w:rPr>
          <w:sz w:val="22"/>
          <w:lang w:val="en-US"/>
        </w:rPr>
        <w:t>[1].</w:t>
      </w:r>
      <w:r w:rsidRPr="002C75B8">
        <w:rPr>
          <w:sz w:val="22"/>
          <w:lang w:val="en-US"/>
        </w:rPr>
        <w:t xml:space="preserve"> Since then, 2 principal endemic areas have been identified: </w:t>
      </w:r>
      <w:proofErr w:type="spellStart"/>
      <w:r w:rsidRPr="002C75B8">
        <w:rPr>
          <w:sz w:val="22"/>
          <w:lang w:val="en-US"/>
        </w:rPr>
        <w:t>Nioro</w:t>
      </w:r>
      <w:proofErr w:type="spellEnd"/>
      <w:r>
        <w:rPr>
          <w:sz w:val="22"/>
          <w:lang w:val="en-US"/>
        </w:rPr>
        <w:t>,</w:t>
      </w:r>
      <w:r w:rsidRPr="002C75B8">
        <w:rPr>
          <w:sz w:val="22"/>
          <w:lang w:val="en-US"/>
        </w:rPr>
        <w:t xml:space="preserve"> in the region of </w:t>
      </w:r>
      <w:proofErr w:type="spellStart"/>
      <w:r w:rsidRPr="002C75B8">
        <w:rPr>
          <w:sz w:val="22"/>
          <w:lang w:val="en-US"/>
        </w:rPr>
        <w:t>Kayes</w:t>
      </w:r>
      <w:proofErr w:type="spellEnd"/>
      <w:r>
        <w:rPr>
          <w:sz w:val="22"/>
          <w:lang w:val="en-US"/>
        </w:rPr>
        <w:t>,</w:t>
      </w:r>
      <w:r w:rsidRPr="002C75B8">
        <w:rPr>
          <w:sz w:val="22"/>
          <w:lang w:val="en-US"/>
        </w:rPr>
        <w:t xml:space="preserve"> in south-western </w:t>
      </w:r>
      <w:smartTag w:uri="urn:schemas-microsoft-com:office:smarttags" w:element="country-region">
        <w:smartTag w:uri="urn:schemas-microsoft-com:office:smarttags" w:element="place">
          <w:r w:rsidRPr="002C75B8">
            <w:rPr>
              <w:sz w:val="22"/>
              <w:lang w:val="en-US"/>
            </w:rPr>
            <w:t>Mali</w:t>
          </w:r>
        </w:smartTag>
      </w:smartTag>
      <w:r>
        <w:rPr>
          <w:sz w:val="22"/>
          <w:lang w:val="en-US"/>
        </w:rPr>
        <w:t>,</w:t>
      </w:r>
      <w:r w:rsidRPr="002C75B8">
        <w:rPr>
          <w:sz w:val="22"/>
          <w:lang w:val="en-US"/>
        </w:rPr>
        <w:t xml:space="preserve"> and </w:t>
      </w:r>
      <w:proofErr w:type="spellStart"/>
      <w:r w:rsidRPr="002C75B8">
        <w:rPr>
          <w:sz w:val="22"/>
          <w:lang w:val="en-US"/>
        </w:rPr>
        <w:t>Segou</w:t>
      </w:r>
      <w:proofErr w:type="spellEnd"/>
      <w:r w:rsidRPr="002C75B8">
        <w:rPr>
          <w:sz w:val="22"/>
          <w:lang w:val="en-US"/>
        </w:rPr>
        <w:t xml:space="preserve"> (</w:t>
      </w:r>
      <w:proofErr w:type="spellStart"/>
      <w:r w:rsidRPr="002C75B8">
        <w:rPr>
          <w:sz w:val="22"/>
          <w:lang w:val="en-US"/>
        </w:rPr>
        <w:t>Segou</w:t>
      </w:r>
      <w:proofErr w:type="spellEnd"/>
      <w:r w:rsidRPr="002C75B8">
        <w:rPr>
          <w:sz w:val="22"/>
          <w:lang w:val="en-US"/>
        </w:rPr>
        <w:t xml:space="preserve"> region). Between 1958 and 1966, 589 cases of CL were reported: 70%</w:t>
      </w:r>
      <w:r>
        <w:rPr>
          <w:sz w:val="22"/>
          <w:lang w:val="en-US"/>
        </w:rPr>
        <w:t xml:space="preserve"> of which</w:t>
      </w:r>
      <w:r w:rsidRPr="002C75B8">
        <w:rPr>
          <w:sz w:val="22"/>
          <w:lang w:val="en-US"/>
        </w:rPr>
        <w:t xml:space="preserve"> were from the </w:t>
      </w:r>
      <w:proofErr w:type="spellStart"/>
      <w:r w:rsidRPr="002C75B8">
        <w:rPr>
          <w:sz w:val="22"/>
          <w:lang w:val="en-US"/>
        </w:rPr>
        <w:t>Kayes</w:t>
      </w:r>
      <w:proofErr w:type="spellEnd"/>
      <w:r w:rsidRPr="002C75B8">
        <w:rPr>
          <w:sz w:val="22"/>
          <w:lang w:val="en-US"/>
        </w:rPr>
        <w:t xml:space="preserve"> area (413 cases). In the same period, </w:t>
      </w:r>
      <w:proofErr w:type="spellStart"/>
      <w:r w:rsidRPr="002C75B8">
        <w:rPr>
          <w:sz w:val="22"/>
          <w:lang w:val="en-US"/>
        </w:rPr>
        <w:t>leishmanin</w:t>
      </w:r>
      <w:proofErr w:type="spellEnd"/>
      <w:r w:rsidRPr="002C75B8">
        <w:rPr>
          <w:sz w:val="22"/>
          <w:lang w:val="en-US"/>
        </w:rPr>
        <w:t xml:space="preserve"> </w:t>
      </w:r>
      <w:r>
        <w:rPr>
          <w:sz w:val="22"/>
          <w:lang w:val="en-US"/>
        </w:rPr>
        <w:t xml:space="preserve">skin </w:t>
      </w:r>
      <w:r w:rsidRPr="002C75B8">
        <w:rPr>
          <w:sz w:val="22"/>
          <w:lang w:val="en-US"/>
        </w:rPr>
        <w:t>test surveys were undertaken across the country and among 1</w:t>
      </w:r>
      <w:r>
        <w:rPr>
          <w:sz w:val="22"/>
          <w:lang w:val="en-US"/>
        </w:rPr>
        <w:t>,</w:t>
      </w:r>
      <w:r w:rsidRPr="002C75B8">
        <w:rPr>
          <w:sz w:val="22"/>
          <w:lang w:val="en-US"/>
        </w:rPr>
        <w:t xml:space="preserve">649 subjects, the global positivity rate was 18.6%. Only 14 cases were </w:t>
      </w:r>
      <w:r w:rsidRPr="003A7470">
        <w:rPr>
          <w:sz w:val="22"/>
          <w:lang w:val="en-US"/>
        </w:rPr>
        <w:t>reported from 1973</w:t>
      </w:r>
      <w:r w:rsidRPr="002C75B8">
        <w:rPr>
          <w:sz w:val="22"/>
          <w:lang w:val="en-US"/>
        </w:rPr>
        <w:t xml:space="preserve"> to 1977. During the last 12 years (1997-2008), 650 cases of CL </w:t>
      </w:r>
      <w:r>
        <w:rPr>
          <w:sz w:val="22"/>
          <w:lang w:val="en-US"/>
        </w:rPr>
        <w:t>have been</w:t>
      </w:r>
      <w:r w:rsidRPr="002C75B8">
        <w:rPr>
          <w:sz w:val="22"/>
          <w:lang w:val="en-US"/>
        </w:rPr>
        <w:t xml:space="preserve"> reported, the annual </w:t>
      </w:r>
      <w:r>
        <w:rPr>
          <w:sz w:val="22"/>
          <w:lang w:val="en-US"/>
        </w:rPr>
        <w:t xml:space="preserve">number of </w:t>
      </w:r>
      <w:r w:rsidRPr="002C75B8">
        <w:rPr>
          <w:sz w:val="22"/>
          <w:lang w:val="en-US"/>
        </w:rPr>
        <w:t xml:space="preserve">cases ranging from 18 to 86. This is expected to be far less than the actual number of cases. Seasonal spikes of cases are observed during the months of October and November.  </w:t>
      </w:r>
    </w:p>
    <w:p w:rsidR="009A4147" w:rsidRPr="002C75B8" w:rsidRDefault="009A4147" w:rsidP="009A4147">
      <w:pPr>
        <w:ind w:left="0" w:firstLine="0"/>
        <w:rPr>
          <w:color w:val="FF0000"/>
          <w:sz w:val="22"/>
          <w:lang w:val="en-US"/>
        </w:rPr>
      </w:pPr>
    </w:p>
    <w:p w:rsidR="009A4147" w:rsidRDefault="009A4147" w:rsidP="009A4147">
      <w:pPr>
        <w:ind w:left="0" w:firstLine="0"/>
        <w:rPr>
          <w:bCs/>
          <w:sz w:val="22"/>
          <w:lang w:val="en-US"/>
        </w:rPr>
      </w:pPr>
      <w:r w:rsidRPr="003A7470">
        <w:rPr>
          <w:sz w:val="22"/>
          <w:lang w:val="en-US"/>
        </w:rPr>
        <w:t xml:space="preserve">In </w:t>
      </w:r>
      <w:smartTag w:uri="urn:schemas-microsoft-com:office:smarttags" w:element="metricconverter">
        <w:smartTagPr>
          <w:attr w:name="ProductID" w:val="2009, a"/>
        </w:smartTagPr>
        <w:r w:rsidRPr="003A7470">
          <w:rPr>
            <w:sz w:val="22"/>
            <w:lang w:val="en-US"/>
          </w:rPr>
          <w:t>2009, a</w:t>
        </w:r>
      </w:smartTag>
      <w:r w:rsidRPr="003A7470">
        <w:rPr>
          <w:sz w:val="22"/>
          <w:lang w:val="en-US"/>
        </w:rPr>
        <w:t xml:space="preserve"> </w:t>
      </w:r>
      <w:proofErr w:type="spellStart"/>
      <w:r w:rsidRPr="003A7470">
        <w:rPr>
          <w:sz w:val="22"/>
          <w:lang w:val="en-US"/>
        </w:rPr>
        <w:t>leishmanin</w:t>
      </w:r>
      <w:proofErr w:type="spellEnd"/>
      <w:r w:rsidRPr="003A7470">
        <w:rPr>
          <w:sz w:val="22"/>
          <w:lang w:val="en-US"/>
        </w:rPr>
        <w:t xml:space="preserve"> </w:t>
      </w:r>
      <w:r>
        <w:rPr>
          <w:sz w:val="22"/>
          <w:lang w:val="en-US"/>
        </w:rPr>
        <w:t xml:space="preserve">skin </w:t>
      </w:r>
      <w:r w:rsidRPr="003A7470">
        <w:rPr>
          <w:sz w:val="22"/>
          <w:lang w:val="en-US"/>
        </w:rPr>
        <w:t xml:space="preserve">test survey showed a high prevalence of infection (45.4%) in </w:t>
      </w:r>
      <w:proofErr w:type="spellStart"/>
      <w:r w:rsidRPr="003A7470">
        <w:rPr>
          <w:sz w:val="22"/>
          <w:lang w:val="en-US"/>
        </w:rPr>
        <w:t>Kemena</w:t>
      </w:r>
      <w:proofErr w:type="spellEnd"/>
      <w:r w:rsidRPr="003A7470">
        <w:rPr>
          <w:sz w:val="22"/>
          <w:lang w:val="en-US"/>
        </w:rPr>
        <w:t xml:space="preserve">, a village in </w:t>
      </w:r>
      <w:r>
        <w:rPr>
          <w:sz w:val="22"/>
          <w:lang w:val="en-US"/>
        </w:rPr>
        <w:t>c</w:t>
      </w:r>
      <w:r w:rsidRPr="003A7470">
        <w:rPr>
          <w:sz w:val="22"/>
          <w:lang w:val="en-US"/>
        </w:rPr>
        <w:t xml:space="preserve">entral Mali. There was a </w:t>
      </w:r>
      <w:r w:rsidRPr="00562689">
        <w:rPr>
          <w:sz w:val="22"/>
          <w:shd w:val="clear" w:color="auto" w:fill="FFFFFF"/>
          <w:lang w:val="en-US"/>
        </w:rPr>
        <w:t>marked</w:t>
      </w:r>
      <w:r>
        <w:rPr>
          <w:sz w:val="22"/>
          <w:shd w:val="clear" w:color="auto" w:fill="FFFFFF"/>
          <w:lang w:val="en-US"/>
        </w:rPr>
        <w:t xml:space="preserve"> difference</w:t>
      </w:r>
      <w:r w:rsidRPr="00562689">
        <w:rPr>
          <w:sz w:val="22"/>
          <w:shd w:val="clear" w:color="auto" w:fill="FFFFFF"/>
          <w:lang w:val="en-US"/>
        </w:rPr>
        <w:t xml:space="preserve"> in the prevalence and annual incidence of </w:t>
      </w:r>
      <w:r w:rsidRPr="00562689">
        <w:rPr>
          <w:i/>
          <w:iCs/>
          <w:sz w:val="22"/>
          <w:shd w:val="clear" w:color="auto" w:fill="FFFFFF"/>
          <w:lang w:val="en-US"/>
        </w:rPr>
        <w:t>Leishmania</w:t>
      </w:r>
      <w:r>
        <w:rPr>
          <w:sz w:val="22"/>
          <w:shd w:val="clear" w:color="auto" w:fill="FFFFFF"/>
          <w:lang w:val="en-US"/>
        </w:rPr>
        <w:t xml:space="preserve"> factors </w:t>
      </w:r>
      <w:r w:rsidRPr="00562689">
        <w:rPr>
          <w:sz w:val="22"/>
          <w:shd w:val="clear" w:color="auto" w:fill="FFFFFF"/>
          <w:lang w:val="en-US"/>
        </w:rPr>
        <w:t xml:space="preserve">in </w:t>
      </w:r>
      <w:proofErr w:type="spellStart"/>
      <w:r w:rsidRPr="00562689">
        <w:rPr>
          <w:sz w:val="22"/>
          <w:shd w:val="clear" w:color="auto" w:fill="FFFFFF"/>
          <w:lang w:val="en-US"/>
        </w:rPr>
        <w:t>Sougoula</w:t>
      </w:r>
      <w:proofErr w:type="spellEnd"/>
      <w:r w:rsidRPr="00562689">
        <w:rPr>
          <w:sz w:val="22"/>
          <w:shd w:val="clear" w:color="auto" w:fill="FFFFFF"/>
          <w:lang w:val="en-US"/>
        </w:rPr>
        <w:t>, a neighboring</w:t>
      </w:r>
      <w:r w:rsidRPr="003A7470">
        <w:rPr>
          <w:sz w:val="22"/>
          <w:lang w:val="en-US"/>
        </w:rPr>
        <w:t xml:space="preserve"> village</w:t>
      </w:r>
      <w:r>
        <w:rPr>
          <w:sz w:val="22"/>
          <w:lang w:val="en-US"/>
        </w:rPr>
        <w:t xml:space="preserve"> [2]</w:t>
      </w:r>
      <w:r w:rsidRPr="003A7470">
        <w:rPr>
          <w:sz w:val="22"/>
          <w:lang w:val="en-US"/>
        </w:rPr>
        <w:t xml:space="preserve">. </w:t>
      </w:r>
      <w:r w:rsidRPr="003A7470">
        <w:rPr>
          <w:bCs/>
          <w:sz w:val="22"/>
          <w:lang w:val="en-US"/>
        </w:rPr>
        <w:t>Th</w:t>
      </w:r>
      <w:r>
        <w:rPr>
          <w:bCs/>
          <w:sz w:val="22"/>
          <w:lang w:val="en-US"/>
        </w:rPr>
        <w:t>is</w:t>
      </w:r>
      <w:r w:rsidRPr="003A7470">
        <w:rPr>
          <w:bCs/>
          <w:sz w:val="22"/>
          <w:lang w:val="en-US"/>
        </w:rPr>
        <w:t xml:space="preserve"> </w:t>
      </w:r>
      <w:r>
        <w:rPr>
          <w:bCs/>
          <w:sz w:val="22"/>
          <w:lang w:val="en-US"/>
        </w:rPr>
        <w:t xml:space="preserve">difference could be explained </w:t>
      </w:r>
      <w:r w:rsidRPr="00562689">
        <w:rPr>
          <w:bCs/>
          <w:sz w:val="22"/>
          <w:shd w:val="clear" w:color="auto" w:fill="FFFFFF"/>
          <w:lang w:val="en-US"/>
        </w:rPr>
        <w:t>by</w:t>
      </w:r>
      <w:r w:rsidRPr="003A7470">
        <w:rPr>
          <w:bCs/>
          <w:sz w:val="22"/>
          <w:lang w:val="en-US"/>
        </w:rPr>
        <w:t xml:space="preserve"> the differen</w:t>
      </w:r>
      <w:r>
        <w:rPr>
          <w:bCs/>
          <w:sz w:val="22"/>
          <w:lang w:val="en-US"/>
        </w:rPr>
        <w:t>t</w:t>
      </w:r>
      <w:r w:rsidRPr="003A7470">
        <w:rPr>
          <w:bCs/>
          <w:sz w:val="22"/>
          <w:lang w:val="en-US"/>
        </w:rPr>
        <w:t xml:space="preserve"> availability of infected reservoirs in each focus. While the presence of </w:t>
      </w:r>
      <w:r w:rsidRPr="003A7470">
        <w:rPr>
          <w:bCs/>
          <w:i/>
          <w:sz w:val="22"/>
          <w:lang w:val="en-US"/>
        </w:rPr>
        <w:t xml:space="preserve">P. </w:t>
      </w:r>
      <w:proofErr w:type="spellStart"/>
      <w:r w:rsidRPr="003A7470">
        <w:rPr>
          <w:bCs/>
          <w:i/>
          <w:sz w:val="22"/>
          <w:lang w:val="en-US"/>
        </w:rPr>
        <w:t>duboscqi</w:t>
      </w:r>
      <w:proofErr w:type="spellEnd"/>
      <w:r w:rsidRPr="003A7470">
        <w:rPr>
          <w:bCs/>
          <w:i/>
          <w:sz w:val="22"/>
          <w:lang w:val="en-US"/>
        </w:rPr>
        <w:t xml:space="preserve"> </w:t>
      </w:r>
      <w:proofErr w:type="spellStart"/>
      <w:r w:rsidRPr="003A7470">
        <w:rPr>
          <w:bCs/>
          <w:sz w:val="22"/>
          <w:lang w:val="en-US"/>
        </w:rPr>
        <w:t>sandflies</w:t>
      </w:r>
      <w:proofErr w:type="spellEnd"/>
      <w:r w:rsidRPr="003A7470">
        <w:rPr>
          <w:bCs/>
          <w:sz w:val="22"/>
          <w:lang w:val="en-US"/>
        </w:rPr>
        <w:t xml:space="preserve"> in </w:t>
      </w:r>
      <w:smartTag w:uri="urn:schemas-microsoft-com:office:smarttags" w:element="country-region">
        <w:smartTag w:uri="urn:schemas-microsoft-com:office:smarttags" w:element="place">
          <w:r w:rsidRPr="003A7470">
            <w:rPr>
              <w:bCs/>
              <w:sz w:val="22"/>
              <w:lang w:val="en-US"/>
            </w:rPr>
            <w:t>Mali</w:t>
          </w:r>
        </w:smartTag>
      </w:smartTag>
      <w:r w:rsidRPr="003A7470">
        <w:rPr>
          <w:bCs/>
          <w:sz w:val="22"/>
          <w:lang w:val="en-US"/>
        </w:rPr>
        <w:t xml:space="preserve"> is well established </w:t>
      </w:r>
      <w:r>
        <w:rPr>
          <w:bCs/>
          <w:sz w:val="22"/>
          <w:lang w:val="en-US"/>
        </w:rPr>
        <w:t>[3]</w:t>
      </w:r>
      <w:r w:rsidRPr="003A7470">
        <w:rPr>
          <w:bCs/>
          <w:sz w:val="22"/>
          <w:lang w:val="en-US"/>
        </w:rPr>
        <w:t xml:space="preserve">, the reservoir for CL has not yet been identified </w:t>
      </w:r>
      <w:r>
        <w:rPr>
          <w:bCs/>
          <w:sz w:val="22"/>
          <w:lang w:val="en-US"/>
        </w:rPr>
        <w:t>[4]</w:t>
      </w:r>
      <w:r w:rsidRPr="003A7470">
        <w:rPr>
          <w:bCs/>
          <w:sz w:val="22"/>
          <w:lang w:val="en-US"/>
        </w:rPr>
        <w:t>.</w:t>
      </w:r>
    </w:p>
    <w:p w:rsidR="009A4147" w:rsidRPr="003A7470" w:rsidRDefault="009A4147" w:rsidP="009A4147">
      <w:pPr>
        <w:ind w:left="0" w:firstLine="0"/>
        <w:rPr>
          <w:bCs/>
          <w:i/>
          <w:sz w:val="22"/>
          <w:lang w:val="en-US"/>
        </w:rPr>
      </w:pPr>
    </w:p>
    <w:p w:rsidR="009A4147" w:rsidRPr="002C75B8" w:rsidRDefault="009A4147" w:rsidP="009A4147">
      <w:pPr>
        <w:ind w:left="0" w:firstLine="0"/>
        <w:rPr>
          <w:sz w:val="22"/>
          <w:lang w:val="en-US"/>
        </w:rPr>
      </w:pPr>
      <w:r w:rsidRPr="002C75B8">
        <w:rPr>
          <w:sz w:val="22"/>
          <w:lang w:val="en-US"/>
        </w:rPr>
        <w:t>Between 1997 and 2001, 6 HIV/</w:t>
      </w:r>
      <w:r w:rsidRPr="002C75B8">
        <w:rPr>
          <w:i/>
          <w:iCs/>
          <w:sz w:val="22"/>
          <w:lang w:val="en-US"/>
        </w:rPr>
        <w:t>Leishmania</w:t>
      </w:r>
      <w:r w:rsidRPr="002C75B8">
        <w:rPr>
          <w:sz w:val="22"/>
          <w:lang w:val="en-US"/>
        </w:rPr>
        <w:t xml:space="preserve"> coinfected patients have been </w:t>
      </w:r>
      <w:r>
        <w:rPr>
          <w:sz w:val="22"/>
          <w:lang w:val="en-US"/>
        </w:rPr>
        <w:t xml:space="preserve">reported </w:t>
      </w:r>
      <w:r w:rsidRPr="002C75B8">
        <w:rPr>
          <w:sz w:val="22"/>
          <w:lang w:val="en-US"/>
        </w:rPr>
        <w:t>(2</w:t>
      </w:r>
      <w:r>
        <w:rPr>
          <w:sz w:val="22"/>
          <w:lang w:val="en-US"/>
        </w:rPr>
        <w:t>.</w:t>
      </w:r>
      <w:r w:rsidRPr="002C75B8">
        <w:rPr>
          <w:sz w:val="22"/>
          <w:lang w:val="en-US"/>
        </w:rPr>
        <w:t xml:space="preserve">4%). </w:t>
      </w:r>
    </w:p>
    <w:p w:rsidR="009A4147" w:rsidRDefault="009A4147" w:rsidP="009A4147">
      <w:pPr>
        <w:ind w:left="0" w:firstLine="0"/>
        <w:rPr>
          <w:b/>
          <w:bCs/>
          <w:sz w:val="22"/>
        </w:rPr>
      </w:pPr>
    </w:p>
    <w:p w:rsidR="009A4147" w:rsidRPr="002C75B8" w:rsidRDefault="009A4147" w:rsidP="009A4147">
      <w:pPr>
        <w:ind w:left="0" w:firstLine="0"/>
        <w:rPr>
          <w:b/>
          <w:bCs/>
          <w:sz w:val="22"/>
        </w:rPr>
      </w:pPr>
      <w:r w:rsidRPr="002C75B8">
        <w:rPr>
          <w:b/>
          <w:bCs/>
          <w:sz w:val="22"/>
        </w:rPr>
        <w:lastRenderedPageBreak/>
        <w:t>PARASITOLOGICAL INFORMATION</w:t>
      </w:r>
    </w:p>
    <w:p w:rsidR="009A4147" w:rsidRPr="002C75B8" w:rsidRDefault="009A4147" w:rsidP="009A4147">
      <w:pPr>
        <w:ind w:left="0" w:firstLine="0"/>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9A4147" w:rsidRPr="002C75B8" w:rsidTr="00A7768B">
        <w:tc>
          <w:tcPr>
            <w:tcW w:w="2310" w:type="dxa"/>
            <w:vAlign w:val="center"/>
          </w:tcPr>
          <w:p w:rsidR="009A4147" w:rsidRDefault="009A4147" w:rsidP="00A7768B">
            <w:pPr>
              <w:ind w:left="0" w:firstLine="0"/>
              <w:rPr>
                <w:b/>
                <w:bCs/>
                <w:i/>
                <w:iCs/>
                <w:sz w:val="22"/>
                <w:lang w:val="en-US"/>
              </w:rPr>
            </w:pPr>
          </w:p>
          <w:p w:rsidR="009A4147" w:rsidRDefault="009A4147" w:rsidP="00A7768B">
            <w:pPr>
              <w:ind w:left="0" w:firstLine="0"/>
              <w:rPr>
                <w:b/>
                <w:bCs/>
                <w:sz w:val="22"/>
              </w:rPr>
            </w:pPr>
            <w:r w:rsidRPr="002C75B8">
              <w:rPr>
                <w:b/>
                <w:bCs/>
                <w:i/>
                <w:iCs/>
                <w:sz w:val="22"/>
                <w:lang w:val="en-US"/>
              </w:rPr>
              <w:t xml:space="preserve">Leishmania </w:t>
            </w:r>
            <w:proofErr w:type="spellStart"/>
            <w:r w:rsidRPr="002C75B8">
              <w:rPr>
                <w:b/>
                <w:bCs/>
                <w:sz w:val="22"/>
              </w:rPr>
              <w:t>species</w:t>
            </w:r>
            <w:proofErr w:type="spellEnd"/>
          </w:p>
          <w:p w:rsidR="009A4147" w:rsidRPr="002C75B8" w:rsidRDefault="009A4147" w:rsidP="00A7768B">
            <w:pPr>
              <w:ind w:left="0" w:firstLine="0"/>
              <w:rPr>
                <w:b/>
                <w:bCs/>
                <w:sz w:val="22"/>
              </w:rPr>
            </w:pPr>
          </w:p>
        </w:tc>
        <w:tc>
          <w:tcPr>
            <w:tcW w:w="2310" w:type="dxa"/>
            <w:vAlign w:val="center"/>
          </w:tcPr>
          <w:p w:rsidR="009A4147" w:rsidRPr="002C75B8" w:rsidRDefault="009A4147" w:rsidP="00A7768B">
            <w:pPr>
              <w:ind w:left="0" w:firstLine="0"/>
              <w:rPr>
                <w:b/>
                <w:bCs/>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11" w:type="dxa"/>
            <w:vAlign w:val="center"/>
          </w:tcPr>
          <w:p w:rsidR="009A4147" w:rsidRPr="002C75B8" w:rsidRDefault="009A4147" w:rsidP="00A7768B">
            <w:pPr>
              <w:ind w:left="0" w:firstLine="0"/>
              <w:rPr>
                <w:b/>
                <w:bCs/>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9A4147" w:rsidRPr="002C75B8" w:rsidRDefault="009A4147" w:rsidP="009A4147">
            <w:pPr>
              <w:ind w:left="0" w:firstLine="0"/>
              <w:rPr>
                <w:b/>
                <w:bCs/>
                <w:sz w:val="22"/>
              </w:rPr>
            </w:pPr>
            <w:proofErr w:type="spellStart"/>
            <w:r w:rsidRPr="002C75B8">
              <w:rPr>
                <w:b/>
                <w:bCs/>
                <w:sz w:val="22"/>
              </w:rPr>
              <w:t>Reservoirs</w:t>
            </w:r>
            <w:proofErr w:type="spellEnd"/>
          </w:p>
        </w:tc>
      </w:tr>
      <w:tr w:rsidR="009A4147" w:rsidRPr="002C75B8" w:rsidTr="00A7768B">
        <w:tc>
          <w:tcPr>
            <w:tcW w:w="2310" w:type="dxa"/>
            <w:vAlign w:val="center"/>
          </w:tcPr>
          <w:p w:rsidR="009A4147" w:rsidRPr="002C75B8" w:rsidRDefault="009A4147" w:rsidP="00A7768B">
            <w:pPr>
              <w:pStyle w:val="NormalWeb"/>
              <w:spacing w:before="0" w:beforeAutospacing="0" w:after="0" w:afterAutospacing="0"/>
              <w:jc w:val="both"/>
              <w:textAlignment w:val="baseline"/>
              <w:rPr>
                <w:rFonts w:ascii="Arial" w:hAnsi="Arial" w:cs="Arial"/>
                <w:i/>
                <w:color w:val="000000"/>
                <w:kern w:val="24"/>
                <w:sz w:val="22"/>
                <w:szCs w:val="22"/>
              </w:rPr>
            </w:pPr>
            <w:r w:rsidRPr="002C75B8">
              <w:rPr>
                <w:rFonts w:ascii="Arial" w:hAnsi="Arial" w:cs="Arial"/>
                <w:i/>
                <w:color w:val="000000"/>
                <w:kern w:val="24"/>
                <w:sz w:val="22"/>
                <w:szCs w:val="22"/>
              </w:rPr>
              <w:t>L. major</w:t>
            </w:r>
          </w:p>
        </w:tc>
        <w:tc>
          <w:tcPr>
            <w:tcW w:w="2310" w:type="dxa"/>
            <w:vAlign w:val="center"/>
          </w:tcPr>
          <w:p w:rsidR="009A4147" w:rsidRPr="002C75B8" w:rsidRDefault="009A4147" w:rsidP="00A7768B">
            <w:pPr>
              <w:pStyle w:val="NormalWeb"/>
              <w:spacing w:before="0" w:beforeAutospacing="0" w:after="0" w:afterAutospacing="0"/>
              <w:jc w:val="both"/>
              <w:textAlignment w:val="baseline"/>
              <w:rPr>
                <w:rFonts w:ascii="Arial" w:hAnsi="Arial" w:cs="Arial"/>
                <w:sz w:val="22"/>
                <w:szCs w:val="22"/>
              </w:rPr>
            </w:pPr>
            <w:r w:rsidRPr="002C75B8">
              <w:rPr>
                <w:rFonts w:ascii="Arial" w:hAnsi="Arial" w:cs="Arial"/>
                <w:color w:val="000000"/>
                <w:kern w:val="24"/>
                <w:sz w:val="22"/>
                <w:szCs w:val="22"/>
              </w:rPr>
              <w:t>ZCL</w:t>
            </w:r>
          </w:p>
        </w:tc>
        <w:tc>
          <w:tcPr>
            <w:tcW w:w="2311" w:type="dxa"/>
            <w:vAlign w:val="center"/>
          </w:tcPr>
          <w:p w:rsidR="009A4147" w:rsidRPr="002C75B8" w:rsidRDefault="009A4147" w:rsidP="00A7768B">
            <w:pPr>
              <w:pStyle w:val="NormalWeb"/>
              <w:spacing w:before="0" w:beforeAutospacing="0" w:after="0" w:afterAutospacing="0"/>
              <w:jc w:val="both"/>
              <w:textAlignment w:val="baseline"/>
              <w:rPr>
                <w:rFonts w:ascii="Arial" w:hAnsi="Arial" w:cs="Arial"/>
                <w:sz w:val="22"/>
                <w:szCs w:val="22"/>
              </w:rPr>
            </w:pPr>
            <w:r w:rsidRPr="002C75B8">
              <w:rPr>
                <w:rFonts w:ascii="Arial" w:hAnsi="Arial" w:cs="Arial"/>
                <w:i/>
                <w:iCs/>
                <w:color w:val="000000"/>
                <w:kern w:val="24"/>
                <w:sz w:val="22"/>
                <w:szCs w:val="22"/>
              </w:rPr>
              <w:t xml:space="preserve">P. </w:t>
            </w:r>
            <w:proofErr w:type="spellStart"/>
            <w:r w:rsidRPr="002C75B8">
              <w:rPr>
                <w:rFonts w:ascii="Arial" w:hAnsi="Arial" w:cs="Arial"/>
                <w:i/>
                <w:iCs/>
                <w:color w:val="000000"/>
                <w:kern w:val="24"/>
                <w:sz w:val="22"/>
                <w:szCs w:val="22"/>
              </w:rPr>
              <w:t>duboscqi</w:t>
            </w:r>
            <w:proofErr w:type="spellEnd"/>
          </w:p>
        </w:tc>
        <w:tc>
          <w:tcPr>
            <w:tcW w:w="2311" w:type="dxa"/>
            <w:vAlign w:val="center"/>
          </w:tcPr>
          <w:p w:rsidR="009A4147" w:rsidRDefault="009A4147" w:rsidP="00A7768B">
            <w:pPr>
              <w:pStyle w:val="NormalWeb"/>
              <w:spacing w:before="0" w:beforeAutospacing="0" w:after="0" w:afterAutospacing="0"/>
              <w:jc w:val="both"/>
              <w:textAlignment w:val="baseline"/>
              <w:rPr>
                <w:rFonts w:ascii="Arial" w:hAnsi="Arial" w:cs="Arial"/>
                <w:sz w:val="22"/>
                <w:szCs w:val="22"/>
              </w:rPr>
            </w:pPr>
          </w:p>
          <w:p w:rsidR="009A4147" w:rsidRPr="002C75B8" w:rsidRDefault="009A4147" w:rsidP="00A7768B">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unknown</w:t>
            </w:r>
          </w:p>
          <w:p w:rsidR="009A4147" w:rsidRPr="002C75B8" w:rsidRDefault="009A4147" w:rsidP="00A7768B">
            <w:pPr>
              <w:pStyle w:val="NormalWeb"/>
              <w:spacing w:before="0" w:beforeAutospacing="0" w:after="0" w:afterAutospacing="0"/>
              <w:jc w:val="both"/>
              <w:textAlignment w:val="baseline"/>
              <w:rPr>
                <w:rFonts w:ascii="Arial" w:hAnsi="Arial" w:cs="Arial"/>
                <w:sz w:val="22"/>
                <w:szCs w:val="22"/>
              </w:rPr>
            </w:pPr>
          </w:p>
        </w:tc>
      </w:tr>
    </w:tbl>
    <w:p w:rsidR="009A4147" w:rsidRPr="002C75B8" w:rsidRDefault="009A4147" w:rsidP="009A4147">
      <w:pPr>
        <w:ind w:left="0" w:firstLine="0"/>
        <w:rPr>
          <w:b/>
          <w:bCs/>
          <w:sz w:val="22"/>
        </w:rPr>
      </w:pPr>
    </w:p>
    <w:p w:rsidR="009A4147" w:rsidRPr="002C75B8" w:rsidRDefault="009A4147" w:rsidP="009A4147">
      <w:pPr>
        <w:ind w:left="0" w:firstLine="0"/>
        <w:rPr>
          <w:b/>
          <w:bCs/>
          <w:sz w:val="22"/>
        </w:rPr>
      </w:pPr>
    </w:p>
    <w:p w:rsidR="009A4147" w:rsidRPr="002C75B8" w:rsidRDefault="009A4147" w:rsidP="009A4147">
      <w:pPr>
        <w:ind w:left="0" w:firstLine="0"/>
        <w:rPr>
          <w:b/>
          <w:bCs/>
          <w:sz w:val="22"/>
        </w:rPr>
      </w:pPr>
      <w:r w:rsidRPr="002C75B8">
        <w:rPr>
          <w:b/>
          <w:bCs/>
          <w:sz w:val="22"/>
        </w:rPr>
        <w:t>MAPS AND TRENDS</w:t>
      </w:r>
    </w:p>
    <w:p w:rsidR="009A4147" w:rsidRPr="002C75B8" w:rsidRDefault="009A4147" w:rsidP="009A4147">
      <w:pPr>
        <w:ind w:left="0" w:firstLine="0"/>
        <w:rPr>
          <w:b/>
          <w:bCs/>
          <w:sz w:val="22"/>
        </w:rPr>
      </w:pPr>
    </w:p>
    <w:p w:rsidR="009A4147" w:rsidRPr="002C75B8" w:rsidRDefault="009A4147" w:rsidP="009A4147">
      <w:pPr>
        <w:ind w:left="0" w:firstLine="0"/>
        <w:rPr>
          <w:b/>
          <w:bCs/>
          <w:sz w:val="22"/>
        </w:rPr>
      </w:pPr>
      <w:r w:rsidRPr="002C75B8">
        <w:rPr>
          <w:b/>
          <w:bCs/>
          <w:sz w:val="22"/>
        </w:rPr>
        <w:t>Cutaneous leishmaniasis</w:t>
      </w:r>
    </w:p>
    <w:p w:rsidR="009A4147" w:rsidRPr="002C75B8" w:rsidRDefault="009A4147" w:rsidP="009A4147">
      <w:pPr>
        <w:ind w:left="0" w:firstLine="0"/>
        <w:rPr>
          <w:b/>
          <w:bCs/>
          <w:sz w:val="22"/>
        </w:rPr>
      </w:pPr>
    </w:p>
    <w:p w:rsidR="009A4147" w:rsidRDefault="009A4147" w:rsidP="009A4147">
      <w:pPr>
        <w:ind w:left="0" w:firstLine="0"/>
        <w:rPr>
          <w:b/>
          <w:bCs/>
          <w:sz w:val="22"/>
          <w:lang w:val="es-ES"/>
        </w:rPr>
      </w:pPr>
      <w:r>
        <w:rPr>
          <w:b/>
          <w:bCs/>
          <w:noProof/>
          <w:sz w:val="22"/>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39370</wp:posOffset>
            </wp:positionV>
            <wp:extent cx="3154045" cy="2229485"/>
            <wp:effectExtent l="19050" t="0" r="8255" b="0"/>
            <wp:wrapNone/>
            <wp:docPr id="4" name="Picture 4" descr="ML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LIRmod"/>
                    <pic:cNvPicPr>
                      <a:picLocks noChangeAspect="1" noChangeArrowheads="1"/>
                    </pic:cNvPicPr>
                  </pic:nvPicPr>
                  <pic:blipFill>
                    <a:blip r:embed="rId6" cstate="print"/>
                    <a:srcRect/>
                    <a:stretch>
                      <a:fillRect/>
                    </a:stretch>
                  </pic:blipFill>
                  <pic:spPr bwMode="auto">
                    <a:xfrm>
                      <a:off x="0" y="0"/>
                      <a:ext cx="3154045" cy="2229485"/>
                    </a:xfrm>
                    <a:prstGeom prst="rect">
                      <a:avLst/>
                    </a:prstGeom>
                    <a:noFill/>
                  </pic:spPr>
                </pic:pic>
              </a:graphicData>
            </a:graphic>
          </wp:anchor>
        </w:drawing>
      </w:r>
      <w:r>
        <w:rPr>
          <w:b/>
          <w:bCs/>
          <w:noProof/>
          <w:sz w:val="22"/>
          <w:lang w:val="en-US"/>
        </w:rPr>
        <w:drawing>
          <wp:anchor distT="0" distB="0" distL="114300" distR="114300" simplePos="0" relativeHeight="251661312" behindDoc="0" locked="0" layoutInCell="1" allowOverlap="1">
            <wp:simplePos x="0" y="0"/>
            <wp:positionH relativeFrom="column">
              <wp:posOffset>-160655</wp:posOffset>
            </wp:positionH>
            <wp:positionV relativeFrom="paragraph">
              <wp:posOffset>39370</wp:posOffset>
            </wp:positionV>
            <wp:extent cx="3250565" cy="2298065"/>
            <wp:effectExtent l="19050" t="0" r="6985" b="0"/>
            <wp:wrapNone/>
            <wp:docPr id="3" name="Picture 3" descr="ML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Lmod2"/>
                    <pic:cNvPicPr>
                      <a:picLocks noChangeAspect="1" noChangeArrowheads="1"/>
                    </pic:cNvPicPr>
                  </pic:nvPicPr>
                  <pic:blipFill>
                    <a:blip r:embed="rId7" cstate="print"/>
                    <a:srcRect/>
                    <a:stretch>
                      <a:fillRect/>
                    </a:stretch>
                  </pic:blipFill>
                  <pic:spPr bwMode="auto">
                    <a:xfrm>
                      <a:off x="0" y="0"/>
                      <a:ext cx="3250565" cy="2298065"/>
                    </a:xfrm>
                    <a:prstGeom prst="rect">
                      <a:avLst/>
                    </a:prstGeom>
                    <a:noFill/>
                  </pic:spPr>
                </pic:pic>
              </a:graphicData>
            </a:graphic>
          </wp:anchor>
        </w:drawing>
      </w: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Pr="002C75B8" w:rsidRDefault="009A4147" w:rsidP="009A4147">
      <w:pPr>
        <w:ind w:left="0" w:firstLine="0"/>
        <w:rPr>
          <w:b/>
          <w:bCs/>
          <w:sz w:val="22"/>
        </w:rPr>
      </w:pPr>
    </w:p>
    <w:p w:rsidR="009A4147" w:rsidRPr="002C75B8" w:rsidRDefault="009A4147" w:rsidP="009A4147">
      <w:pPr>
        <w:ind w:left="0" w:firstLine="0"/>
        <w:rPr>
          <w:b/>
          <w:bCs/>
          <w:sz w:val="22"/>
        </w:rPr>
      </w:pPr>
    </w:p>
    <w:p w:rsidR="009A4147" w:rsidRPr="002C75B8" w:rsidRDefault="009A4147" w:rsidP="009A4147">
      <w:pPr>
        <w:ind w:left="0" w:firstLine="0"/>
        <w:rPr>
          <w:b/>
          <w:bCs/>
          <w:sz w:val="22"/>
          <w:lang w:val="en-GB"/>
        </w:rPr>
      </w:pPr>
    </w:p>
    <w:p w:rsidR="009A4147" w:rsidRDefault="009A4147" w:rsidP="009A4147">
      <w:pPr>
        <w:ind w:left="0" w:firstLine="0"/>
        <w:rPr>
          <w:b/>
          <w:bCs/>
          <w:sz w:val="22"/>
          <w:lang w:val="en-GB"/>
        </w:rPr>
      </w:pPr>
    </w:p>
    <w:p w:rsidR="009A4147" w:rsidRPr="002C75B8" w:rsidRDefault="009A4147" w:rsidP="009A4147">
      <w:pPr>
        <w:ind w:left="0" w:firstLine="0"/>
        <w:rPr>
          <w:b/>
          <w:bCs/>
          <w:sz w:val="22"/>
          <w:lang w:val="en-GB"/>
        </w:rPr>
      </w:pPr>
      <w:r w:rsidRPr="002C75B8">
        <w:rPr>
          <w:b/>
          <w:bCs/>
          <w:sz w:val="22"/>
          <w:lang w:val="en-GB"/>
        </w:rPr>
        <w:t>Cutaneous leishmaniasis trend</w:t>
      </w:r>
    </w:p>
    <w:p w:rsidR="009A4147" w:rsidRPr="002C75B8" w:rsidRDefault="009A4147" w:rsidP="009A4147">
      <w:pPr>
        <w:ind w:left="0" w:firstLine="0"/>
        <w:rPr>
          <w:b/>
          <w:bCs/>
          <w:sz w:val="22"/>
          <w:lang w:val="en-US"/>
        </w:rPr>
      </w:pPr>
      <w:r>
        <w:rPr>
          <w:b/>
          <w:bCs/>
          <w:noProof/>
          <w:sz w:val="22"/>
          <w:lang w:val="en-US"/>
        </w:rPr>
        <w:drawing>
          <wp:anchor distT="0" distB="0" distL="114300" distR="114300" simplePos="0" relativeHeight="251660288" behindDoc="0" locked="0" layoutInCell="1" allowOverlap="1">
            <wp:simplePos x="0" y="0"/>
            <wp:positionH relativeFrom="column">
              <wp:posOffset>-640080</wp:posOffset>
            </wp:positionH>
            <wp:positionV relativeFrom="paragraph">
              <wp:posOffset>59690</wp:posOffset>
            </wp:positionV>
            <wp:extent cx="6745605" cy="285496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A4147" w:rsidRPr="002C75B8" w:rsidRDefault="009A4147" w:rsidP="009A4147">
      <w:pPr>
        <w:ind w:left="0" w:firstLine="0"/>
        <w:rPr>
          <w:b/>
          <w:bCs/>
          <w:sz w:val="22"/>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Default="009A4147" w:rsidP="009A4147">
      <w:pPr>
        <w:ind w:left="0" w:firstLine="0"/>
        <w:rPr>
          <w:b/>
          <w:bCs/>
          <w:sz w:val="22"/>
          <w:lang w:val="es-ES"/>
        </w:rPr>
      </w:pPr>
    </w:p>
    <w:p w:rsidR="009A4147" w:rsidRPr="002C75B8" w:rsidRDefault="009A4147" w:rsidP="009A4147">
      <w:pPr>
        <w:ind w:left="0" w:firstLine="0"/>
        <w:rPr>
          <w:b/>
          <w:bCs/>
          <w:sz w:val="22"/>
        </w:rPr>
      </w:pPr>
    </w:p>
    <w:p w:rsidR="009A4147" w:rsidRPr="002C75B8" w:rsidRDefault="009A4147" w:rsidP="009A4147">
      <w:pPr>
        <w:ind w:left="0" w:firstLine="0"/>
        <w:rPr>
          <w:b/>
          <w:bCs/>
          <w:sz w:val="22"/>
        </w:rPr>
      </w:pPr>
    </w:p>
    <w:p w:rsidR="009A4147" w:rsidRPr="002C75B8" w:rsidRDefault="009A4147" w:rsidP="009A4147">
      <w:pPr>
        <w:ind w:left="0" w:firstLine="0"/>
        <w:rPr>
          <w:b/>
          <w:bCs/>
          <w:sz w:val="22"/>
        </w:rPr>
      </w:pPr>
    </w:p>
    <w:p w:rsidR="009A4147" w:rsidRPr="002C75B8" w:rsidRDefault="009A4147" w:rsidP="009A4147">
      <w:pPr>
        <w:ind w:left="0" w:firstLine="0"/>
        <w:rPr>
          <w:b/>
          <w:bCs/>
          <w:sz w:val="22"/>
        </w:rPr>
      </w:pPr>
    </w:p>
    <w:p w:rsidR="009A4147" w:rsidRDefault="009A4147" w:rsidP="009A4147">
      <w:pPr>
        <w:ind w:left="0" w:firstLine="0"/>
        <w:rPr>
          <w:b/>
          <w:sz w:val="22"/>
          <w:lang w:val="en-GB"/>
        </w:rPr>
      </w:pPr>
    </w:p>
    <w:p w:rsidR="009A4147" w:rsidRDefault="009A4147" w:rsidP="009A4147">
      <w:pPr>
        <w:ind w:left="0" w:firstLine="0"/>
        <w:rPr>
          <w:b/>
          <w:sz w:val="22"/>
          <w:lang w:val="en-GB"/>
        </w:rPr>
      </w:pPr>
    </w:p>
    <w:p w:rsidR="009A4147" w:rsidRDefault="009A4147" w:rsidP="009A4147">
      <w:pPr>
        <w:ind w:left="0" w:firstLine="0"/>
        <w:rPr>
          <w:b/>
          <w:sz w:val="22"/>
          <w:lang w:val="en-GB"/>
        </w:rPr>
      </w:pPr>
    </w:p>
    <w:p w:rsidR="009A4147" w:rsidRPr="002C75B8" w:rsidRDefault="009A4147" w:rsidP="009A4147">
      <w:pPr>
        <w:ind w:left="0" w:firstLine="0"/>
        <w:rPr>
          <w:b/>
          <w:sz w:val="22"/>
          <w:lang w:val="en-GB"/>
        </w:rPr>
      </w:pPr>
      <w:r w:rsidRPr="002C75B8">
        <w:rPr>
          <w:b/>
          <w:sz w:val="22"/>
          <w:lang w:val="en-GB"/>
        </w:rPr>
        <w:lastRenderedPageBreak/>
        <w:t>CONTROL</w:t>
      </w:r>
    </w:p>
    <w:p w:rsidR="009A4147" w:rsidRPr="002C75B8" w:rsidRDefault="009A4147" w:rsidP="009A4147">
      <w:pPr>
        <w:ind w:left="0" w:firstLine="0"/>
        <w:rPr>
          <w:bCs/>
          <w:sz w:val="22"/>
          <w:lang w:val="en-US"/>
        </w:rPr>
      </w:pPr>
    </w:p>
    <w:p w:rsidR="009A4147" w:rsidRPr="002C75B8" w:rsidRDefault="009A4147" w:rsidP="009A4147">
      <w:pPr>
        <w:ind w:left="0" w:firstLine="0"/>
        <w:rPr>
          <w:bCs/>
          <w:sz w:val="22"/>
          <w:lang w:val="en-US"/>
        </w:rPr>
      </w:pPr>
      <w:r w:rsidRPr="002C75B8">
        <w:rPr>
          <w:bCs/>
          <w:sz w:val="22"/>
          <w:lang w:val="en-US"/>
        </w:rPr>
        <w:t xml:space="preserve">The notification of leishmaniasis </w:t>
      </w:r>
      <w:r>
        <w:rPr>
          <w:bCs/>
          <w:sz w:val="22"/>
          <w:lang w:val="en-US"/>
        </w:rPr>
        <w:t>has been</w:t>
      </w:r>
      <w:r w:rsidRPr="002C75B8">
        <w:rPr>
          <w:bCs/>
          <w:sz w:val="22"/>
          <w:lang w:val="en-US"/>
        </w:rPr>
        <w:t xml:space="preserve"> mandatory in the country since 1960. There is no national </w:t>
      </w:r>
      <w:r>
        <w:rPr>
          <w:bCs/>
          <w:sz w:val="22"/>
          <w:lang w:val="en-US"/>
        </w:rPr>
        <w:t>l</w:t>
      </w:r>
      <w:r w:rsidRPr="002C75B8">
        <w:rPr>
          <w:bCs/>
          <w:sz w:val="22"/>
          <w:lang w:val="en-US"/>
        </w:rPr>
        <w:t>eishmaniasis control program</w:t>
      </w:r>
      <w:r>
        <w:rPr>
          <w:bCs/>
          <w:sz w:val="22"/>
          <w:lang w:val="en-US"/>
        </w:rPr>
        <w:t>, nor a</w:t>
      </w:r>
      <w:r w:rsidRPr="002C75B8">
        <w:rPr>
          <w:bCs/>
          <w:sz w:val="22"/>
          <w:lang w:val="en-US"/>
        </w:rPr>
        <w:t xml:space="preserve"> leishmaniasis vector control program</w:t>
      </w:r>
      <w:r>
        <w:rPr>
          <w:bCs/>
          <w:sz w:val="22"/>
          <w:lang w:val="en-US"/>
        </w:rPr>
        <w:t>.</w:t>
      </w:r>
      <w:r w:rsidRPr="002C75B8">
        <w:rPr>
          <w:bCs/>
          <w:sz w:val="22"/>
          <w:lang w:val="en-US"/>
        </w:rPr>
        <w:t xml:space="preserve"> Bednets distribution and insecticide spraying take place in the context of malaria control. There is no leishmaniasis reservoir control program. </w:t>
      </w: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r w:rsidRPr="002C75B8">
        <w:rPr>
          <w:b/>
          <w:sz w:val="22"/>
          <w:lang w:val="en-US"/>
        </w:rPr>
        <w:t xml:space="preserve">DIAGNOSIS, TREATMENT </w:t>
      </w:r>
    </w:p>
    <w:p w:rsidR="009A4147" w:rsidRPr="002C75B8" w:rsidRDefault="009A4147" w:rsidP="009A4147">
      <w:pPr>
        <w:ind w:left="0" w:firstLine="0"/>
        <w:rPr>
          <w:b/>
          <w:bCs/>
          <w:sz w:val="22"/>
          <w:lang w:val="en-US"/>
        </w:rPr>
      </w:pPr>
    </w:p>
    <w:p w:rsidR="009A4147" w:rsidRPr="002C75B8" w:rsidRDefault="009A4147" w:rsidP="009A4147">
      <w:pPr>
        <w:ind w:left="0" w:firstLine="0"/>
        <w:rPr>
          <w:b/>
          <w:sz w:val="22"/>
          <w:lang w:val="en-US"/>
        </w:rPr>
      </w:pPr>
      <w:r w:rsidRPr="002C75B8">
        <w:rPr>
          <w:b/>
          <w:bCs/>
          <w:sz w:val="22"/>
          <w:lang w:val="en-US"/>
        </w:rPr>
        <w:t>Diagnosis</w:t>
      </w:r>
    </w:p>
    <w:p w:rsidR="009A4147" w:rsidRPr="002C75B8" w:rsidRDefault="009A4147" w:rsidP="009A4147">
      <w:pPr>
        <w:ind w:left="0" w:firstLine="0"/>
        <w:rPr>
          <w:sz w:val="22"/>
          <w:lang w:val="en-US"/>
        </w:rPr>
      </w:pPr>
    </w:p>
    <w:p w:rsidR="009A4147" w:rsidRPr="002C75B8" w:rsidRDefault="009A4147" w:rsidP="009A4147">
      <w:pPr>
        <w:ind w:left="0" w:firstLine="0"/>
        <w:rPr>
          <w:sz w:val="22"/>
          <w:lang w:val="en-US"/>
        </w:rPr>
      </w:pPr>
      <w:r>
        <w:rPr>
          <w:sz w:val="22"/>
          <w:lang w:val="en-US"/>
        </w:rPr>
        <w:t>CL: o</w:t>
      </w:r>
      <w:r w:rsidRPr="002C75B8">
        <w:rPr>
          <w:sz w:val="22"/>
          <w:lang w:val="en-US"/>
        </w:rPr>
        <w:t>n clinical grounds and confirmation by microscopic examination of skin lesion sample</w:t>
      </w:r>
      <w:r>
        <w:rPr>
          <w:sz w:val="22"/>
          <w:lang w:val="en-US"/>
        </w:rPr>
        <w:t>;</w:t>
      </w:r>
      <w:r w:rsidRPr="002C75B8">
        <w:rPr>
          <w:sz w:val="22"/>
          <w:lang w:val="en-US"/>
        </w:rPr>
        <w:t xml:space="preserve"> sometimes PCR is used. </w:t>
      </w:r>
    </w:p>
    <w:p w:rsidR="009A4147" w:rsidRPr="002C75B8" w:rsidRDefault="009A4147" w:rsidP="009A4147">
      <w:pPr>
        <w:ind w:left="0" w:firstLine="0"/>
        <w:rPr>
          <w:b/>
          <w:sz w:val="22"/>
          <w:lang w:val="en-US"/>
        </w:rPr>
      </w:pPr>
    </w:p>
    <w:p w:rsidR="009A4147" w:rsidRPr="002C75B8" w:rsidRDefault="009A4147" w:rsidP="009A4147">
      <w:pPr>
        <w:ind w:left="0" w:firstLine="0"/>
        <w:rPr>
          <w:b/>
          <w:sz w:val="22"/>
          <w:lang w:val="en-US"/>
        </w:rPr>
      </w:pPr>
      <w:r w:rsidRPr="002C75B8">
        <w:rPr>
          <w:b/>
          <w:bCs/>
          <w:sz w:val="22"/>
          <w:lang w:val="en-US"/>
        </w:rPr>
        <w:t>Treatment</w:t>
      </w:r>
    </w:p>
    <w:p w:rsidR="009A4147" w:rsidRPr="002C75B8" w:rsidRDefault="009A4147" w:rsidP="009A4147">
      <w:pPr>
        <w:ind w:left="0" w:firstLine="0"/>
        <w:rPr>
          <w:sz w:val="22"/>
          <w:lang w:val="en-US"/>
        </w:rPr>
      </w:pPr>
    </w:p>
    <w:p w:rsidR="009A4147" w:rsidRPr="003A7470" w:rsidRDefault="009A4147" w:rsidP="009A4147">
      <w:pPr>
        <w:ind w:left="0" w:firstLine="0"/>
        <w:rPr>
          <w:sz w:val="22"/>
          <w:lang w:val="en-US"/>
        </w:rPr>
      </w:pPr>
      <w:r>
        <w:rPr>
          <w:bCs/>
          <w:sz w:val="22"/>
          <w:lang w:val="en-US"/>
        </w:rPr>
        <w:t>CL: a</w:t>
      </w:r>
      <w:r w:rsidRPr="003A7470">
        <w:rPr>
          <w:bCs/>
          <w:sz w:val="22"/>
          <w:lang w:val="en-US"/>
        </w:rPr>
        <w:t xml:space="preserve">ntimonials, </w:t>
      </w:r>
      <w:proofErr w:type="spellStart"/>
      <w:r w:rsidRPr="003A7470">
        <w:rPr>
          <w:bCs/>
          <w:sz w:val="22"/>
          <w:lang w:val="en-US"/>
        </w:rPr>
        <w:t>intralesionsal</w:t>
      </w:r>
      <w:proofErr w:type="spellEnd"/>
      <w:r w:rsidRPr="003A7470">
        <w:rPr>
          <w:bCs/>
          <w:sz w:val="22"/>
          <w:lang w:val="en-US"/>
        </w:rPr>
        <w:t xml:space="preserve"> and systemic in case of severe lesions. Thermotherapy is also used for patients with limited number of lesions on limbs</w:t>
      </w:r>
      <w:r>
        <w:rPr>
          <w:bCs/>
          <w:sz w:val="22"/>
          <w:lang w:val="en-US"/>
        </w:rPr>
        <w:t>.</w:t>
      </w:r>
    </w:p>
    <w:p w:rsidR="009A4147" w:rsidRPr="003A7470" w:rsidRDefault="009A4147" w:rsidP="009A4147">
      <w:pPr>
        <w:ind w:left="0" w:firstLine="0"/>
        <w:rPr>
          <w:sz w:val="22"/>
          <w:lang w:val="en-US"/>
        </w:rPr>
      </w:pPr>
    </w:p>
    <w:p w:rsidR="009A4147" w:rsidRPr="002C75B8" w:rsidRDefault="009A4147" w:rsidP="009A4147">
      <w:pPr>
        <w:ind w:left="0" w:firstLine="0"/>
        <w:rPr>
          <w:sz w:val="22"/>
          <w:lang w:val="en-US"/>
        </w:rPr>
      </w:pPr>
    </w:p>
    <w:p w:rsidR="009A4147" w:rsidRPr="002C75B8" w:rsidRDefault="009A4147" w:rsidP="009A4147">
      <w:pPr>
        <w:ind w:left="0" w:firstLine="0"/>
        <w:rPr>
          <w:sz w:val="22"/>
          <w:lang w:val="en-US"/>
        </w:rPr>
      </w:pPr>
      <w:r w:rsidRPr="002C75B8">
        <w:rPr>
          <w:b/>
          <w:bCs/>
          <w:sz w:val="22"/>
          <w:lang w:val="en-US"/>
        </w:rPr>
        <w:t xml:space="preserve">ACCESS TO CARE </w:t>
      </w:r>
    </w:p>
    <w:p w:rsidR="009A4147" w:rsidRPr="002C75B8" w:rsidRDefault="009A4147" w:rsidP="009A4147">
      <w:pPr>
        <w:pStyle w:val="NoSpacing"/>
        <w:jc w:val="both"/>
        <w:rPr>
          <w:rFonts w:ascii="Arial" w:hAnsi="Arial" w:cs="Arial"/>
          <w:lang w:val="en-US"/>
        </w:rPr>
      </w:pPr>
    </w:p>
    <w:p w:rsidR="009A4147" w:rsidRPr="002C75B8" w:rsidRDefault="009A4147" w:rsidP="009A4147">
      <w:pPr>
        <w:pStyle w:val="NoSpacing"/>
        <w:jc w:val="both"/>
        <w:rPr>
          <w:rFonts w:ascii="Arial" w:hAnsi="Arial" w:cs="Arial"/>
          <w:lang w:val="en-US"/>
        </w:rPr>
      </w:pPr>
      <w:r w:rsidRPr="002C75B8">
        <w:rPr>
          <w:rFonts w:ascii="Arial" w:hAnsi="Arial" w:cs="Arial"/>
          <w:lang w:val="en-US"/>
        </w:rPr>
        <w:t>Care for leishmaniasis is not provided for free and the Ministry of Health does not provide drugs for leishmaniasis. Patients have to pay for drugs, tests and treatment themselves. In 2007, 120 patients were treated by a</w:t>
      </w:r>
      <w:r>
        <w:rPr>
          <w:rFonts w:ascii="Arial" w:hAnsi="Arial" w:cs="Arial"/>
          <w:lang w:val="en-US"/>
        </w:rPr>
        <w:t>n</w:t>
      </w:r>
      <w:r w:rsidRPr="002C75B8">
        <w:rPr>
          <w:rFonts w:ascii="Arial" w:hAnsi="Arial" w:cs="Arial"/>
          <w:lang w:val="en-US"/>
        </w:rPr>
        <w:t xml:space="preserve"> NGO, </w:t>
      </w:r>
      <w:r>
        <w:rPr>
          <w:rFonts w:ascii="Arial" w:hAnsi="Arial" w:cs="Arial"/>
          <w:lang w:val="en-US"/>
        </w:rPr>
        <w:t xml:space="preserve">but </w:t>
      </w:r>
      <w:r w:rsidRPr="002C75B8">
        <w:rPr>
          <w:rFonts w:ascii="Arial" w:hAnsi="Arial" w:cs="Arial"/>
          <w:lang w:val="en-US"/>
        </w:rPr>
        <w:t>currently, no NGO</w:t>
      </w:r>
      <w:r>
        <w:rPr>
          <w:rFonts w:ascii="Arial" w:hAnsi="Arial" w:cs="Arial"/>
          <w:lang w:val="en-US"/>
        </w:rPr>
        <w:t>’</w:t>
      </w:r>
      <w:r w:rsidRPr="002C75B8">
        <w:rPr>
          <w:rFonts w:ascii="Arial" w:hAnsi="Arial" w:cs="Arial"/>
          <w:lang w:val="en-US"/>
        </w:rPr>
        <w:t>s treating leishmaniasis</w:t>
      </w:r>
      <w:r>
        <w:rPr>
          <w:rFonts w:ascii="Arial" w:hAnsi="Arial" w:cs="Arial"/>
          <w:lang w:val="en-US"/>
        </w:rPr>
        <w:t xml:space="preserve"> </w:t>
      </w:r>
      <w:proofErr w:type="gramStart"/>
      <w:r>
        <w:rPr>
          <w:rFonts w:ascii="Arial" w:hAnsi="Arial" w:cs="Arial"/>
          <w:lang w:val="en-US"/>
        </w:rPr>
        <w:t>are</w:t>
      </w:r>
      <w:proofErr w:type="gramEnd"/>
      <w:r>
        <w:rPr>
          <w:rFonts w:ascii="Arial" w:hAnsi="Arial" w:cs="Arial"/>
          <w:lang w:val="en-US"/>
        </w:rPr>
        <w:t xml:space="preserve"> present</w:t>
      </w:r>
      <w:r w:rsidRPr="002C75B8">
        <w:rPr>
          <w:rFonts w:ascii="Arial" w:hAnsi="Arial" w:cs="Arial"/>
          <w:lang w:val="en-US"/>
        </w:rPr>
        <w:t xml:space="preserve">. The main reason for lack of access to treatment is the unavailability of antimonials in the country. There is also a lack of awareness of the disease among health workers and the population. Most patients seek substandard private care. Diagnosis and treatment only takes place in </w:t>
      </w:r>
      <w:r>
        <w:rPr>
          <w:rFonts w:ascii="Arial" w:hAnsi="Arial" w:cs="Arial"/>
          <w:lang w:val="en-US"/>
        </w:rPr>
        <w:t xml:space="preserve">one </w:t>
      </w:r>
      <w:r w:rsidRPr="002C75B8">
        <w:rPr>
          <w:rFonts w:ascii="Arial" w:hAnsi="Arial" w:cs="Arial"/>
          <w:lang w:val="en-US"/>
        </w:rPr>
        <w:t xml:space="preserve">specialized center </w:t>
      </w:r>
      <w:r w:rsidRPr="003A7470">
        <w:rPr>
          <w:rFonts w:ascii="Arial" w:hAnsi="Arial" w:cs="Arial"/>
          <w:lang w:val="en-US"/>
        </w:rPr>
        <w:t xml:space="preserve">(Centre National </w:t>
      </w:r>
      <w:proofErr w:type="spellStart"/>
      <w:r w:rsidRPr="003A7470">
        <w:rPr>
          <w:rFonts w:ascii="Arial" w:hAnsi="Arial" w:cs="Arial"/>
          <w:lang w:val="en-US"/>
        </w:rPr>
        <w:t>d’Appui</w:t>
      </w:r>
      <w:proofErr w:type="spellEnd"/>
      <w:r w:rsidRPr="003A7470">
        <w:rPr>
          <w:rFonts w:ascii="Arial" w:hAnsi="Arial" w:cs="Arial"/>
          <w:lang w:val="en-US"/>
        </w:rPr>
        <w:t xml:space="preserve"> </w:t>
      </w:r>
      <w:r>
        <w:rPr>
          <w:rFonts w:ascii="Arial" w:hAnsi="Arial" w:cs="Arial"/>
          <w:lang w:val="en-US"/>
        </w:rPr>
        <w:t>à</w:t>
      </w:r>
      <w:r w:rsidRPr="003A7470">
        <w:rPr>
          <w:rFonts w:ascii="Arial" w:hAnsi="Arial" w:cs="Arial"/>
          <w:lang w:val="en-US"/>
        </w:rPr>
        <w:t xml:space="preserve"> la </w:t>
      </w:r>
      <w:proofErr w:type="spellStart"/>
      <w:r w:rsidRPr="003A7470">
        <w:rPr>
          <w:rFonts w:ascii="Arial" w:hAnsi="Arial" w:cs="Arial"/>
          <w:lang w:val="en-US"/>
        </w:rPr>
        <w:t>lutte</w:t>
      </w:r>
      <w:proofErr w:type="spellEnd"/>
      <w:r w:rsidRPr="003A7470">
        <w:rPr>
          <w:rFonts w:ascii="Arial" w:hAnsi="Arial" w:cs="Arial"/>
          <w:lang w:val="en-US"/>
        </w:rPr>
        <w:t xml:space="preserve"> </w:t>
      </w:r>
      <w:proofErr w:type="spellStart"/>
      <w:r w:rsidRPr="003A7470">
        <w:rPr>
          <w:rFonts w:ascii="Arial" w:hAnsi="Arial" w:cs="Arial"/>
          <w:lang w:val="en-US"/>
        </w:rPr>
        <w:t>contre</w:t>
      </w:r>
      <w:proofErr w:type="spellEnd"/>
      <w:r w:rsidRPr="003A7470">
        <w:rPr>
          <w:rFonts w:ascii="Arial" w:hAnsi="Arial" w:cs="Arial"/>
          <w:lang w:val="en-US"/>
        </w:rPr>
        <w:t xml:space="preserve"> la </w:t>
      </w:r>
      <w:proofErr w:type="spellStart"/>
      <w:r w:rsidRPr="003A7470">
        <w:rPr>
          <w:rFonts w:ascii="Arial" w:hAnsi="Arial" w:cs="Arial"/>
          <w:lang w:val="en-US"/>
        </w:rPr>
        <w:t>Maladie</w:t>
      </w:r>
      <w:proofErr w:type="spellEnd"/>
      <w:r w:rsidRPr="003A7470">
        <w:rPr>
          <w:rFonts w:ascii="Arial" w:hAnsi="Arial" w:cs="Arial"/>
          <w:lang w:val="en-US"/>
        </w:rPr>
        <w:t>, CNAM), which is inaccessible</w:t>
      </w:r>
      <w:r w:rsidRPr="002C75B8">
        <w:rPr>
          <w:rFonts w:ascii="Arial" w:hAnsi="Arial" w:cs="Arial"/>
          <w:lang w:val="en-US"/>
        </w:rPr>
        <w:t xml:space="preserve"> for most patients due to distance, lack of money for transport and economic </w:t>
      </w:r>
      <w:r>
        <w:rPr>
          <w:rFonts w:ascii="Arial" w:hAnsi="Arial" w:cs="Arial"/>
          <w:lang w:val="en-US"/>
        </w:rPr>
        <w:t xml:space="preserve">loss </w:t>
      </w:r>
      <w:r w:rsidRPr="002C75B8">
        <w:rPr>
          <w:rFonts w:ascii="Arial" w:hAnsi="Arial" w:cs="Arial"/>
          <w:lang w:val="en-US"/>
        </w:rPr>
        <w:t xml:space="preserve">caused by spending time away from home. </w:t>
      </w:r>
    </w:p>
    <w:p w:rsidR="009A4147" w:rsidRPr="002C75B8" w:rsidRDefault="009A4147" w:rsidP="009A4147">
      <w:pPr>
        <w:pStyle w:val="NoSpacing"/>
        <w:jc w:val="both"/>
        <w:rPr>
          <w:rFonts w:ascii="Arial" w:hAnsi="Arial" w:cs="Arial"/>
          <w:lang w:val="en-US"/>
        </w:rPr>
      </w:pPr>
    </w:p>
    <w:p w:rsidR="009A4147" w:rsidRPr="002C75B8" w:rsidRDefault="009A4147" w:rsidP="009A4147">
      <w:pPr>
        <w:pStyle w:val="NoSpacing"/>
        <w:jc w:val="both"/>
        <w:rPr>
          <w:rFonts w:ascii="Arial" w:hAnsi="Arial" w:cs="Arial"/>
          <w:lang w:val="en-US"/>
        </w:rPr>
      </w:pPr>
    </w:p>
    <w:p w:rsidR="009A4147" w:rsidRPr="002C75B8" w:rsidRDefault="009A4147" w:rsidP="009A4147">
      <w:pPr>
        <w:pStyle w:val="NoSpacing"/>
        <w:jc w:val="both"/>
        <w:rPr>
          <w:rFonts w:ascii="Arial" w:hAnsi="Arial" w:cs="Arial"/>
          <w:b/>
        </w:rPr>
      </w:pPr>
      <w:r w:rsidRPr="002C75B8">
        <w:rPr>
          <w:rFonts w:ascii="Arial" w:hAnsi="Arial" w:cs="Arial"/>
          <w:b/>
        </w:rPr>
        <w:t>ACCESS TO DRUGS</w:t>
      </w:r>
    </w:p>
    <w:p w:rsidR="009A4147" w:rsidRPr="002C75B8" w:rsidRDefault="009A4147" w:rsidP="009A4147">
      <w:pPr>
        <w:pStyle w:val="NoSpacing"/>
        <w:jc w:val="both"/>
        <w:rPr>
          <w:rFonts w:ascii="Arial" w:hAnsi="Arial" w:cs="Arial"/>
          <w:b/>
        </w:rPr>
      </w:pPr>
      <w:r w:rsidRPr="002C75B8">
        <w:rPr>
          <w:rFonts w:ascii="Arial" w:hAnsi="Arial" w:cs="Arial"/>
          <w:b/>
        </w:rPr>
        <w:t xml:space="preserve"> </w:t>
      </w:r>
    </w:p>
    <w:p w:rsidR="009A4147" w:rsidRPr="002C75B8" w:rsidRDefault="009A4147" w:rsidP="009A4147">
      <w:pPr>
        <w:pStyle w:val="NoSpacing"/>
        <w:jc w:val="both"/>
        <w:rPr>
          <w:rFonts w:ascii="Arial" w:hAnsi="Arial" w:cs="Arial"/>
          <w:lang w:val="en-US"/>
        </w:rPr>
      </w:pPr>
      <w:r w:rsidRPr="002C75B8">
        <w:rPr>
          <w:rFonts w:ascii="Arial" w:hAnsi="Arial" w:cs="Arial"/>
          <w:lang w:val="en-US"/>
        </w:rPr>
        <w:t>Meglumine antimoniate is included in the National Essential Drug List</w:t>
      </w:r>
      <w:r>
        <w:rPr>
          <w:rFonts w:ascii="Arial" w:hAnsi="Arial" w:cs="Arial"/>
          <w:lang w:val="en-US"/>
        </w:rPr>
        <w:t>,</w:t>
      </w:r>
      <w:r w:rsidRPr="002C75B8">
        <w:rPr>
          <w:rFonts w:ascii="Arial" w:hAnsi="Arial" w:cs="Arial"/>
          <w:lang w:val="en-US"/>
        </w:rPr>
        <w:t xml:space="preserve"> but no antimonials are registered in </w:t>
      </w:r>
      <w:smartTag w:uri="urn:schemas-microsoft-com:office:smarttags" w:element="country-region">
        <w:smartTag w:uri="urn:schemas-microsoft-com:office:smarttags" w:element="place">
          <w:r w:rsidRPr="002C75B8">
            <w:rPr>
              <w:rFonts w:ascii="Arial" w:hAnsi="Arial" w:cs="Arial"/>
              <w:lang w:val="en-US"/>
            </w:rPr>
            <w:t>Mali</w:t>
          </w:r>
        </w:smartTag>
      </w:smartTag>
      <w:r w:rsidRPr="002C75B8">
        <w:rPr>
          <w:rFonts w:ascii="Arial" w:hAnsi="Arial" w:cs="Arial"/>
          <w:lang w:val="en-US"/>
        </w:rPr>
        <w:t xml:space="preserve">. Meglumine antimoniate (Glucantime, </w:t>
      </w:r>
      <w:proofErr w:type="spellStart"/>
      <w:r>
        <w:rPr>
          <w:rFonts w:ascii="Arial" w:hAnsi="Arial" w:cs="Arial"/>
          <w:lang w:val="en-US"/>
        </w:rPr>
        <w:t>Sanofi</w:t>
      </w:r>
      <w:proofErr w:type="spellEnd"/>
      <w:r w:rsidRPr="002C75B8">
        <w:rPr>
          <w:rFonts w:ascii="Arial" w:hAnsi="Arial" w:cs="Arial"/>
          <w:lang w:val="en-US"/>
        </w:rPr>
        <w:t xml:space="preserve">) is available in private pharmacies for USD 57 per box of 5 </w:t>
      </w:r>
      <w:proofErr w:type="gramStart"/>
      <w:r w:rsidRPr="002C75B8">
        <w:rPr>
          <w:rFonts w:ascii="Arial" w:hAnsi="Arial" w:cs="Arial"/>
          <w:lang w:val="en-US"/>
        </w:rPr>
        <w:t>vials,</w:t>
      </w:r>
      <w:proofErr w:type="gramEnd"/>
      <w:r w:rsidRPr="002C75B8">
        <w:rPr>
          <w:rFonts w:ascii="Arial" w:hAnsi="Arial" w:cs="Arial"/>
          <w:lang w:val="en-US"/>
        </w:rPr>
        <w:t xml:space="preserve"> leading to a treatment cost of around USD 125 for intralesional treatment, </w:t>
      </w:r>
      <w:r>
        <w:rPr>
          <w:rFonts w:ascii="Arial" w:hAnsi="Arial" w:cs="Arial"/>
          <w:lang w:val="en-US"/>
        </w:rPr>
        <w:t>and</w:t>
      </w:r>
      <w:r w:rsidRPr="002C75B8">
        <w:rPr>
          <w:rFonts w:ascii="Arial" w:hAnsi="Arial" w:cs="Arial"/>
          <w:lang w:val="en-US"/>
        </w:rPr>
        <w:t xml:space="preserve"> was </w:t>
      </w:r>
      <w:r>
        <w:rPr>
          <w:rFonts w:ascii="Arial" w:hAnsi="Arial" w:cs="Arial"/>
          <w:lang w:val="en-US"/>
        </w:rPr>
        <w:t xml:space="preserve">only </w:t>
      </w:r>
      <w:r w:rsidRPr="002C75B8">
        <w:rPr>
          <w:rFonts w:ascii="Arial" w:hAnsi="Arial" w:cs="Arial"/>
          <w:lang w:val="en-US"/>
        </w:rPr>
        <w:t xml:space="preserve">found in 2 </w:t>
      </w:r>
      <w:r>
        <w:rPr>
          <w:rFonts w:ascii="Arial" w:hAnsi="Arial" w:cs="Arial"/>
          <w:lang w:val="en-US"/>
        </w:rPr>
        <w:t xml:space="preserve">out </w:t>
      </w:r>
      <w:r w:rsidRPr="002C75B8">
        <w:rPr>
          <w:rFonts w:ascii="Arial" w:hAnsi="Arial" w:cs="Arial"/>
          <w:lang w:val="en-US"/>
        </w:rPr>
        <w:t xml:space="preserve">of 200 pharmacies. </w:t>
      </w:r>
    </w:p>
    <w:p w:rsidR="009A4147" w:rsidRPr="002C75B8" w:rsidRDefault="009A4147" w:rsidP="009A4147">
      <w:pPr>
        <w:pStyle w:val="NoSpacing"/>
        <w:jc w:val="both"/>
        <w:rPr>
          <w:rFonts w:ascii="Arial" w:hAnsi="Arial" w:cs="Arial"/>
          <w:lang w:val="en-US"/>
        </w:rPr>
      </w:pPr>
    </w:p>
    <w:p w:rsidR="009A4147" w:rsidRPr="002C75B8" w:rsidRDefault="009A4147" w:rsidP="009A4147">
      <w:pPr>
        <w:ind w:left="0" w:firstLine="0"/>
        <w:rPr>
          <w:b/>
          <w:sz w:val="22"/>
          <w:lang w:val="en-US"/>
        </w:rPr>
      </w:pPr>
    </w:p>
    <w:p w:rsidR="009A4147" w:rsidRDefault="009A4147" w:rsidP="009A4147">
      <w:pPr>
        <w:ind w:left="0" w:firstLine="0"/>
        <w:rPr>
          <w:b/>
          <w:sz w:val="22"/>
          <w:lang w:val="en-US"/>
        </w:rPr>
      </w:pPr>
      <w:r w:rsidRPr="00CD046F">
        <w:rPr>
          <w:b/>
          <w:sz w:val="22"/>
          <w:lang w:val="en-US"/>
        </w:rPr>
        <w:t>SOURCES OF INFORMATION</w:t>
      </w:r>
    </w:p>
    <w:p w:rsidR="009A4147" w:rsidRDefault="009A4147" w:rsidP="009A4147">
      <w:pPr>
        <w:ind w:left="0" w:firstLine="0"/>
        <w:rPr>
          <w:b/>
          <w:sz w:val="22"/>
          <w:lang w:val="en-US"/>
        </w:rPr>
      </w:pPr>
    </w:p>
    <w:p w:rsidR="009A4147" w:rsidRPr="005A6C3C" w:rsidRDefault="009A4147" w:rsidP="009A4147">
      <w:pPr>
        <w:pStyle w:val="Sinespaciado"/>
        <w:numPr>
          <w:ilvl w:val="0"/>
          <w:numId w:val="5"/>
        </w:numPr>
        <w:rPr>
          <w:rFonts w:ascii="Arial" w:hAnsi="Arial" w:cs="Arial"/>
        </w:rPr>
      </w:pPr>
      <w:r w:rsidRPr="005A6C3C">
        <w:rPr>
          <w:rFonts w:ascii="Arial" w:hAnsi="Arial" w:cs="Arial"/>
          <w:bCs/>
          <w:lang w:val="fr-FR"/>
        </w:rPr>
        <w:t xml:space="preserve">Dr </w:t>
      </w:r>
      <w:proofErr w:type="spellStart"/>
      <w:r w:rsidRPr="005A6C3C">
        <w:rPr>
          <w:rFonts w:ascii="Arial" w:hAnsi="Arial" w:cs="Arial"/>
          <w:bCs/>
          <w:lang w:val="fr-FR"/>
        </w:rPr>
        <w:t>Sibiry</w:t>
      </w:r>
      <w:proofErr w:type="spellEnd"/>
      <w:r w:rsidRPr="005A6C3C">
        <w:rPr>
          <w:rFonts w:ascii="Arial" w:hAnsi="Arial" w:cs="Arial"/>
          <w:bCs/>
          <w:lang w:val="fr-FR"/>
        </w:rPr>
        <w:t xml:space="preserve"> </w:t>
      </w:r>
      <w:proofErr w:type="spellStart"/>
      <w:r w:rsidRPr="005A6C3C">
        <w:rPr>
          <w:rFonts w:ascii="Arial" w:hAnsi="Arial" w:cs="Arial"/>
          <w:bCs/>
          <w:lang w:val="fr-FR"/>
        </w:rPr>
        <w:t>Samake</w:t>
      </w:r>
      <w:proofErr w:type="spellEnd"/>
      <w:r w:rsidRPr="005A6C3C">
        <w:rPr>
          <w:rFonts w:ascii="Arial" w:hAnsi="Arial" w:cs="Arial"/>
          <w:bCs/>
          <w:lang w:val="fr-FR"/>
        </w:rPr>
        <w:t>, Faculté de Médicine, de Pharmacie et d'</w:t>
      </w:r>
      <w:proofErr w:type="spellStart"/>
      <w:r w:rsidRPr="005A6C3C">
        <w:rPr>
          <w:rFonts w:ascii="Arial" w:hAnsi="Arial" w:cs="Arial"/>
          <w:bCs/>
          <w:lang w:val="fr-FR"/>
        </w:rPr>
        <w:t>Odonto-Stomatologie</w:t>
      </w:r>
      <w:proofErr w:type="spellEnd"/>
      <w:r w:rsidRPr="005A6C3C">
        <w:rPr>
          <w:rFonts w:ascii="Arial" w:hAnsi="Arial" w:cs="Arial"/>
          <w:bCs/>
          <w:lang w:val="fr-FR"/>
        </w:rPr>
        <w:t xml:space="preserve">, Mali. </w:t>
      </w:r>
      <w:r w:rsidRPr="005A6C3C">
        <w:rPr>
          <w:rFonts w:ascii="Arial" w:hAnsi="Arial" w:cs="Arial"/>
          <w:i/>
          <w:iCs/>
          <w:lang w:val="en-GB"/>
        </w:rPr>
        <w:t xml:space="preserve">Consultative </w:t>
      </w:r>
      <w:proofErr w:type="gramStart"/>
      <w:r w:rsidRPr="005A6C3C">
        <w:rPr>
          <w:rFonts w:ascii="Arial" w:hAnsi="Arial" w:cs="Arial"/>
          <w:i/>
          <w:iCs/>
          <w:lang w:val="en-GB"/>
        </w:rPr>
        <w:t>Meeting  on</w:t>
      </w:r>
      <w:proofErr w:type="gramEnd"/>
      <w:r w:rsidRPr="005A6C3C">
        <w:rPr>
          <w:rFonts w:ascii="Arial" w:hAnsi="Arial" w:cs="Arial"/>
          <w:i/>
          <w:iCs/>
          <w:lang w:val="en-GB"/>
        </w:rPr>
        <w:t xml:space="preserve"> The Control of Leishmaniasis in the African Region. </w:t>
      </w:r>
      <w:r w:rsidRPr="005A6C3C">
        <w:rPr>
          <w:rFonts w:ascii="Arial" w:hAnsi="Arial" w:cs="Arial"/>
          <w:i/>
          <w:iCs/>
        </w:rPr>
        <w:t xml:space="preserve">WHO/AFRO Addis </w:t>
      </w:r>
      <w:proofErr w:type="spellStart"/>
      <w:r w:rsidRPr="005A6C3C">
        <w:rPr>
          <w:rFonts w:ascii="Arial" w:hAnsi="Arial" w:cs="Arial"/>
          <w:i/>
          <w:iCs/>
        </w:rPr>
        <w:t>Ababa</w:t>
      </w:r>
      <w:proofErr w:type="spellEnd"/>
      <w:r w:rsidRPr="005A6C3C">
        <w:rPr>
          <w:rFonts w:ascii="Arial" w:hAnsi="Arial" w:cs="Arial"/>
          <w:i/>
          <w:iCs/>
        </w:rPr>
        <w:t xml:space="preserve">, 23-25 </w:t>
      </w:r>
      <w:proofErr w:type="spellStart"/>
      <w:r w:rsidRPr="005A6C3C">
        <w:rPr>
          <w:rFonts w:ascii="Arial" w:hAnsi="Arial" w:cs="Arial"/>
          <w:i/>
          <w:iCs/>
        </w:rPr>
        <w:t>Feb</w:t>
      </w:r>
      <w:proofErr w:type="spellEnd"/>
      <w:r w:rsidRPr="005A6C3C">
        <w:rPr>
          <w:rFonts w:ascii="Arial" w:hAnsi="Arial" w:cs="Arial"/>
          <w:i/>
          <w:iCs/>
        </w:rPr>
        <w:t xml:space="preserve"> 2010</w:t>
      </w:r>
      <w:r>
        <w:rPr>
          <w:rFonts w:ascii="Arial" w:hAnsi="Arial" w:cs="Arial"/>
          <w:i/>
          <w:iCs/>
        </w:rPr>
        <w:t>.</w:t>
      </w:r>
    </w:p>
    <w:p w:rsidR="009A4147" w:rsidRPr="005A6C3C" w:rsidRDefault="009A4147" w:rsidP="009A4147">
      <w:pPr>
        <w:ind w:left="0" w:firstLine="0"/>
        <w:rPr>
          <w:bCs/>
          <w:sz w:val="22"/>
          <w:lang w:val="fr-FR"/>
        </w:rPr>
      </w:pPr>
      <w:r w:rsidRPr="005A6C3C">
        <w:rPr>
          <w:bCs/>
          <w:sz w:val="22"/>
          <w:lang w:val="fr-FR"/>
        </w:rPr>
        <w:t xml:space="preserve"> </w:t>
      </w:r>
    </w:p>
    <w:p w:rsidR="009A4147" w:rsidRPr="005A6C3C" w:rsidRDefault="009A4147" w:rsidP="009A4147">
      <w:pPr>
        <w:ind w:left="0" w:firstLine="0"/>
        <w:rPr>
          <w:b/>
          <w:sz w:val="22"/>
          <w:lang w:val="fr-FR"/>
        </w:rPr>
      </w:pPr>
    </w:p>
    <w:p w:rsidR="009A4147" w:rsidRPr="005A6C3C" w:rsidRDefault="009A4147" w:rsidP="009A4147">
      <w:pPr>
        <w:ind w:left="0" w:firstLine="0"/>
        <w:rPr>
          <w:b/>
          <w:sz w:val="22"/>
          <w:lang w:val="fr-FR"/>
        </w:rPr>
      </w:pPr>
    </w:p>
    <w:p w:rsidR="009A4147" w:rsidRPr="005A6C3C" w:rsidRDefault="009A4147" w:rsidP="009A4147">
      <w:pPr>
        <w:ind w:left="0" w:firstLine="0"/>
        <w:rPr>
          <w:color w:val="E36C0A"/>
          <w:sz w:val="22"/>
          <w:lang w:val="fr-FR"/>
        </w:rPr>
      </w:pPr>
    </w:p>
    <w:p w:rsidR="009A4147" w:rsidRPr="009A4147" w:rsidRDefault="009A4147" w:rsidP="009A4147">
      <w:pPr>
        <w:ind w:left="0" w:firstLine="0"/>
        <w:rPr>
          <w:sz w:val="22"/>
          <w:lang w:val="en-US"/>
        </w:rPr>
      </w:pPr>
      <w:r w:rsidRPr="009A4147">
        <w:rPr>
          <w:sz w:val="22"/>
          <w:lang w:val="en-US"/>
        </w:rPr>
        <w:lastRenderedPageBreak/>
        <w:t xml:space="preserve">1. </w:t>
      </w:r>
      <w:proofErr w:type="spellStart"/>
      <w:r w:rsidRPr="009A4147">
        <w:rPr>
          <w:sz w:val="22"/>
          <w:lang w:val="en-US"/>
        </w:rPr>
        <w:t>Lefrou</w:t>
      </w:r>
      <w:proofErr w:type="spellEnd"/>
      <w:r w:rsidRPr="009A4147">
        <w:rPr>
          <w:sz w:val="22"/>
          <w:lang w:val="en-US"/>
        </w:rPr>
        <w:t xml:space="preserve"> G (1948). La </w:t>
      </w:r>
      <w:proofErr w:type="spellStart"/>
      <w:r w:rsidRPr="009A4147">
        <w:rPr>
          <w:sz w:val="22"/>
          <w:lang w:val="en-US"/>
        </w:rPr>
        <w:t>Leishmaniose</w:t>
      </w:r>
      <w:proofErr w:type="spellEnd"/>
      <w:r w:rsidRPr="009A4147">
        <w:rPr>
          <w:sz w:val="22"/>
          <w:lang w:val="en-US"/>
        </w:rPr>
        <w:t xml:space="preserve"> </w:t>
      </w:r>
      <w:proofErr w:type="spellStart"/>
      <w:r w:rsidRPr="009A4147">
        <w:rPr>
          <w:sz w:val="22"/>
          <w:lang w:val="en-US"/>
        </w:rPr>
        <w:t>cutanee</w:t>
      </w:r>
      <w:proofErr w:type="spellEnd"/>
      <w:r w:rsidRPr="009A4147">
        <w:rPr>
          <w:sz w:val="22"/>
          <w:lang w:val="en-US"/>
        </w:rPr>
        <w:t xml:space="preserve"> au Soudan </w:t>
      </w:r>
      <w:proofErr w:type="spellStart"/>
      <w:r w:rsidRPr="009A4147">
        <w:rPr>
          <w:sz w:val="22"/>
          <w:lang w:val="en-US"/>
        </w:rPr>
        <w:t>francais</w:t>
      </w:r>
      <w:proofErr w:type="spellEnd"/>
      <w:r w:rsidRPr="009A4147">
        <w:rPr>
          <w:sz w:val="22"/>
          <w:lang w:val="en-US"/>
        </w:rPr>
        <w:t xml:space="preserve">. </w:t>
      </w:r>
      <w:proofErr w:type="spellStart"/>
      <w:proofErr w:type="gramStart"/>
      <w:r w:rsidRPr="009A4147">
        <w:rPr>
          <w:sz w:val="22"/>
          <w:lang w:val="en-US"/>
        </w:rPr>
        <w:t>Frequence</w:t>
      </w:r>
      <w:proofErr w:type="spellEnd"/>
      <w:r w:rsidRPr="009A4147">
        <w:rPr>
          <w:sz w:val="22"/>
          <w:lang w:val="en-US"/>
        </w:rPr>
        <w:t xml:space="preserve"> de la </w:t>
      </w:r>
      <w:proofErr w:type="spellStart"/>
      <w:r w:rsidRPr="009A4147">
        <w:rPr>
          <w:sz w:val="22"/>
          <w:lang w:val="en-US"/>
        </w:rPr>
        <w:t>forme</w:t>
      </w:r>
      <w:proofErr w:type="spellEnd"/>
      <w:r w:rsidRPr="009A4147">
        <w:rPr>
          <w:sz w:val="22"/>
          <w:lang w:val="en-US"/>
        </w:rPr>
        <w:t xml:space="preserve"> </w:t>
      </w:r>
      <w:proofErr w:type="spellStart"/>
      <w:r w:rsidRPr="009A4147">
        <w:rPr>
          <w:sz w:val="22"/>
          <w:lang w:val="en-US"/>
        </w:rPr>
        <w:t>seche</w:t>
      </w:r>
      <w:proofErr w:type="spellEnd"/>
      <w:r w:rsidRPr="009A4147">
        <w:rPr>
          <w:sz w:val="22"/>
          <w:lang w:val="en-US"/>
        </w:rPr>
        <w:t xml:space="preserve"> </w:t>
      </w:r>
      <w:proofErr w:type="spellStart"/>
      <w:r w:rsidRPr="009A4147">
        <w:rPr>
          <w:sz w:val="22"/>
          <w:lang w:val="en-US"/>
        </w:rPr>
        <w:t>papulo-tuberculeuse</w:t>
      </w:r>
      <w:proofErr w:type="spellEnd"/>
      <w:r w:rsidRPr="009A4147">
        <w:rPr>
          <w:sz w:val="22"/>
          <w:lang w:val="en-US"/>
        </w:rPr>
        <w:t>.</w:t>
      </w:r>
      <w:proofErr w:type="gramEnd"/>
      <w:r w:rsidRPr="009A4147">
        <w:rPr>
          <w:sz w:val="22"/>
          <w:lang w:val="en-US"/>
        </w:rPr>
        <w:t xml:space="preserve"> Bull Soc Path </w:t>
      </w:r>
      <w:proofErr w:type="spellStart"/>
      <w:r w:rsidRPr="009A4147">
        <w:rPr>
          <w:sz w:val="22"/>
          <w:lang w:val="en-US"/>
        </w:rPr>
        <w:t>Exot</w:t>
      </w:r>
      <w:proofErr w:type="spellEnd"/>
      <w:r w:rsidRPr="009A4147">
        <w:rPr>
          <w:sz w:val="22"/>
          <w:lang w:val="en-US"/>
        </w:rPr>
        <w:t xml:space="preserve"> 41:622-7.</w:t>
      </w:r>
    </w:p>
    <w:p w:rsidR="009A4147" w:rsidRPr="009A4147" w:rsidRDefault="009A4147" w:rsidP="009A4147">
      <w:pPr>
        <w:ind w:left="0" w:firstLine="0"/>
        <w:rPr>
          <w:sz w:val="22"/>
          <w:lang w:val="en-US"/>
        </w:rPr>
      </w:pPr>
    </w:p>
    <w:p w:rsidR="009A4147" w:rsidRPr="009A4147" w:rsidRDefault="009A4147" w:rsidP="009A4147">
      <w:pPr>
        <w:ind w:left="0" w:firstLine="0"/>
        <w:rPr>
          <w:color w:val="000000"/>
          <w:sz w:val="22"/>
        </w:rPr>
      </w:pPr>
      <w:r w:rsidRPr="009A4147">
        <w:rPr>
          <w:sz w:val="22"/>
          <w:lang w:val="en-US"/>
        </w:rPr>
        <w:t xml:space="preserve">2. </w:t>
      </w:r>
      <w:hyperlink r:id="rId9" w:history="1">
        <w:proofErr w:type="spellStart"/>
        <w:r w:rsidRPr="009A4147">
          <w:rPr>
            <w:rStyle w:val="Hyperlink"/>
            <w:color w:val="000000"/>
            <w:sz w:val="22"/>
            <w:u w:val="none"/>
          </w:rPr>
          <w:t>Oliveira</w:t>
        </w:r>
        <w:proofErr w:type="spellEnd"/>
        <w:r w:rsidRPr="009A4147">
          <w:rPr>
            <w:rStyle w:val="Hyperlink"/>
            <w:color w:val="000000"/>
            <w:sz w:val="22"/>
            <w:u w:val="none"/>
          </w:rPr>
          <w:t xml:space="preserve"> F</w:t>
        </w:r>
      </w:hyperlink>
      <w:r w:rsidRPr="009A4147">
        <w:rPr>
          <w:color w:val="000000"/>
          <w:sz w:val="22"/>
        </w:rPr>
        <w:t xml:space="preserve">, </w:t>
      </w:r>
      <w:hyperlink r:id="rId10" w:history="1">
        <w:proofErr w:type="spellStart"/>
        <w:r w:rsidRPr="009A4147">
          <w:rPr>
            <w:rStyle w:val="Hyperlink"/>
            <w:color w:val="000000"/>
            <w:sz w:val="22"/>
            <w:u w:val="none"/>
          </w:rPr>
          <w:t>Doumbia</w:t>
        </w:r>
        <w:proofErr w:type="spellEnd"/>
        <w:r w:rsidRPr="009A4147">
          <w:rPr>
            <w:rStyle w:val="Hyperlink"/>
            <w:color w:val="000000"/>
            <w:sz w:val="22"/>
            <w:u w:val="none"/>
          </w:rPr>
          <w:t xml:space="preserve"> S</w:t>
        </w:r>
      </w:hyperlink>
      <w:r w:rsidRPr="009A4147">
        <w:rPr>
          <w:color w:val="000000"/>
          <w:sz w:val="22"/>
        </w:rPr>
        <w:t xml:space="preserve">, </w:t>
      </w:r>
      <w:hyperlink r:id="rId11" w:history="1">
        <w:r w:rsidRPr="009A4147">
          <w:rPr>
            <w:rStyle w:val="Hyperlink"/>
            <w:color w:val="000000"/>
            <w:sz w:val="22"/>
            <w:u w:val="none"/>
          </w:rPr>
          <w:t>Anderson JM</w:t>
        </w:r>
      </w:hyperlink>
      <w:r w:rsidRPr="009A4147">
        <w:rPr>
          <w:color w:val="000000"/>
          <w:sz w:val="22"/>
        </w:rPr>
        <w:t xml:space="preserve">, </w:t>
      </w:r>
      <w:hyperlink r:id="rId12" w:history="1">
        <w:proofErr w:type="spellStart"/>
        <w:r w:rsidRPr="009A4147">
          <w:rPr>
            <w:rStyle w:val="Hyperlink"/>
            <w:color w:val="000000"/>
            <w:sz w:val="22"/>
            <w:u w:val="none"/>
          </w:rPr>
          <w:t>Faye</w:t>
        </w:r>
        <w:proofErr w:type="spellEnd"/>
        <w:r w:rsidRPr="009A4147">
          <w:rPr>
            <w:rStyle w:val="Hyperlink"/>
            <w:color w:val="000000"/>
            <w:sz w:val="22"/>
            <w:u w:val="none"/>
          </w:rPr>
          <w:t xml:space="preserve"> O</w:t>
        </w:r>
      </w:hyperlink>
      <w:r w:rsidRPr="009A4147">
        <w:rPr>
          <w:color w:val="000000"/>
          <w:sz w:val="22"/>
        </w:rPr>
        <w:t xml:space="preserve">, </w:t>
      </w:r>
      <w:hyperlink r:id="rId13" w:history="1">
        <w:proofErr w:type="spellStart"/>
        <w:r w:rsidRPr="009A4147">
          <w:rPr>
            <w:rStyle w:val="Hyperlink"/>
            <w:color w:val="000000"/>
            <w:sz w:val="22"/>
            <w:u w:val="none"/>
          </w:rPr>
          <w:t>Diarra</w:t>
        </w:r>
        <w:proofErr w:type="spellEnd"/>
        <w:r w:rsidRPr="009A4147">
          <w:rPr>
            <w:rStyle w:val="Hyperlink"/>
            <w:color w:val="000000"/>
            <w:sz w:val="22"/>
            <w:u w:val="none"/>
          </w:rPr>
          <w:t xml:space="preserve"> SS</w:t>
        </w:r>
      </w:hyperlink>
      <w:r w:rsidRPr="009A4147">
        <w:rPr>
          <w:color w:val="000000"/>
          <w:sz w:val="22"/>
        </w:rPr>
        <w:t xml:space="preserve">, </w:t>
      </w:r>
      <w:hyperlink r:id="rId14" w:history="1">
        <w:proofErr w:type="spellStart"/>
        <w:r w:rsidRPr="009A4147">
          <w:rPr>
            <w:rStyle w:val="Hyperlink"/>
            <w:color w:val="000000"/>
            <w:sz w:val="22"/>
            <w:u w:val="none"/>
          </w:rPr>
          <w:t>Traoré</w:t>
        </w:r>
        <w:proofErr w:type="spellEnd"/>
        <w:r w:rsidRPr="009A4147">
          <w:rPr>
            <w:rStyle w:val="Hyperlink"/>
            <w:color w:val="000000"/>
            <w:sz w:val="22"/>
            <w:u w:val="none"/>
          </w:rPr>
          <w:t xml:space="preserve"> P</w:t>
        </w:r>
      </w:hyperlink>
      <w:r w:rsidRPr="009A4147">
        <w:rPr>
          <w:color w:val="000000"/>
          <w:sz w:val="22"/>
        </w:rPr>
        <w:t xml:space="preserve"> et al (2009). </w:t>
      </w:r>
      <w:hyperlink r:id="rId15" w:history="1">
        <w:proofErr w:type="spellStart"/>
        <w:r w:rsidRPr="009A4147">
          <w:rPr>
            <w:rStyle w:val="Hyperlink"/>
            <w:color w:val="000000"/>
            <w:sz w:val="22"/>
            <w:u w:val="none"/>
          </w:rPr>
          <w:t>Discrepant</w:t>
        </w:r>
        <w:proofErr w:type="spellEnd"/>
        <w:r w:rsidRPr="009A4147">
          <w:rPr>
            <w:rStyle w:val="Hyperlink"/>
            <w:color w:val="000000"/>
            <w:sz w:val="22"/>
            <w:u w:val="none"/>
          </w:rPr>
          <w:t xml:space="preserve"> </w:t>
        </w:r>
        <w:proofErr w:type="spellStart"/>
        <w:r w:rsidRPr="009A4147">
          <w:rPr>
            <w:rStyle w:val="Hyperlink"/>
            <w:color w:val="000000"/>
            <w:sz w:val="22"/>
            <w:u w:val="none"/>
          </w:rPr>
          <w:t>prevalence</w:t>
        </w:r>
        <w:proofErr w:type="spellEnd"/>
        <w:r w:rsidRPr="009A4147">
          <w:rPr>
            <w:rStyle w:val="Hyperlink"/>
            <w:color w:val="000000"/>
            <w:sz w:val="22"/>
            <w:u w:val="none"/>
          </w:rPr>
          <w:t xml:space="preserve"> and </w:t>
        </w:r>
        <w:proofErr w:type="spellStart"/>
        <w:r w:rsidRPr="009A4147">
          <w:rPr>
            <w:rStyle w:val="Hyperlink"/>
            <w:color w:val="000000"/>
            <w:sz w:val="22"/>
            <w:u w:val="none"/>
          </w:rPr>
          <w:t>incidence</w:t>
        </w:r>
        <w:proofErr w:type="spellEnd"/>
        <w:r w:rsidRPr="009A4147">
          <w:rPr>
            <w:rStyle w:val="Hyperlink"/>
            <w:color w:val="000000"/>
            <w:sz w:val="22"/>
            <w:u w:val="none"/>
          </w:rPr>
          <w:t xml:space="preserve"> of Leishmania </w:t>
        </w:r>
        <w:proofErr w:type="spellStart"/>
        <w:r w:rsidRPr="009A4147">
          <w:rPr>
            <w:rStyle w:val="Hyperlink"/>
            <w:color w:val="000000"/>
            <w:sz w:val="22"/>
            <w:u w:val="none"/>
          </w:rPr>
          <w:t>infection</w:t>
        </w:r>
        <w:proofErr w:type="spellEnd"/>
        <w:r w:rsidRPr="009A4147">
          <w:rPr>
            <w:rStyle w:val="Hyperlink"/>
            <w:color w:val="000000"/>
            <w:sz w:val="22"/>
            <w:u w:val="none"/>
          </w:rPr>
          <w:t xml:space="preserve"> </w:t>
        </w:r>
        <w:proofErr w:type="spellStart"/>
        <w:r w:rsidRPr="009A4147">
          <w:rPr>
            <w:rStyle w:val="Hyperlink"/>
            <w:color w:val="000000"/>
            <w:sz w:val="22"/>
            <w:u w:val="none"/>
          </w:rPr>
          <w:t>between</w:t>
        </w:r>
        <w:proofErr w:type="spellEnd"/>
        <w:r w:rsidRPr="009A4147">
          <w:rPr>
            <w:rStyle w:val="Hyperlink"/>
            <w:color w:val="000000"/>
            <w:sz w:val="22"/>
            <w:u w:val="none"/>
          </w:rPr>
          <w:t xml:space="preserve"> </w:t>
        </w:r>
        <w:proofErr w:type="spellStart"/>
        <w:r w:rsidRPr="009A4147">
          <w:rPr>
            <w:rStyle w:val="Hyperlink"/>
            <w:color w:val="000000"/>
            <w:sz w:val="22"/>
            <w:u w:val="none"/>
          </w:rPr>
          <w:t>two</w:t>
        </w:r>
        <w:proofErr w:type="spellEnd"/>
        <w:r w:rsidRPr="009A4147">
          <w:rPr>
            <w:rStyle w:val="Hyperlink"/>
            <w:color w:val="000000"/>
            <w:sz w:val="22"/>
            <w:u w:val="none"/>
          </w:rPr>
          <w:t xml:space="preserve"> </w:t>
        </w:r>
        <w:proofErr w:type="spellStart"/>
        <w:r w:rsidRPr="009A4147">
          <w:rPr>
            <w:rStyle w:val="Hyperlink"/>
            <w:color w:val="000000"/>
            <w:sz w:val="22"/>
            <w:u w:val="none"/>
          </w:rPr>
          <w:t>neighboring</w:t>
        </w:r>
        <w:proofErr w:type="spellEnd"/>
        <w:r w:rsidRPr="009A4147">
          <w:rPr>
            <w:rStyle w:val="Hyperlink"/>
            <w:color w:val="000000"/>
            <w:sz w:val="22"/>
            <w:u w:val="none"/>
          </w:rPr>
          <w:t xml:space="preserve"> </w:t>
        </w:r>
        <w:proofErr w:type="spellStart"/>
        <w:r w:rsidRPr="009A4147">
          <w:rPr>
            <w:rStyle w:val="Hyperlink"/>
            <w:color w:val="000000"/>
            <w:sz w:val="22"/>
            <w:u w:val="none"/>
          </w:rPr>
          <w:t>villages</w:t>
        </w:r>
        <w:proofErr w:type="spellEnd"/>
        <w:r w:rsidRPr="009A4147">
          <w:rPr>
            <w:rStyle w:val="Hyperlink"/>
            <w:color w:val="000000"/>
            <w:sz w:val="22"/>
            <w:u w:val="none"/>
          </w:rPr>
          <w:t xml:space="preserve"> in Central Mali </w:t>
        </w:r>
        <w:proofErr w:type="spellStart"/>
        <w:r w:rsidRPr="009A4147">
          <w:rPr>
            <w:rStyle w:val="Hyperlink"/>
            <w:color w:val="000000"/>
            <w:sz w:val="22"/>
            <w:u w:val="none"/>
          </w:rPr>
          <w:t>based</w:t>
        </w:r>
        <w:proofErr w:type="spellEnd"/>
        <w:r w:rsidRPr="009A4147">
          <w:rPr>
            <w:rStyle w:val="Hyperlink"/>
            <w:color w:val="000000"/>
            <w:sz w:val="22"/>
            <w:u w:val="none"/>
          </w:rPr>
          <w:t xml:space="preserve"> </w:t>
        </w:r>
        <w:proofErr w:type="spellStart"/>
        <w:r w:rsidRPr="009A4147">
          <w:rPr>
            <w:rStyle w:val="Hyperlink"/>
            <w:color w:val="000000"/>
            <w:sz w:val="22"/>
            <w:u w:val="none"/>
          </w:rPr>
          <w:t>on</w:t>
        </w:r>
        <w:proofErr w:type="spellEnd"/>
        <w:r w:rsidRPr="009A4147">
          <w:rPr>
            <w:rStyle w:val="Hyperlink"/>
            <w:color w:val="000000"/>
            <w:sz w:val="22"/>
            <w:u w:val="none"/>
          </w:rPr>
          <w:t xml:space="preserve"> </w:t>
        </w:r>
        <w:proofErr w:type="spellStart"/>
        <w:r w:rsidRPr="009A4147">
          <w:rPr>
            <w:rStyle w:val="Hyperlink"/>
            <w:color w:val="000000"/>
            <w:sz w:val="22"/>
            <w:u w:val="none"/>
          </w:rPr>
          <w:t>Leishmanin</w:t>
        </w:r>
        <w:proofErr w:type="spellEnd"/>
        <w:r w:rsidRPr="009A4147">
          <w:rPr>
            <w:rStyle w:val="Hyperlink"/>
            <w:color w:val="000000"/>
            <w:sz w:val="22"/>
            <w:u w:val="none"/>
          </w:rPr>
          <w:t xml:space="preserve"> </w:t>
        </w:r>
        <w:proofErr w:type="spellStart"/>
        <w:r w:rsidRPr="009A4147">
          <w:rPr>
            <w:rStyle w:val="Hyperlink"/>
            <w:color w:val="000000"/>
            <w:sz w:val="22"/>
            <w:u w:val="none"/>
          </w:rPr>
          <w:t>skin</w:t>
        </w:r>
        <w:proofErr w:type="spellEnd"/>
        <w:r w:rsidRPr="009A4147">
          <w:rPr>
            <w:rStyle w:val="Hyperlink"/>
            <w:color w:val="000000"/>
            <w:sz w:val="22"/>
            <w:u w:val="none"/>
          </w:rPr>
          <w:t xml:space="preserve"> test </w:t>
        </w:r>
        <w:proofErr w:type="spellStart"/>
        <w:r w:rsidRPr="009A4147">
          <w:rPr>
            <w:rStyle w:val="Hyperlink"/>
            <w:color w:val="000000"/>
            <w:sz w:val="22"/>
            <w:u w:val="none"/>
          </w:rPr>
          <w:t>surveys</w:t>
        </w:r>
        <w:proofErr w:type="spellEnd"/>
        <w:r w:rsidRPr="009A4147">
          <w:rPr>
            <w:rStyle w:val="Hyperlink"/>
            <w:color w:val="000000"/>
            <w:sz w:val="22"/>
            <w:u w:val="none"/>
          </w:rPr>
          <w:t>.</w:t>
        </w:r>
      </w:hyperlink>
      <w:r w:rsidRPr="009A4147">
        <w:rPr>
          <w:color w:val="000000"/>
          <w:sz w:val="22"/>
        </w:rPr>
        <w:t xml:space="preserve"> </w:t>
      </w:r>
      <w:proofErr w:type="spellStart"/>
      <w:r w:rsidRPr="009A4147">
        <w:rPr>
          <w:color w:val="000000"/>
          <w:sz w:val="22"/>
        </w:rPr>
        <w:t>PLoS</w:t>
      </w:r>
      <w:proofErr w:type="spellEnd"/>
      <w:r w:rsidRPr="009A4147">
        <w:rPr>
          <w:color w:val="000000"/>
          <w:sz w:val="22"/>
        </w:rPr>
        <w:t xml:space="preserve"> </w:t>
      </w:r>
      <w:proofErr w:type="spellStart"/>
      <w:r w:rsidRPr="009A4147">
        <w:rPr>
          <w:color w:val="000000"/>
          <w:sz w:val="22"/>
        </w:rPr>
        <w:t>Negl</w:t>
      </w:r>
      <w:proofErr w:type="spellEnd"/>
      <w:r w:rsidRPr="009A4147">
        <w:rPr>
          <w:color w:val="000000"/>
          <w:sz w:val="22"/>
        </w:rPr>
        <w:t xml:space="preserve"> </w:t>
      </w:r>
      <w:proofErr w:type="spellStart"/>
      <w:r w:rsidRPr="009A4147">
        <w:rPr>
          <w:color w:val="000000"/>
          <w:sz w:val="22"/>
        </w:rPr>
        <w:t>Trop</w:t>
      </w:r>
      <w:proofErr w:type="spellEnd"/>
      <w:r w:rsidRPr="009A4147">
        <w:rPr>
          <w:color w:val="000000"/>
          <w:sz w:val="22"/>
        </w:rPr>
        <w:t xml:space="preserve"> </w:t>
      </w:r>
      <w:proofErr w:type="spellStart"/>
      <w:r w:rsidRPr="009A4147">
        <w:rPr>
          <w:color w:val="000000"/>
          <w:sz w:val="22"/>
        </w:rPr>
        <w:t>Dis</w:t>
      </w:r>
      <w:proofErr w:type="spellEnd"/>
      <w:r w:rsidRPr="009A4147">
        <w:rPr>
          <w:color w:val="000000"/>
          <w:sz w:val="22"/>
        </w:rPr>
        <w:t xml:space="preserve"> 3(12):e565. </w:t>
      </w:r>
    </w:p>
    <w:p w:rsidR="009A4147" w:rsidRPr="009A4147" w:rsidRDefault="009A4147" w:rsidP="009A4147">
      <w:pPr>
        <w:ind w:left="0" w:firstLine="0"/>
        <w:rPr>
          <w:sz w:val="22"/>
          <w:lang w:val="en-US"/>
        </w:rPr>
      </w:pPr>
    </w:p>
    <w:p w:rsidR="009A4147" w:rsidRPr="009A4147" w:rsidRDefault="009A4147" w:rsidP="009A4147">
      <w:pPr>
        <w:ind w:left="0" w:firstLine="0"/>
        <w:rPr>
          <w:sz w:val="22"/>
          <w:lang w:val="fr-FR"/>
        </w:rPr>
      </w:pPr>
      <w:r w:rsidRPr="009A4147">
        <w:rPr>
          <w:sz w:val="22"/>
          <w:lang w:val="en-US"/>
        </w:rPr>
        <w:t xml:space="preserve">3. </w:t>
      </w:r>
      <w:proofErr w:type="spellStart"/>
      <w:r w:rsidRPr="009A4147">
        <w:rPr>
          <w:sz w:val="22"/>
          <w:lang w:val="en-US"/>
        </w:rPr>
        <w:t>Lariviere</w:t>
      </w:r>
      <w:proofErr w:type="spellEnd"/>
      <w:r w:rsidRPr="009A4147">
        <w:rPr>
          <w:sz w:val="22"/>
          <w:lang w:val="en-US"/>
        </w:rPr>
        <w:t xml:space="preserve"> M, </w:t>
      </w:r>
      <w:proofErr w:type="spellStart"/>
      <w:r w:rsidRPr="009A4147">
        <w:rPr>
          <w:sz w:val="22"/>
          <w:lang w:val="en-US"/>
        </w:rPr>
        <w:t>Abonnenc</w:t>
      </w:r>
      <w:proofErr w:type="spellEnd"/>
      <w:r w:rsidRPr="009A4147">
        <w:rPr>
          <w:sz w:val="22"/>
          <w:lang w:val="en-US"/>
        </w:rPr>
        <w:t xml:space="preserve"> E, Kramer R (1961). Chronicle of cutaneous leishmaniasis in </w:t>
      </w:r>
      <w:smartTag w:uri="urn:schemas-microsoft-com:office:smarttags" w:element="place">
        <w:r w:rsidRPr="009A4147">
          <w:rPr>
            <w:sz w:val="22"/>
            <w:lang w:val="en-US"/>
          </w:rPr>
          <w:t>West Africa</w:t>
        </w:r>
      </w:smartTag>
      <w:r w:rsidRPr="009A4147">
        <w:rPr>
          <w:sz w:val="22"/>
          <w:lang w:val="en-US"/>
        </w:rPr>
        <w:t xml:space="preserve">. </w:t>
      </w:r>
      <w:r w:rsidRPr="009A4147">
        <w:rPr>
          <w:sz w:val="22"/>
          <w:lang w:val="fr-FR"/>
        </w:rPr>
        <w:t xml:space="preserve">The </w:t>
      </w:r>
      <w:proofErr w:type="spellStart"/>
      <w:r w:rsidRPr="009A4147">
        <w:rPr>
          <w:sz w:val="22"/>
          <w:lang w:val="fr-FR"/>
        </w:rPr>
        <w:t>problem</w:t>
      </w:r>
      <w:proofErr w:type="spellEnd"/>
      <w:r w:rsidRPr="009A4147">
        <w:rPr>
          <w:sz w:val="22"/>
          <w:lang w:val="fr-FR"/>
        </w:rPr>
        <w:t xml:space="preserve"> of the </w:t>
      </w:r>
      <w:proofErr w:type="spellStart"/>
      <w:r w:rsidRPr="009A4147">
        <w:rPr>
          <w:sz w:val="22"/>
          <w:lang w:val="fr-FR"/>
        </w:rPr>
        <w:t>vector</w:t>
      </w:r>
      <w:proofErr w:type="spellEnd"/>
      <w:r w:rsidRPr="009A4147">
        <w:rPr>
          <w:sz w:val="22"/>
          <w:lang w:val="fr-FR"/>
        </w:rPr>
        <w:t xml:space="preserve">. Bull Soc </w:t>
      </w:r>
      <w:proofErr w:type="spellStart"/>
      <w:r w:rsidRPr="009A4147">
        <w:rPr>
          <w:sz w:val="22"/>
          <w:lang w:val="fr-FR"/>
        </w:rPr>
        <w:t>Path</w:t>
      </w:r>
      <w:proofErr w:type="spellEnd"/>
      <w:r w:rsidRPr="009A4147">
        <w:rPr>
          <w:sz w:val="22"/>
          <w:lang w:val="fr-FR"/>
        </w:rPr>
        <w:t xml:space="preserve"> </w:t>
      </w:r>
      <w:proofErr w:type="spellStart"/>
      <w:r w:rsidRPr="009A4147">
        <w:rPr>
          <w:sz w:val="22"/>
          <w:lang w:val="fr-FR"/>
        </w:rPr>
        <w:t>Exot</w:t>
      </w:r>
      <w:proofErr w:type="spellEnd"/>
      <w:r w:rsidRPr="009A4147">
        <w:rPr>
          <w:sz w:val="22"/>
          <w:lang w:val="fr-FR"/>
        </w:rPr>
        <w:t xml:space="preserve"> 54: 1031–1046.</w:t>
      </w:r>
    </w:p>
    <w:p w:rsidR="009A4147" w:rsidRPr="009A4147" w:rsidRDefault="009A4147" w:rsidP="009A4147">
      <w:pPr>
        <w:ind w:left="0" w:firstLine="0"/>
        <w:rPr>
          <w:sz w:val="22"/>
          <w:lang w:val="fr-FR"/>
        </w:rPr>
      </w:pPr>
    </w:p>
    <w:p w:rsidR="009A4147" w:rsidRPr="009A4147" w:rsidRDefault="009A4147" w:rsidP="009A4147">
      <w:pPr>
        <w:ind w:left="0" w:firstLine="0"/>
        <w:rPr>
          <w:sz w:val="22"/>
          <w:lang w:val="fr-FR"/>
        </w:rPr>
      </w:pPr>
      <w:r w:rsidRPr="009A4147">
        <w:rPr>
          <w:sz w:val="22"/>
          <w:lang w:val="pt-BR"/>
        </w:rPr>
        <w:t xml:space="preserve">4. Paz C, Doumbia S, Keita S, Sethi A (2011). </w:t>
      </w:r>
      <w:hyperlink r:id="rId16" w:history="1">
        <w:r w:rsidRPr="009A4147">
          <w:rPr>
            <w:sz w:val="22"/>
            <w:lang w:val="fr-FR"/>
          </w:rPr>
          <w:t>Cutaneous leishmaniasis in Mali.</w:t>
        </w:r>
      </w:hyperlink>
      <w:r w:rsidRPr="009A4147">
        <w:rPr>
          <w:sz w:val="22"/>
          <w:lang w:val="fr-FR"/>
        </w:rPr>
        <w:t xml:space="preserve"> </w:t>
      </w:r>
      <w:proofErr w:type="spellStart"/>
      <w:r w:rsidRPr="009A4147">
        <w:rPr>
          <w:sz w:val="22"/>
          <w:lang w:val="fr-FR"/>
        </w:rPr>
        <w:t>Dermatol</w:t>
      </w:r>
      <w:proofErr w:type="spellEnd"/>
      <w:r w:rsidRPr="009A4147">
        <w:rPr>
          <w:sz w:val="22"/>
          <w:lang w:val="fr-FR"/>
        </w:rPr>
        <w:t xml:space="preserve"> Clin 29(1):75-8.</w:t>
      </w:r>
    </w:p>
    <w:p w:rsidR="002F7C1A" w:rsidRPr="009A4147" w:rsidRDefault="002F7C1A" w:rsidP="009A4147"/>
    <w:sectPr w:rsidR="002F7C1A" w:rsidRPr="009A4147"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64632"/>
    <w:multiLevelType w:val="hybridMultilevel"/>
    <w:tmpl w:val="071AE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4147"/>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A748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A4147"/>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47"/>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9A4147"/>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9A4147"/>
    <w:rPr>
      <w:color w:val="0000FF"/>
      <w:u w:val="single"/>
    </w:rPr>
  </w:style>
  <w:style w:type="paragraph" w:styleId="NoSpacing">
    <w:name w:val="No Spacing"/>
    <w:qFormat/>
    <w:rsid w:val="009A4147"/>
    <w:pPr>
      <w:spacing w:after="0" w:line="240" w:lineRule="auto"/>
    </w:pPr>
    <w:rPr>
      <w:rFonts w:ascii="Calibri" w:eastAsia="Times New Roman" w:hAnsi="Calibri" w:cs="Times New Roman"/>
      <w:lang w:val="en-GB"/>
    </w:rPr>
  </w:style>
  <w:style w:type="paragraph" w:customStyle="1" w:styleId="Sinespaciado">
    <w:name w:val="Sin espaciado"/>
    <w:link w:val="SinespaciadoCar"/>
    <w:qFormat/>
    <w:rsid w:val="009A4147"/>
    <w:pPr>
      <w:spacing w:after="0" w:line="240" w:lineRule="auto"/>
    </w:pPr>
    <w:rPr>
      <w:rFonts w:ascii="Calibri" w:eastAsia="Times New Roman" w:hAnsi="Calibri" w:cs="Times New Roman"/>
      <w:lang w:val="es-ES"/>
    </w:rPr>
  </w:style>
  <w:style w:type="character" w:customStyle="1" w:styleId="SinespaciadoCar">
    <w:name w:val="Sin espaciado Car"/>
    <w:basedOn w:val="DefaultParagraphFont"/>
    <w:link w:val="Sinespaciado"/>
    <w:rsid w:val="009A4147"/>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9A4147"/>
    <w:rPr>
      <w:rFonts w:ascii="Tahoma" w:hAnsi="Tahoma" w:cs="Tahoma"/>
      <w:sz w:val="16"/>
      <w:szCs w:val="16"/>
    </w:rPr>
  </w:style>
  <w:style w:type="character" w:customStyle="1" w:styleId="BalloonTextChar">
    <w:name w:val="Balloon Text Char"/>
    <w:basedOn w:val="DefaultParagraphFont"/>
    <w:link w:val="BalloonText"/>
    <w:uiPriority w:val="99"/>
    <w:semiHidden/>
    <w:rsid w:val="009A4147"/>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Diarra%20SS%22%5BAuthor%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Faye%20O%22%5BAuthor%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109553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Anderson%20JM%22%5BAuthor%5D" TargetMode="External"/><Relationship Id="rId5" Type="http://schemas.openxmlformats.org/officeDocument/2006/relationships/image" Target="media/image1.jpeg"/><Relationship Id="rId15" Type="http://schemas.openxmlformats.org/officeDocument/2006/relationships/hyperlink" Target="http://www.ncbi.nlm.nih.gov/pubmed/20016847" TargetMode="External"/><Relationship Id="rId10" Type="http://schemas.openxmlformats.org/officeDocument/2006/relationships/hyperlink" Target="http://www.ncbi.nlm.nih.gov/pubmed?term=%22Doumbia%20S%22%5BAuthor%5D" TargetMode="External"/><Relationship Id="rId4" Type="http://schemas.openxmlformats.org/officeDocument/2006/relationships/webSettings" Target="webSettings.xml"/><Relationship Id="rId9" Type="http://schemas.openxmlformats.org/officeDocument/2006/relationships/hyperlink" Target="http://www.ncbi.nlm.nih.gov/pubmed?term=%22Oliveira%20F%22%5BAuthor%5D" TargetMode="External"/><Relationship Id="rId14" Type="http://schemas.openxmlformats.org/officeDocument/2006/relationships/hyperlink" Target="http://www.ncbi.nlm.nih.gov/pubmed?term=%22Traor%C3%A9%20P%22%5BAuthor%5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4.1379310344827586E-2"/>
          <c:w val="0.90401146131805155"/>
          <c:h val="0.7827586206896554"/>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Sheet1!$B$1:$P$1</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Sheet1!$B$2:$P$2</c:f>
              <c:numCache>
                <c:formatCode>General</c:formatCode>
                <c:ptCount val="12"/>
                <c:pt idx="0">
                  <c:v>46</c:v>
                </c:pt>
                <c:pt idx="1">
                  <c:v>59</c:v>
                </c:pt>
                <c:pt idx="2">
                  <c:v>54</c:v>
                </c:pt>
                <c:pt idx="3">
                  <c:v>47</c:v>
                </c:pt>
                <c:pt idx="4">
                  <c:v>45</c:v>
                </c:pt>
                <c:pt idx="5">
                  <c:v>51</c:v>
                </c:pt>
                <c:pt idx="6">
                  <c:v>57</c:v>
                </c:pt>
                <c:pt idx="7">
                  <c:v>18</c:v>
                </c:pt>
                <c:pt idx="8">
                  <c:v>77</c:v>
                </c:pt>
                <c:pt idx="9">
                  <c:v>86</c:v>
                </c:pt>
                <c:pt idx="10">
                  <c:v>55</c:v>
                </c:pt>
                <c:pt idx="11">
                  <c:v>55</c:v>
                </c:pt>
              </c:numCache>
            </c:numRef>
          </c:val>
        </c:ser>
        <c:gapDepth val="0"/>
        <c:shape val="box"/>
        <c:axId val="279460096"/>
        <c:axId val="279499136"/>
        <c:axId val="0"/>
      </c:bar3DChart>
      <c:catAx>
        <c:axId val="279460096"/>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79499136"/>
        <c:crosses val="autoZero"/>
        <c:auto val="1"/>
        <c:lblAlgn val="ctr"/>
        <c:lblOffset val="100"/>
        <c:tickLblSkip val="1"/>
        <c:tickMarkSkip val="1"/>
      </c:catAx>
      <c:valAx>
        <c:axId val="279499136"/>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79460096"/>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2012-04-02T09:56:00Z</dcterms:created>
  <dcterms:modified xsi:type="dcterms:W3CDTF">2012-04-02T09:59:00Z</dcterms:modified>
</cp:coreProperties>
</file>