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CF" w:rsidRPr="001F03A9" w:rsidRDefault="008F6BCF" w:rsidP="008F6BCF">
      <w:pPr>
        <w:ind w:left="0" w:firstLine="0"/>
        <w:rPr>
          <w:b/>
          <w:sz w:val="22"/>
          <w:u w:val="single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1F03A9">
            <w:rPr>
              <w:b/>
              <w:sz w:val="22"/>
              <w:u w:val="single"/>
              <w:lang w:val="en-GB"/>
            </w:rPr>
            <w:t>IRAN</w:t>
          </w:r>
        </w:smartTag>
      </w:smartTag>
      <w:r>
        <w:rPr>
          <w:b/>
          <w:sz w:val="22"/>
          <w:u w:val="single"/>
          <w:lang w:val="en-GB"/>
        </w:rPr>
        <w:t xml:space="preserve"> (</w:t>
      </w:r>
      <w:r w:rsidRPr="001F03A9">
        <w:rPr>
          <w:b/>
          <w:sz w:val="22"/>
          <w:u w:val="single"/>
          <w:lang w:val="en-GB"/>
        </w:rPr>
        <w:t>I</w:t>
      </w:r>
      <w:r>
        <w:rPr>
          <w:b/>
          <w:sz w:val="22"/>
          <w:u w:val="single"/>
          <w:lang w:val="en-GB"/>
        </w:rPr>
        <w:t>slamic Republic of)</w:t>
      </w:r>
    </w:p>
    <w:p w:rsidR="008F6BCF" w:rsidRPr="001F03A9" w:rsidRDefault="008F6BCF" w:rsidP="008F6BCF">
      <w:pPr>
        <w:ind w:left="0" w:firstLine="0"/>
        <w:rPr>
          <w:b/>
          <w:sz w:val="22"/>
          <w:u w:val="single"/>
          <w:lang w:val="en-GB"/>
        </w:rPr>
      </w:pPr>
    </w:p>
    <w:p w:rsidR="008F6BCF" w:rsidRPr="002C75B8" w:rsidRDefault="008F6BCF" w:rsidP="008F6BCF">
      <w:pPr>
        <w:ind w:left="0" w:firstLine="0"/>
        <w:rPr>
          <w:b/>
          <w:sz w:val="22"/>
          <w:u w:val="single"/>
          <w:lang w:val="en-US"/>
        </w:rPr>
      </w:pPr>
      <w:r>
        <w:rPr>
          <w:b/>
          <w:noProof/>
          <w:sz w:val="22"/>
          <w:u w:val="single"/>
          <w:lang w:val="en-US"/>
        </w:rPr>
        <w:drawing>
          <wp:inline distT="0" distB="0" distL="0" distR="0">
            <wp:extent cx="2476500" cy="1857375"/>
            <wp:effectExtent l="19050" t="0" r="0" b="0"/>
            <wp:docPr id="2" name="18 Imagen" descr="IR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Imagen" descr="IRWORLD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CF" w:rsidRDefault="008F6BCF" w:rsidP="008F6BCF">
      <w:pPr>
        <w:ind w:left="0" w:firstLine="0"/>
        <w:rPr>
          <w:b/>
          <w:sz w:val="22"/>
          <w:lang w:val="en-US"/>
        </w:rPr>
      </w:pPr>
    </w:p>
    <w:p w:rsidR="008F6BCF" w:rsidRPr="002C75B8" w:rsidRDefault="008F6BCF" w:rsidP="008F6BCF">
      <w:pPr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8F6BCF" w:rsidRPr="002C75B8" w:rsidRDefault="008F6BCF" w:rsidP="008F6BCF">
      <w:pPr>
        <w:ind w:left="0" w:firstLine="0"/>
        <w:rPr>
          <w:b/>
          <w:sz w:val="22"/>
          <w:lang w:val="en-US"/>
        </w:rPr>
      </w:pPr>
    </w:p>
    <w:p w:rsidR="008F6BCF" w:rsidRPr="002C75B8" w:rsidRDefault="008F6BCF" w:rsidP="008F6BC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7</w:t>
      </w:r>
      <w:r>
        <w:rPr>
          <w:sz w:val="22"/>
          <w:lang w:val="en-US"/>
        </w:rPr>
        <w:t>3,973,630</w:t>
      </w:r>
      <w:r w:rsidRPr="002C75B8">
        <w:rPr>
          <w:sz w:val="22"/>
          <w:lang w:val="en-US"/>
        </w:rPr>
        <w:t xml:space="preserve"> </w:t>
      </w:r>
    </w:p>
    <w:p w:rsidR="008F6BCF" w:rsidRPr="002C75B8" w:rsidRDefault="008F6BCF" w:rsidP="008F6BC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0-14 years: 2</w:t>
      </w:r>
      <w:r>
        <w:rPr>
          <w:sz w:val="22"/>
          <w:lang w:val="en-US"/>
        </w:rPr>
        <w:t>3</w:t>
      </w:r>
      <w:r w:rsidRPr="002C75B8">
        <w:rPr>
          <w:sz w:val="22"/>
          <w:lang w:val="en-US"/>
        </w:rPr>
        <w:t xml:space="preserve">% </w:t>
      </w:r>
    </w:p>
    <w:p w:rsidR="008F6BCF" w:rsidRPr="002C75B8" w:rsidRDefault="008F6BCF" w:rsidP="008F6BC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Rural population: 3</w:t>
      </w:r>
      <w:r>
        <w:rPr>
          <w:sz w:val="22"/>
          <w:lang w:val="en-US"/>
        </w:rPr>
        <w:t>1</w:t>
      </w:r>
      <w:r w:rsidRPr="002C75B8">
        <w:rPr>
          <w:sz w:val="22"/>
          <w:lang w:val="en-US"/>
        </w:rPr>
        <w:t>%</w:t>
      </w:r>
    </w:p>
    <w:p w:rsidR="008F6BCF" w:rsidRPr="002C75B8" w:rsidRDefault="008F6BCF" w:rsidP="008F6BC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1.5%</w:t>
      </w:r>
    </w:p>
    <w:p w:rsidR="008F6BCF" w:rsidRPr="002C75B8" w:rsidRDefault="008F6BCF" w:rsidP="008F6BC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the national poverty line: no data</w:t>
      </w:r>
    </w:p>
    <w:p w:rsidR="008F6BCF" w:rsidRPr="002C75B8" w:rsidRDefault="008F6BCF" w:rsidP="008F6BCF">
      <w:pPr>
        <w:ind w:left="0" w:firstLine="0"/>
        <w:rPr>
          <w:sz w:val="22"/>
          <w:vertAlign w:val="superscript"/>
          <w:lang w:val="en-US"/>
        </w:rPr>
      </w:pPr>
      <w:r w:rsidRPr="002C75B8">
        <w:rPr>
          <w:sz w:val="22"/>
          <w:lang w:val="en-US"/>
        </w:rPr>
        <w:t xml:space="preserve">Income status: </w:t>
      </w:r>
      <w:r>
        <w:rPr>
          <w:sz w:val="22"/>
          <w:lang w:val="en-US"/>
        </w:rPr>
        <w:t>Upper</w:t>
      </w:r>
      <w:r w:rsidRPr="002C75B8">
        <w:rPr>
          <w:sz w:val="22"/>
          <w:lang w:val="en-US"/>
        </w:rPr>
        <w:t xml:space="preserve"> middle income economy </w:t>
      </w:r>
    </w:p>
    <w:p w:rsidR="008F6BCF" w:rsidRPr="002C75B8" w:rsidRDefault="008F6BCF" w:rsidP="008F6BC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Ranking: </w:t>
      </w:r>
      <w:r>
        <w:rPr>
          <w:sz w:val="22"/>
          <w:lang w:val="en-US"/>
        </w:rPr>
        <w:t>High</w:t>
      </w:r>
      <w:r w:rsidRPr="002C75B8">
        <w:rPr>
          <w:sz w:val="22"/>
          <w:lang w:val="en-US"/>
        </w:rPr>
        <w:t xml:space="preserve"> human development (ranking 88)</w:t>
      </w:r>
    </w:p>
    <w:p w:rsidR="008F6BCF" w:rsidRPr="002C75B8" w:rsidRDefault="008F6BCF" w:rsidP="008F6BC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269</w:t>
      </w:r>
    </w:p>
    <w:p w:rsidR="008F6BCF" w:rsidRPr="002C75B8" w:rsidRDefault="008F6BCF" w:rsidP="008F6BC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Life expectancy at birth (years): 7</w:t>
      </w:r>
      <w:r>
        <w:rPr>
          <w:sz w:val="22"/>
          <w:lang w:val="en-US"/>
        </w:rPr>
        <w:t>2</w:t>
      </w:r>
    </w:p>
    <w:p w:rsidR="008F6BCF" w:rsidRPr="002C75B8" w:rsidRDefault="008F6BCF" w:rsidP="008F6BC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58 </w:t>
      </w:r>
    </w:p>
    <w:p w:rsidR="008F6BCF" w:rsidRPr="002C75B8" w:rsidRDefault="008F6BCF" w:rsidP="008F6BCF">
      <w:pPr>
        <w:ind w:left="0" w:firstLine="0"/>
        <w:rPr>
          <w:sz w:val="22"/>
          <w:lang w:val="en-US"/>
        </w:rPr>
      </w:pPr>
    </w:p>
    <w:p w:rsidR="008F6BCF" w:rsidRPr="002C75B8" w:rsidRDefault="008F6BCF" w:rsidP="008F6BCF">
      <w:pPr>
        <w:ind w:left="0" w:firstLine="0"/>
        <w:rPr>
          <w:b/>
          <w:sz w:val="22"/>
          <w:lang w:val="en-US"/>
        </w:rPr>
      </w:pPr>
    </w:p>
    <w:p w:rsidR="008F6BCF" w:rsidRPr="002C75B8" w:rsidRDefault="008F6BCF" w:rsidP="008F6BC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8F6BCF" w:rsidRPr="002C75B8" w:rsidRDefault="008F6BCF" w:rsidP="008F6BCF">
      <w:pPr>
        <w:ind w:left="0" w:firstLine="0"/>
        <w:rPr>
          <w:sz w:val="22"/>
          <w:lang w:val="en-GB"/>
        </w:rPr>
      </w:pPr>
    </w:p>
    <w:p w:rsidR="008F6BCF" w:rsidRPr="0022710E" w:rsidRDefault="008F6BCF" w:rsidP="008F6BCF">
      <w:pPr>
        <w:ind w:left="0" w:firstLine="0"/>
        <w:rPr>
          <w:sz w:val="22"/>
          <w:lang w:val="en-US"/>
        </w:rPr>
      </w:pPr>
      <w:r w:rsidRPr="00E468FF">
        <w:rPr>
          <w:sz w:val="22"/>
          <w:lang w:val="en-GB"/>
        </w:rPr>
        <w:t xml:space="preserve">CL </w:t>
      </w:r>
      <w:r>
        <w:rPr>
          <w:sz w:val="22"/>
          <w:lang w:val="en-GB"/>
        </w:rPr>
        <w:t>has been</w:t>
      </w:r>
      <w:r w:rsidRPr="00E468FF">
        <w:rPr>
          <w:sz w:val="22"/>
          <w:lang w:val="en-GB"/>
        </w:rPr>
        <w:t xml:space="preserve"> an increasing public health problem with several new foci identified in the last years. </w:t>
      </w:r>
    </w:p>
    <w:p w:rsidR="008F6BCF" w:rsidRPr="0022710E" w:rsidRDefault="008F6BCF" w:rsidP="008F6BCF">
      <w:pPr>
        <w:rPr>
          <w:sz w:val="22"/>
          <w:lang w:val="en-US"/>
        </w:rPr>
      </w:pPr>
      <w:r w:rsidRPr="00E468FF">
        <w:rPr>
          <w:sz w:val="22"/>
          <w:lang w:val="en-GB"/>
        </w:rPr>
        <w:t> </w:t>
      </w:r>
    </w:p>
    <w:p w:rsidR="008F6BCF" w:rsidRPr="00A61014" w:rsidRDefault="008F6BCF" w:rsidP="008F6BCF">
      <w:pPr>
        <w:ind w:left="0" w:firstLine="0"/>
        <w:rPr>
          <w:sz w:val="22"/>
          <w:lang w:val="en-US"/>
        </w:rPr>
      </w:pPr>
      <w:r w:rsidRPr="00E468FF">
        <w:rPr>
          <w:sz w:val="22"/>
          <w:lang w:val="en-GB"/>
        </w:rPr>
        <w:t xml:space="preserve">Anthroponotic CL caused by </w:t>
      </w:r>
      <w:r w:rsidRPr="00E468FF">
        <w:rPr>
          <w:i/>
          <w:sz w:val="22"/>
          <w:lang w:val="en-GB"/>
        </w:rPr>
        <w:t>L. tropica</w:t>
      </w:r>
      <w:r w:rsidRPr="00E468FF">
        <w:rPr>
          <w:sz w:val="22"/>
          <w:lang w:val="en-GB"/>
        </w:rPr>
        <w:t xml:space="preserve"> is found in Teheran as well as in some other large or medium-sized cities and their outskirts. Outbreaks are related to population increase, unplanned urban development and an increase in </w:t>
      </w:r>
      <w:proofErr w:type="spellStart"/>
      <w:r w:rsidRPr="00E468FF">
        <w:rPr>
          <w:sz w:val="22"/>
          <w:lang w:val="en-GB"/>
        </w:rPr>
        <w:t>sandfly</w:t>
      </w:r>
      <w:proofErr w:type="spellEnd"/>
      <w:r w:rsidRPr="00E468FF">
        <w:rPr>
          <w:sz w:val="22"/>
          <w:lang w:val="en-GB"/>
        </w:rPr>
        <w:t xml:space="preserve"> population </w:t>
      </w:r>
      <w:r>
        <w:rPr>
          <w:sz w:val="22"/>
          <w:lang w:val="en-GB"/>
        </w:rPr>
        <w:t>[1]</w:t>
      </w:r>
      <w:r w:rsidRPr="00E468FF">
        <w:rPr>
          <w:sz w:val="22"/>
          <w:lang w:val="en-GB"/>
        </w:rPr>
        <w:t xml:space="preserve">. </w:t>
      </w:r>
      <w:r w:rsidRPr="0022710E">
        <w:rPr>
          <w:sz w:val="22"/>
          <w:lang w:val="en-US"/>
        </w:rPr>
        <w:t xml:space="preserve">In the city of </w:t>
      </w:r>
      <w:smartTag w:uri="urn:schemas-microsoft-com:office:smarttags" w:element="place">
        <w:smartTag w:uri="urn:schemas-microsoft-com:office:smarttags" w:element="City">
          <w:r w:rsidRPr="0022710E">
            <w:rPr>
              <w:sz w:val="22"/>
              <w:lang w:val="en-US"/>
            </w:rPr>
            <w:t>Bam</w:t>
          </w:r>
        </w:smartTag>
      </w:smartTag>
      <w:r w:rsidRPr="0022710E">
        <w:rPr>
          <w:sz w:val="22"/>
          <w:lang w:val="en-US"/>
        </w:rPr>
        <w:t>, there was an 8-fold increase in the number of cases over the last 5 years after the 2003 earthquake. Recent outbreaks in Bam caused 2</w:t>
      </w:r>
      <w:r>
        <w:rPr>
          <w:sz w:val="22"/>
          <w:lang w:val="en-US"/>
        </w:rPr>
        <w:t>,</w:t>
      </w:r>
      <w:r w:rsidRPr="0022710E">
        <w:rPr>
          <w:sz w:val="22"/>
          <w:lang w:val="en-US"/>
        </w:rPr>
        <w:t xml:space="preserve">884 cases in 2007, </w:t>
      </w:r>
      <w:smartTag w:uri="urn:schemas-microsoft-com:office:smarttags" w:element="metricconverter">
        <w:smartTagPr>
          <w:attr w:name="ProductID" w:val="3,442 in"/>
        </w:smartTagPr>
        <w:r w:rsidRPr="0022710E">
          <w:rPr>
            <w:sz w:val="22"/>
            <w:lang w:val="en-US"/>
          </w:rPr>
          <w:t>3</w:t>
        </w:r>
        <w:r>
          <w:rPr>
            <w:sz w:val="22"/>
            <w:lang w:val="en-US"/>
          </w:rPr>
          <w:t>,</w:t>
        </w:r>
        <w:r w:rsidRPr="0022710E">
          <w:rPr>
            <w:sz w:val="22"/>
            <w:lang w:val="en-US"/>
          </w:rPr>
          <w:t>442 in</w:t>
        </w:r>
      </w:smartTag>
      <w:r w:rsidRPr="0022710E">
        <w:rPr>
          <w:sz w:val="22"/>
          <w:lang w:val="en-US"/>
        </w:rPr>
        <w:t xml:space="preserve"> 2008 and </w:t>
      </w:r>
      <w:smartTag w:uri="urn:schemas-microsoft-com:office:smarttags" w:element="metricconverter">
        <w:smartTagPr>
          <w:attr w:name="ProductID" w:val="1,372 in"/>
        </w:smartTagPr>
        <w:r w:rsidRPr="0022710E">
          <w:rPr>
            <w:sz w:val="22"/>
            <w:lang w:val="en-US"/>
          </w:rPr>
          <w:t>1</w:t>
        </w:r>
        <w:r>
          <w:rPr>
            <w:sz w:val="22"/>
            <w:lang w:val="en-US"/>
          </w:rPr>
          <w:t>,</w:t>
        </w:r>
        <w:r w:rsidRPr="0022710E">
          <w:rPr>
            <w:sz w:val="22"/>
            <w:lang w:val="en-US"/>
          </w:rPr>
          <w:t>372 in</w:t>
        </w:r>
      </w:smartTag>
      <w:r w:rsidRPr="0022710E">
        <w:rPr>
          <w:sz w:val="22"/>
          <w:lang w:val="en-US"/>
        </w:rPr>
        <w:t xml:space="preserve"> 2009</w:t>
      </w:r>
      <w:r>
        <w:rPr>
          <w:sz w:val="22"/>
          <w:lang w:val="en-US"/>
        </w:rPr>
        <w:t>,</w:t>
      </w:r>
      <w:r w:rsidRPr="0022710E">
        <w:rPr>
          <w:sz w:val="22"/>
          <w:lang w:val="en-US"/>
        </w:rPr>
        <w:t xml:space="preserve"> with a high rate of </w:t>
      </w:r>
      <w:proofErr w:type="spellStart"/>
      <w:r w:rsidRPr="0022710E">
        <w:rPr>
          <w:sz w:val="22"/>
          <w:lang w:val="en-US"/>
        </w:rPr>
        <w:t>recidivant</w:t>
      </w:r>
      <w:proofErr w:type="spellEnd"/>
      <w:r w:rsidRPr="0022710E">
        <w:rPr>
          <w:sz w:val="22"/>
          <w:lang w:val="en-US"/>
        </w:rPr>
        <w:t xml:space="preserve"> leishmaniasis</w:t>
      </w:r>
      <w:r>
        <w:rPr>
          <w:sz w:val="22"/>
          <w:lang w:val="en-US"/>
        </w:rPr>
        <w:t xml:space="preserve"> [2].</w:t>
      </w:r>
      <w:r w:rsidRPr="00A61014">
        <w:rPr>
          <w:sz w:val="22"/>
          <w:lang w:val="en-US"/>
        </w:rPr>
        <w:t xml:space="preserve"> </w:t>
      </w:r>
    </w:p>
    <w:p w:rsidR="008F6BCF" w:rsidRPr="0022710E" w:rsidRDefault="008F6BCF" w:rsidP="008F6BCF">
      <w:pPr>
        <w:rPr>
          <w:sz w:val="22"/>
          <w:lang w:val="en-US"/>
        </w:rPr>
      </w:pPr>
      <w:r w:rsidRPr="0022710E">
        <w:rPr>
          <w:sz w:val="22"/>
          <w:lang w:val="en-US"/>
        </w:rPr>
        <w:t xml:space="preserve"> </w:t>
      </w:r>
    </w:p>
    <w:p w:rsidR="008F6BCF" w:rsidRPr="00E468FF" w:rsidRDefault="008F6BCF" w:rsidP="008F6BCF">
      <w:pPr>
        <w:ind w:left="0" w:firstLine="0"/>
        <w:rPr>
          <w:sz w:val="22"/>
          <w:lang w:val="en-GB"/>
        </w:rPr>
      </w:pPr>
      <w:r w:rsidRPr="00E468FF">
        <w:rPr>
          <w:sz w:val="22"/>
          <w:lang w:val="en-GB"/>
        </w:rPr>
        <w:t xml:space="preserve">CL caused by </w:t>
      </w:r>
      <w:proofErr w:type="spellStart"/>
      <w:r w:rsidRPr="00CA4590">
        <w:rPr>
          <w:i/>
          <w:iCs/>
          <w:sz w:val="22"/>
          <w:lang w:val="en-GB"/>
        </w:rPr>
        <w:t>L.major</w:t>
      </w:r>
      <w:proofErr w:type="spellEnd"/>
      <w:r w:rsidRPr="00E468FF">
        <w:rPr>
          <w:sz w:val="22"/>
          <w:lang w:val="en-GB"/>
        </w:rPr>
        <w:t xml:space="preserve"> is endemic and very common in many rural areas, especially in the plains of the northeast</w:t>
      </w:r>
      <w:r>
        <w:rPr>
          <w:sz w:val="22"/>
          <w:lang w:val="en-GB"/>
        </w:rPr>
        <w:t>,</w:t>
      </w:r>
      <w:r w:rsidRPr="00E468FF">
        <w:rPr>
          <w:sz w:val="22"/>
          <w:lang w:val="en-GB"/>
        </w:rPr>
        <w:t xml:space="preserve"> near the Russian border</w:t>
      </w:r>
      <w:r>
        <w:rPr>
          <w:sz w:val="22"/>
          <w:lang w:val="en-GB"/>
        </w:rPr>
        <w:t>,</w:t>
      </w:r>
      <w:r w:rsidRPr="00E468FF">
        <w:rPr>
          <w:sz w:val="22"/>
          <w:lang w:val="en-GB"/>
        </w:rPr>
        <w:t xml:space="preserve"> and in the north of the Esfahan</w:t>
      </w:r>
      <w:r>
        <w:rPr>
          <w:sz w:val="22"/>
          <w:lang w:val="en-GB"/>
        </w:rPr>
        <w:t xml:space="preserve"> province,</w:t>
      </w:r>
      <w:r w:rsidRPr="00E468FF">
        <w:rPr>
          <w:sz w:val="22"/>
          <w:lang w:val="en-GB"/>
        </w:rPr>
        <w:t xml:space="preserve"> in the centre of the country, but has recently spread to its southern parts and to Fars province</w:t>
      </w:r>
      <w:r>
        <w:rPr>
          <w:sz w:val="22"/>
          <w:lang w:val="en-GB"/>
        </w:rPr>
        <w:t>,</w:t>
      </w:r>
      <w:r w:rsidRPr="00E468FF">
        <w:rPr>
          <w:sz w:val="22"/>
          <w:lang w:val="en-GB"/>
        </w:rPr>
        <w:t xml:space="preserve"> in </w:t>
      </w:r>
      <w:r>
        <w:rPr>
          <w:sz w:val="22"/>
          <w:lang w:val="en-GB"/>
        </w:rPr>
        <w:t>s</w:t>
      </w:r>
      <w:r w:rsidRPr="00E468FF">
        <w:rPr>
          <w:sz w:val="22"/>
          <w:lang w:val="en-GB"/>
        </w:rPr>
        <w:t>outh</w:t>
      </w:r>
      <w:r>
        <w:rPr>
          <w:sz w:val="22"/>
          <w:lang w:val="en-GB"/>
        </w:rPr>
        <w:t>w</w:t>
      </w:r>
      <w:r w:rsidRPr="00E468FF">
        <w:rPr>
          <w:sz w:val="22"/>
          <w:lang w:val="en-GB"/>
        </w:rPr>
        <w:t xml:space="preserve">est </w:t>
      </w:r>
      <w:smartTag w:uri="urn:schemas-microsoft-com:office:smarttags" w:element="country-region">
        <w:smartTag w:uri="urn:schemas-microsoft-com:office:smarttags" w:element="place">
          <w:r w:rsidRPr="00E468FF">
            <w:rPr>
              <w:sz w:val="22"/>
              <w:lang w:val="en-GB"/>
            </w:rPr>
            <w:t>Iran</w:t>
          </w:r>
        </w:smartTag>
      </w:smartTag>
      <w:r>
        <w:rPr>
          <w:sz w:val="22"/>
          <w:lang w:val="en-GB"/>
        </w:rPr>
        <w:t xml:space="preserve">. </w:t>
      </w:r>
      <w:r w:rsidRPr="0022710E">
        <w:rPr>
          <w:sz w:val="22"/>
          <w:lang w:val="en-US"/>
        </w:rPr>
        <w:t xml:space="preserve">About 70% of CL in </w:t>
      </w:r>
      <w:smartTag w:uri="urn:schemas-microsoft-com:office:smarttags" w:element="place">
        <w:smartTag w:uri="urn:schemas-microsoft-com:office:smarttags" w:element="country-region">
          <w:r w:rsidRPr="0022710E">
            <w:rPr>
              <w:sz w:val="22"/>
              <w:lang w:val="en-US"/>
            </w:rPr>
            <w:t>Iran</w:t>
          </w:r>
        </w:smartTag>
      </w:smartTag>
      <w:r w:rsidRPr="0022710E">
        <w:rPr>
          <w:sz w:val="22"/>
          <w:lang w:val="en-US"/>
        </w:rPr>
        <w:t xml:space="preserve"> is caused by </w:t>
      </w:r>
      <w:proofErr w:type="spellStart"/>
      <w:r w:rsidRPr="00AF002A">
        <w:rPr>
          <w:i/>
          <w:sz w:val="22"/>
          <w:lang w:val="en-US"/>
        </w:rPr>
        <w:t>L.major</w:t>
      </w:r>
      <w:proofErr w:type="spellEnd"/>
      <w:r w:rsidRPr="0022710E">
        <w:rPr>
          <w:sz w:val="22"/>
          <w:lang w:val="en-US"/>
        </w:rPr>
        <w:t xml:space="preserve">. </w:t>
      </w:r>
      <w:r w:rsidRPr="00E468FF">
        <w:rPr>
          <w:sz w:val="22"/>
          <w:lang w:val="en-GB"/>
        </w:rPr>
        <w:t xml:space="preserve">The </w:t>
      </w:r>
      <w:proofErr w:type="spellStart"/>
      <w:r w:rsidRPr="00E468FF">
        <w:rPr>
          <w:sz w:val="22"/>
          <w:lang w:val="en-GB"/>
        </w:rPr>
        <w:t>endemicity</w:t>
      </w:r>
      <w:proofErr w:type="spellEnd"/>
      <w:r w:rsidRPr="00E468FF">
        <w:rPr>
          <w:sz w:val="22"/>
          <w:lang w:val="en-GB"/>
        </w:rPr>
        <w:t xml:space="preserve"> is so high that almost 80% of the rural population contract</w:t>
      </w:r>
      <w:r>
        <w:rPr>
          <w:sz w:val="22"/>
          <w:lang w:val="en-GB"/>
        </w:rPr>
        <w:t>s</w:t>
      </w:r>
      <w:r w:rsidRPr="00E468FF">
        <w:rPr>
          <w:sz w:val="22"/>
          <w:lang w:val="en-GB"/>
        </w:rPr>
        <w:t xml:space="preserve"> the disease before the age of 10 and non-immune newcomers practically all become infected. This area may be the most important focus</w:t>
      </w:r>
      <w:r>
        <w:rPr>
          <w:sz w:val="22"/>
          <w:lang w:val="en-GB"/>
        </w:rPr>
        <w:t>.</w:t>
      </w:r>
      <w:r w:rsidRPr="00E468FF">
        <w:rPr>
          <w:sz w:val="22"/>
          <w:lang w:val="en-GB"/>
        </w:rPr>
        <w:t xml:space="preserve"> </w:t>
      </w:r>
      <w:r>
        <w:rPr>
          <w:sz w:val="22"/>
          <w:lang w:val="en-GB"/>
        </w:rPr>
        <w:t>H</w:t>
      </w:r>
      <w:r w:rsidRPr="00E468FF">
        <w:rPr>
          <w:sz w:val="22"/>
          <w:lang w:val="en-GB"/>
        </w:rPr>
        <w:t>owever, a recent epidemiological survey in three villages in</w:t>
      </w:r>
      <w:r>
        <w:rPr>
          <w:sz w:val="22"/>
          <w:lang w:val="en-GB"/>
        </w:rPr>
        <w:t xml:space="preserve"> the</w:t>
      </w:r>
      <w:r w:rsidRPr="00E468FF">
        <w:rPr>
          <w:sz w:val="22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468FF">
            <w:rPr>
              <w:sz w:val="22"/>
              <w:lang w:val="en-GB"/>
            </w:rPr>
            <w:t>Shiraz</w:t>
          </w:r>
        </w:smartTag>
      </w:smartTag>
      <w:r w:rsidRPr="00E468FF">
        <w:rPr>
          <w:sz w:val="22"/>
          <w:lang w:val="en-GB"/>
        </w:rPr>
        <w:t xml:space="preserve"> province, where underreporting was suspected, found a prevalence of scars of 16</w:t>
      </w:r>
      <w:r>
        <w:rPr>
          <w:sz w:val="22"/>
          <w:lang w:val="en-GB"/>
        </w:rPr>
        <w:t>.</w:t>
      </w:r>
      <w:r w:rsidRPr="00E468FF">
        <w:rPr>
          <w:sz w:val="22"/>
          <w:lang w:val="en-GB"/>
        </w:rPr>
        <w:t xml:space="preserve">2% and of infection (identified by PCR) of 23% </w:t>
      </w:r>
      <w:r>
        <w:rPr>
          <w:sz w:val="22"/>
          <w:lang w:val="en-GB"/>
        </w:rPr>
        <w:t>[3]</w:t>
      </w:r>
      <w:r w:rsidRPr="002C75B8">
        <w:rPr>
          <w:sz w:val="22"/>
          <w:lang w:val="en-GB"/>
        </w:rPr>
        <w:t>.</w:t>
      </w:r>
    </w:p>
    <w:p w:rsidR="008F6BCF" w:rsidRPr="00E468FF" w:rsidRDefault="008F6BCF" w:rsidP="008F6BCF">
      <w:pPr>
        <w:ind w:left="0" w:firstLine="0"/>
        <w:rPr>
          <w:sz w:val="22"/>
          <w:lang w:val="en-GB"/>
        </w:rPr>
      </w:pPr>
    </w:p>
    <w:p w:rsidR="008F6BCF" w:rsidRPr="0022710E" w:rsidRDefault="008F6BCF" w:rsidP="008F6BCF">
      <w:pPr>
        <w:ind w:left="0" w:firstLine="0"/>
        <w:rPr>
          <w:sz w:val="22"/>
          <w:lang w:val="en-US"/>
        </w:rPr>
      </w:pPr>
      <w:r w:rsidRPr="0022710E">
        <w:rPr>
          <w:sz w:val="22"/>
          <w:lang w:val="en-US"/>
        </w:rPr>
        <w:t xml:space="preserve">VL is caused by </w:t>
      </w:r>
      <w:r w:rsidRPr="0022710E">
        <w:rPr>
          <w:i/>
          <w:sz w:val="22"/>
          <w:lang w:val="en-US"/>
        </w:rPr>
        <w:t>L. infantum</w:t>
      </w:r>
      <w:r w:rsidRPr="0022710E">
        <w:rPr>
          <w:sz w:val="22"/>
          <w:lang w:val="en-US"/>
        </w:rPr>
        <w:t xml:space="preserve"> and is less</w:t>
      </w:r>
      <w:r w:rsidRPr="002C75B8">
        <w:rPr>
          <w:sz w:val="22"/>
          <w:lang w:val="en-US"/>
        </w:rPr>
        <w:t xml:space="preserve"> common</w:t>
      </w:r>
      <w:r>
        <w:rPr>
          <w:sz w:val="22"/>
          <w:lang w:val="en-US"/>
        </w:rPr>
        <w:t xml:space="preserve"> [4</w:t>
      </w:r>
      <w:proofErr w:type="gramStart"/>
      <w:r>
        <w:rPr>
          <w:sz w:val="22"/>
          <w:lang w:val="en-US"/>
        </w:rPr>
        <w:t>,5</w:t>
      </w:r>
      <w:proofErr w:type="gramEnd"/>
      <w:r>
        <w:rPr>
          <w:sz w:val="22"/>
          <w:lang w:val="en-US"/>
        </w:rPr>
        <w:t>]</w:t>
      </w:r>
      <w:r w:rsidRPr="002C75B8">
        <w:rPr>
          <w:sz w:val="22"/>
          <w:lang w:val="en-US"/>
        </w:rPr>
        <w:t xml:space="preserve">. </w:t>
      </w:r>
      <w:r w:rsidRPr="0022710E">
        <w:rPr>
          <w:sz w:val="22"/>
          <w:lang w:val="en-US"/>
        </w:rPr>
        <w:t xml:space="preserve">The main endemic areas are the </w:t>
      </w:r>
      <w:smartTag w:uri="urn:schemas-microsoft-com:office:smarttags" w:element="PlaceType">
        <w:r w:rsidRPr="0022710E">
          <w:rPr>
            <w:sz w:val="22"/>
            <w:lang w:val="en-US"/>
          </w:rPr>
          <w:t>province</w:t>
        </w:r>
      </w:smartTag>
      <w:r w:rsidRPr="0022710E">
        <w:rPr>
          <w:sz w:val="22"/>
          <w:lang w:val="en-US"/>
        </w:rPr>
        <w:t xml:space="preserve"> of </w:t>
      </w:r>
      <w:smartTag w:uri="urn:schemas-microsoft-com:office:smarttags" w:element="PlaceName">
        <w:r w:rsidRPr="0022710E">
          <w:rPr>
            <w:sz w:val="22"/>
            <w:lang w:val="en-US"/>
          </w:rPr>
          <w:t>Fars</w:t>
        </w:r>
      </w:smartTag>
      <w:r>
        <w:rPr>
          <w:sz w:val="22"/>
          <w:lang w:val="en-US"/>
        </w:rPr>
        <w:t>,</w:t>
      </w:r>
      <w:r w:rsidRPr="0022710E">
        <w:rPr>
          <w:sz w:val="22"/>
          <w:lang w:val="en-US"/>
        </w:rPr>
        <w:t xml:space="preserve"> in the south</w:t>
      </w:r>
      <w:r>
        <w:rPr>
          <w:sz w:val="22"/>
          <w:lang w:val="en-US"/>
        </w:rPr>
        <w:t>,</w:t>
      </w:r>
      <w:r w:rsidRPr="0022710E">
        <w:rPr>
          <w:sz w:val="22"/>
          <w:lang w:val="en-US"/>
        </w:rPr>
        <w:t xml:space="preserve"> and the districts of </w:t>
      </w:r>
      <w:proofErr w:type="spellStart"/>
      <w:r w:rsidRPr="0022710E">
        <w:rPr>
          <w:sz w:val="22"/>
          <w:lang w:val="en-US"/>
        </w:rPr>
        <w:t>Meshkin-Shahr</w:t>
      </w:r>
      <w:proofErr w:type="spellEnd"/>
      <w:r w:rsidRPr="0022710E">
        <w:rPr>
          <w:sz w:val="22"/>
          <w:lang w:val="en-US"/>
        </w:rPr>
        <w:t xml:space="preserve"> in the northwest. It is thought to be underreported. </w:t>
      </w:r>
    </w:p>
    <w:p w:rsidR="008F6BCF" w:rsidRPr="002C75B8" w:rsidRDefault="008F6BCF" w:rsidP="008F6BCF">
      <w:pPr>
        <w:ind w:left="0" w:firstLine="0"/>
        <w:rPr>
          <w:sz w:val="22"/>
          <w:lang w:val="en-US"/>
        </w:rPr>
      </w:pPr>
    </w:p>
    <w:p w:rsidR="008F6BCF" w:rsidRPr="0027398A" w:rsidRDefault="008F6BCF" w:rsidP="008F6BCF">
      <w:pPr>
        <w:ind w:left="0" w:firstLine="0"/>
        <w:rPr>
          <w:sz w:val="22"/>
          <w:lang w:val="en-US"/>
        </w:rPr>
      </w:pPr>
      <w:r w:rsidRPr="0027398A">
        <w:rPr>
          <w:sz w:val="22"/>
          <w:lang w:val="en-US"/>
        </w:rPr>
        <w:t>HIV-</w:t>
      </w:r>
      <w:r w:rsidRPr="0027398A">
        <w:rPr>
          <w:i/>
          <w:iCs/>
          <w:sz w:val="22"/>
          <w:lang w:val="en-US"/>
        </w:rPr>
        <w:t xml:space="preserve">Leishmania </w:t>
      </w:r>
      <w:r w:rsidRPr="0027398A">
        <w:rPr>
          <w:sz w:val="22"/>
          <w:lang w:val="en-US"/>
        </w:rPr>
        <w:t>co</w:t>
      </w:r>
      <w:r>
        <w:rPr>
          <w:sz w:val="22"/>
          <w:lang w:val="en-US"/>
        </w:rPr>
        <w:t>-</w:t>
      </w:r>
      <w:r w:rsidRPr="0027398A">
        <w:rPr>
          <w:sz w:val="22"/>
          <w:lang w:val="en-US"/>
        </w:rPr>
        <w:t>infection has been reported</w:t>
      </w:r>
      <w:r>
        <w:rPr>
          <w:sz w:val="22"/>
          <w:lang w:val="en-US"/>
        </w:rPr>
        <w:t xml:space="preserve"> recently [6]</w:t>
      </w:r>
      <w:r w:rsidRPr="0027398A">
        <w:rPr>
          <w:sz w:val="22"/>
          <w:lang w:val="en-US"/>
        </w:rPr>
        <w:t>.</w:t>
      </w:r>
    </w:p>
    <w:p w:rsidR="008F6BCF" w:rsidRDefault="008F6BCF" w:rsidP="008F6BCF">
      <w:pPr>
        <w:ind w:left="0" w:firstLine="0"/>
        <w:rPr>
          <w:color w:val="FF0000"/>
          <w:sz w:val="22"/>
          <w:lang w:val="en-US"/>
        </w:rPr>
      </w:pPr>
    </w:p>
    <w:p w:rsidR="008F6BCF" w:rsidRDefault="008F6BCF" w:rsidP="008F6BCF">
      <w:pPr>
        <w:ind w:left="0" w:firstLine="0"/>
        <w:rPr>
          <w:color w:val="FF0000"/>
          <w:sz w:val="22"/>
          <w:lang w:val="en-US"/>
        </w:rPr>
      </w:pPr>
    </w:p>
    <w:p w:rsidR="008F6BCF" w:rsidRPr="00EE6A36" w:rsidRDefault="008F6BCF" w:rsidP="008F6BCF">
      <w:pPr>
        <w:rPr>
          <w:b/>
          <w:bCs/>
          <w:sz w:val="22"/>
        </w:rPr>
      </w:pPr>
      <w:r w:rsidRPr="00EE6A36">
        <w:rPr>
          <w:b/>
          <w:bCs/>
          <w:sz w:val="22"/>
        </w:rPr>
        <w:t>PARASITOLOGICAL INFORMATION</w:t>
      </w:r>
    </w:p>
    <w:p w:rsidR="008F6BCF" w:rsidRDefault="008F6BCF" w:rsidP="008F6BC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440"/>
        <w:gridCol w:w="2520"/>
        <w:gridCol w:w="3600"/>
      </w:tblGrid>
      <w:tr w:rsidR="008F6BCF" w:rsidRPr="002C75B8" w:rsidTr="00A7768B">
        <w:tc>
          <w:tcPr>
            <w:tcW w:w="1728" w:type="dxa"/>
            <w:vAlign w:val="center"/>
          </w:tcPr>
          <w:p w:rsidR="008F6BCF" w:rsidRPr="002C75B8" w:rsidRDefault="008F6BC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440" w:type="dxa"/>
            <w:vAlign w:val="center"/>
          </w:tcPr>
          <w:p w:rsidR="008F6BCF" w:rsidRPr="002C75B8" w:rsidRDefault="008F6BC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520" w:type="dxa"/>
            <w:vAlign w:val="center"/>
          </w:tcPr>
          <w:p w:rsidR="008F6BCF" w:rsidRPr="002C75B8" w:rsidRDefault="008F6BC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3600" w:type="dxa"/>
            <w:vAlign w:val="center"/>
          </w:tcPr>
          <w:p w:rsidR="008F6BCF" w:rsidRPr="002C75B8" w:rsidRDefault="008F6BC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8F6BCF" w:rsidRPr="002C75B8" w:rsidTr="00A7768B">
        <w:tc>
          <w:tcPr>
            <w:tcW w:w="1728" w:type="dxa"/>
            <w:vAlign w:val="center"/>
          </w:tcPr>
          <w:p w:rsidR="008F6BCF" w:rsidRPr="006721B2" w:rsidRDefault="008F6BCF" w:rsidP="00A7768B">
            <w:pPr>
              <w:autoSpaceDE w:val="0"/>
              <w:autoSpaceDN w:val="0"/>
              <w:adjustRightInd w:val="0"/>
              <w:ind w:left="0" w:firstLine="0"/>
              <w:rPr>
                <w:i/>
                <w:iCs/>
                <w:color w:val="000000"/>
                <w:sz w:val="22"/>
                <w:lang w:val="en-US"/>
              </w:rPr>
            </w:pPr>
          </w:p>
          <w:p w:rsidR="008F6BCF" w:rsidRPr="006721B2" w:rsidRDefault="008F6BCF" w:rsidP="00A7768B">
            <w:pPr>
              <w:autoSpaceDE w:val="0"/>
              <w:autoSpaceDN w:val="0"/>
              <w:adjustRightInd w:val="0"/>
              <w:ind w:left="0" w:firstLine="0"/>
              <w:rPr>
                <w:i/>
                <w:iCs/>
                <w:color w:val="000000"/>
                <w:sz w:val="22"/>
                <w:lang w:val="en-US"/>
              </w:rPr>
            </w:pPr>
            <w:r w:rsidRPr="006721B2">
              <w:rPr>
                <w:i/>
                <w:iCs/>
                <w:color w:val="000000"/>
                <w:sz w:val="22"/>
                <w:lang w:val="en-US"/>
              </w:rPr>
              <w:t xml:space="preserve">L. major </w:t>
            </w:r>
          </w:p>
          <w:p w:rsidR="008F6BCF" w:rsidRPr="006721B2" w:rsidRDefault="008F6BCF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F6BCF" w:rsidRPr="006721B2" w:rsidRDefault="008F6BCF" w:rsidP="00A7768B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lang w:val="en-US"/>
              </w:rPr>
            </w:pPr>
            <w:r w:rsidRPr="006721B2">
              <w:rPr>
                <w:color w:val="000000"/>
                <w:sz w:val="22"/>
                <w:lang w:val="en-US"/>
              </w:rPr>
              <w:t>CL</w:t>
            </w:r>
          </w:p>
          <w:p w:rsidR="008F6BCF" w:rsidRPr="006721B2" w:rsidRDefault="008F6BCF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F6BCF" w:rsidRPr="006721B2" w:rsidRDefault="008F6BCF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i-FI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i-FI"/>
              </w:rPr>
              <w:t>. papatasi, P</w:t>
            </w:r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i-FI"/>
              </w:rPr>
              <w:t>. salehi, P. ansarii</w:t>
            </w:r>
          </w:p>
        </w:tc>
        <w:tc>
          <w:tcPr>
            <w:tcW w:w="3600" w:type="dxa"/>
            <w:vAlign w:val="center"/>
          </w:tcPr>
          <w:p w:rsidR="008F6BCF" w:rsidRPr="006721B2" w:rsidRDefault="008F6BCF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Rhombomys</w:t>
            </w:r>
            <w:proofErr w:type="spellEnd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opimus</w:t>
            </w:r>
            <w:proofErr w:type="spellEnd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Meriones</w:t>
            </w:r>
            <w:proofErr w:type="spellEnd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libycus</w:t>
            </w:r>
            <w:proofErr w:type="spellEnd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Tatera</w:t>
            </w:r>
            <w:proofErr w:type="spellEnd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indica</w:t>
            </w:r>
            <w:proofErr w:type="spellEnd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Nesokia</w:t>
            </w:r>
            <w:proofErr w:type="spellEnd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sp.</w:t>
            </w:r>
          </w:p>
        </w:tc>
      </w:tr>
      <w:tr w:rsidR="008F6BCF" w:rsidRPr="002C75B8" w:rsidTr="00A7768B">
        <w:tc>
          <w:tcPr>
            <w:tcW w:w="1728" w:type="dxa"/>
            <w:vAlign w:val="center"/>
          </w:tcPr>
          <w:p w:rsidR="008F6BCF" w:rsidRPr="006721B2" w:rsidRDefault="008F6BCF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L. tropica</w:t>
            </w:r>
          </w:p>
        </w:tc>
        <w:tc>
          <w:tcPr>
            <w:tcW w:w="1440" w:type="dxa"/>
            <w:vAlign w:val="center"/>
          </w:tcPr>
          <w:p w:rsidR="008F6BCF" w:rsidRPr="006721B2" w:rsidRDefault="008F6BCF" w:rsidP="00A7768B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lang w:val="en-US"/>
              </w:rPr>
            </w:pPr>
          </w:p>
          <w:p w:rsidR="008F6BCF" w:rsidRPr="006721B2" w:rsidRDefault="008F6BCF" w:rsidP="00A7768B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lang w:val="en-US"/>
              </w:rPr>
            </w:pPr>
            <w:r w:rsidRPr="006721B2">
              <w:rPr>
                <w:color w:val="000000"/>
                <w:sz w:val="22"/>
                <w:lang w:val="en-US"/>
              </w:rPr>
              <w:t>CL</w:t>
            </w:r>
          </w:p>
          <w:p w:rsidR="008F6BCF" w:rsidRPr="006721B2" w:rsidRDefault="008F6BCF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F6BCF" w:rsidRPr="006721B2" w:rsidRDefault="008F6BCF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sergenti</w:t>
            </w:r>
            <w:proofErr w:type="spellEnd"/>
          </w:p>
        </w:tc>
        <w:tc>
          <w:tcPr>
            <w:tcW w:w="3600" w:type="dxa"/>
            <w:vAlign w:val="center"/>
          </w:tcPr>
          <w:p w:rsidR="008F6BCF" w:rsidRPr="006721B2" w:rsidRDefault="008F6BCF" w:rsidP="00A7768B">
            <w:pPr>
              <w:pStyle w:val="NormalWeb"/>
              <w:spacing w:before="0" w:beforeAutospacing="0" w:after="0" w:afterAutospacing="0" w:line="313" w:lineRule="atLeast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BCF" w:rsidRPr="001B5A4E" w:rsidTr="00A7768B">
        <w:tc>
          <w:tcPr>
            <w:tcW w:w="1728" w:type="dxa"/>
            <w:vAlign w:val="center"/>
          </w:tcPr>
          <w:p w:rsidR="008F6BCF" w:rsidRPr="006721B2" w:rsidRDefault="008F6BCF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L. infantum</w:t>
            </w:r>
          </w:p>
        </w:tc>
        <w:tc>
          <w:tcPr>
            <w:tcW w:w="1440" w:type="dxa"/>
            <w:vAlign w:val="center"/>
          </w:tcPr>
          <w:p w:rsidR="008F6BCF" w:rsidRPr="006721B2" w:rsidRDefault="008F6BCF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color w:val="000000"/>
                <w:sz w:val="22"/>
                <w:szCs w:val="22"/>
              </w:rPr>
              <w:t>VL</w:t>
            </w:r>
          </w:p>
        </w:tc>
        <w:tc>
          <w:tcPr>
            <w:tcW w:w="2520" w:type="dxa"/>
            <w:vAlign w:val="center"/>
          </w:tcPr>
          <w:p w:rsidR="008F6BCF" w:rsidRPr="001B5A4E" w:rsidRDefault="008F6BCF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/>
              </w:rPr>
            </w:pPr>
            <w:r w:rsidRPr="001B5A4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/>
              </w:rPr>
              <w:t xml:space="preserve">P. major, </w:t>
            </w:r>
          </w:p>
          <w:p w:rsidR="008F6BCF" w:rsidRPr="001B5A4E" w:rsidRDefault="008F6BCF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/>
              </w:rPr>
            </w:pPr>
            <w:r w:rsidRPr="001B5A4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/>
              </w:rPr>
              <w:t xml:space="preserve">P. kandelakii, </w:t>
            </w:r>
          </w:p>
          <w:p w:rsidR="008F6BCF" w:rsidRPr="001B5A4E" w:rsidRDefault="008F6BCF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B5A4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/>
              </w:rPr>
              <w:t>P. halapensis</w:t>
            </w:r>
          </w:p>
        </w:tc>
        <w:tc>
          <w:tcPr>
            <w:tcW w:w="3600" w:type="dxa"/>
            <w:vAlign w:val="center"/>
          </w:tcPr>
          <w:p w:rsidR="008F6BCF" w:rsidRPr="001B5A4E" w:rsidRDefault="008F6BCF" w:rsidP="00A7768B">
            <w:pPr>
              <w:pStyle w:val="NormalWeb"/>
              <w:spacing w:before="0" w:beforeAutospacing="0" w:after="0" w:afterAutospacing="0" w:line="313" w:lineRule="atLeast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</w:tbl>
    <w:p w:rsidR="008F6BCF" w:rsidRPr="001B5A4E" w:rsidRDefault="008F6BCF" w:rsidP="008F6BCF">
      <w:pPr>
        <w:rPr>
          <w:lang w:val="da-DK"/>
        </w:rPr>
      </w:pPr>
    </w:p>
    <w:p w:rsidR="008F6BCF" w:rsidRPr="001B5A4E" w:rsidRDefault="008F6BCF" w:rsidP="008F6BCF">
      <w:pPr>
        <w:rPr>
          <w:b/>
          <w:bCs/>
          <w:sz w:val="22"/>
          <w:lang w:val="da-DK"/>
        </w:rPr>
      </w:pPr>
    </w:p>
    <w:p w:rsidR="008F6BCF" w:rsidRPr="0021444A" w:rsidRDefault="008F6BCF" w:rsidP="008F6BCF">
      <w:pPr>
        <w:rPr>
          <w:b/>
          <w:bCs/>
          <w:sz w:val="22"/>
          <w:lang w:val="en-GB"/>
        </w:rPr>
      </w:pPr>
      <w:r w:rsidRPr="0021444A">
        <w:rPr>
          <w:b/>
          <w:bCs/>
          <w:sz w:val="22"/>
          <w:lang w:val="en-GB"/>
        </w:rPr>
        <w:t>MAPS AND TRENDS</w:t>
      </w:r>
    </w:p>
    <w:p w:rsidR="008F6BCF" w:rsidRPr="0021444A" w:rsidRDefault="008F6BCF" w:rsidP="008F6BCF">
      <w:pPr>
        <w:rPr>
          <w:b/>
          <w:bCs/>
          <w:sz w:val="22"/>
          <w:lang w:val="en-GB"/>
        </w:rPr>
      </w:pPr>
    </w:p>
    <w:p w:rsidR="008F6BCF" w:rsidRDefault="008F6BCF" w:rsidP="008F6BCF">
      <w:pPr>
        <w:ind w:left="0" w:firstLine="0"/>
        <w:rPr>
          <w:b/>
          <w:bCs/>
          <w:sz w:val="22"/>
          <w:lang w:val="en-GB"/>
        </w:rPr>
      </w:pPr>
      <w:r w:rsidRPr="0021444A">
        <w:rPr>
          <w:b/>
          <w:bCs/>
          <w:sz w:val="22"/>
          <w:lang w:val="en-GB"/>
        </w:rPr>
        <w:t>Cutaneous leishmaniasis</w:t>
      </w:r>
    </w:p>
    <w:p w:rsidR="008F6BCF" w:rsidRDefault="008F6BCF" w:rsidP="008F6BCF">
      <w:pPr>
        <w:ind w:left="0" w:firstLine="0"/>
        <w:rPr>
          <w:sz w:val="22"/>
          <w:lang w:val="en-GB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106045</wp:posOffset>
            </wp:positionV>
            <wp:extent cx="3296920" cy="23317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106045</wp:posOffset>
            </wp:positionV>
            <wp:extent cx="3268980" cy="231203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b/>
          <w:bCs/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b/>
          <w:bCs/>
          <w:sz w:val="22"/>
          <w:lang w:val="en-US"/>
        </w:rPr>
      </w:pPr>
    </w:p>
    <w:p w:rsidR="008F6BCF" w:rsidRDefault="008F6BCF" w:rsidP="008F6BCF">
      <w:pPr>
        <w:ind w:left="0" w:firstLine="0"/>
        <w:rPr>
          <w:b/>
          <w:bCs/>
          <w:sz w:val="22"/>
          <w:lang w:val="en-US"/>
        </w:rPr>
      </w:pPr>
    </w:p>
    <w:p w:rsidR="008F6BCF" w:rsidRDefault="008F6BCF" w:rsidP="008F6BCF">
      <w:pPr>
        <w:ind w:left="0" w:firstLine="0"/>
        <w:rPr>
          <w:b/>
          <w:bCs/>
          <w:sz w:val="22"/>
          <w:lang w:val="en-US"/>
        </w:rPr>
      </w:pPr>
    </w:p>
    <w:p w:rsidR="008F6BCF" w:rsidRDefault="008F6BCF" w:rsidP="008F6BCF">
      <w:pPr>
        <w:ind w:left="0" w:firstLine="0"/>
        <w:rPr>
          <w:b/>
          <w:bCs/>
          <w:sz w:val="22"/>
          <w:lang w:val="en-US"/>
        </w:rPr>
      </w:pPr>
    </w:p>
    <w:p w:rsidR="008F6BCF" w:rsidRDefault="008F6BCF" w:rsidP="008F6BCF">
      <w:pPr>
        <w:ind w:left="0" w:firstLine="0"/>
        <w:rPr>
          <w:b/>
          <w:bCs/>
          <w:sz w:val="22"/>
          <w:lang w:val="en-US"/>
        </w:rPr>
      </w:pPr>
    </w:p>
    <w:p w:rsidR="008F6BCF" w:rsidRDefault="008F6BCF" w:rsidP="008F6BCF">
      <w:pPr>
        <w:ind w:left="0" w:firstLine="0"/>
        <w:rPr>
          <w:b/>
          <w:bCs/>
          <w:sz w:val="22"/>
          <w:lang w:val="en-US"/>
        </w:rPr>
      </w:pPr>
    </w:p>
    <w:p w:rsidR="008F6BCF" w:rsidRDefault="008F6BCF" w:rsidP="008F6BCF">
      <w:pPr>
        <w:ind w:left="0" w:firstLine="0"/>
        <w:rPr>
          <w:b/>
          <w:bCs/>
          <w:sz w:val="22"/>
          <w:lang w:val="en-US"/>
        </w:rPr>
      </w:pPr>
    </w:p>
    <w:p w:rsidR="008F6BCF" w:rsidRPr="0021444A" w:rsidRDefault="008F6BCF" w:rsidP="008F6BCF">
      <w:pPr>
        <w:ind w:left="0" w:firstLine="0"/>
        <w:rPr>
          <w:b/>
          <w:bCs/>
          <w:sz w:val="22"/>
          <w:lang w:val="en-US"/>
        </w:rPr>
      </w:pPr>
      <w:r w:rsidRPr="0021444A">
        <w:rPr>
          <w:b/>
          <w:bCs/>
          <w:sz w:val="22"/>
          <w:lang w:val="en-US"/>
        </w:rPr>
        <w:t>Visceral leishmaniasis</w:t>
      </w: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35560</wp:posOffset>
            </wp:positionV>
            <wp:extent cx="3314700" cy="234378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135890</wp:posOffset>
            </wp:positionV>
            <wp:extent cx="3190875" cy="225679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Pr="002C75B8" w:rsidRDefault="008F6BCF" w:rsidP="008F6BCF">
      <w:pPr>
        <w:ind w:left="0" w:firstLine="0"/>
        <w:rPr>
          <w:sz w:val="22"/>
          <w:lang w:val="en-GB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rPr>
          <w:b/>
          <w:bCs/>
          <w:sz w:val="22"/>
          <w:lang w:val="en-GB"/>
        </w:rPr>
      </w:pPr>
    </w:p>
    <w:p w:rsidR="008F6BCF" w:rsidRDefault="008F6BCF" w:rsidP="008F6BCF">
      <w:pPr>
        <w:spacing w:line="360" w:lineRule="auto"/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215900</wp:posOffset>
            </wp:positionV>
            <wp:extent cx="6745605" cy="2696845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b/>
          <w:bCs/>
          <w:sz w:val="22"/>
          <w:lang w:val="en-GB"/>
        </w:rPr>
        <w:t xml:space="preserve">Cutaneous </w:t>
      </w:r>
      <w:r w:rsidRPr="0021444A">
        <w:rPr>
          <w:b/>
          <w:bCs/>
          <w:sz w:val="22"/>
          <w:lang w:val="en-GB"/>
        </w:rPr>
        <w:t>leishmaniasis trend</w:t>
      </w:r>
    </w:p>
    <w:p w:rsidR="008F6BCF" w:rsidRDefault="008F6BCF" w:rsidP="008F6BCF">
      <w:pPr>
        <w:spacing w:line="360" w:lineRule="auto"/>
        <w:ind w:left="0" w:firstLine="0"/>
        <w:rPr>
          <w:b/>
          <w:bCs/>
          <w:sz w:val="22"/>
          <w:lang w:val="en-GB"/>
        </w:rPr>
      </w:pPr>
    </w:p>
    <w:p w:rsidR="008F6BCF" w:rsidRDefault="008F6BCF" w:rsidP="008F6BCF">
      <w:pPr>
        <w:spacing w:line="360" w:lineRule="auto"/>
        <w:ind w:left="0" w:firstLine="0"/>
        <w:rPr>
          <w:b/>
          <w:bCs/>
          <w:sz w:val="22"/>
          <w:lang w:val="en-GB"/>
        </w:rPr>
      </w:pPr>
    </w:p>
    <w:p w:rsidR="008F6BCF" w:rsidRDefault="008F6BCF" w:rsidP="008F6BCF">
      <w:pPr>
        <w:spacing w:line="360" w:lineRule="auto"/>
        <w:ind w:left="0" w:firstLine="0"/>
        <w:rPr>
          <w:b/>
          <w:bCs/>
          <w:sz w:val="22"/>
          <w:lang w:val="en-GB"/>
        </w:rPr>
      </w:pPr>
    </w:p>
    <w:p w:rsidR="008F6BCF" w:rsidRDefault="008F6BCF" w:rsidP="008F6BCF">
      <w:pPr>
        <w:spacing w:line="360" w:lineRule="auto"/>
        <w:ind w:left="0" w:firstLine="0"/>
        <w:rPr>
          <w:b/>
          <w:bCs/>
          <w:sz w:val="22"/>
          <w:lang w:val="en-GB"/>
        </w:rPr>
      </w:pPr>
    </w:p>
    <w:p w:rsidR="008F6BCF" w:rsidRDefault="008F6BCF" w:rsidP="008F6BCF">
      <w:pPr>
        <w:spacing w:line="360" w:lineRule="auto"/>
        <w:ind w:left="0" w:firstLine="0"/>
        <w:rPr>
          <w:b/>
          <w:bCs/>
          <w:sz w:val="22"/>
          <w:lang w:val="en-GB"/>
        </w:rPr>
      </w:pPr>
    </w:p>
    <w:p w:rsidR="008F6BCF" w:rsidRDefault="008F6BCF" w:rsidP="008F6BCF">
      <w:pPr>
        <w:spacing w:line="360" w:lineRule="auto"/>
        <w:ind w:left="0" w:firstLine="0"/>
        <w:rPr>
          <w:b/>
          <w:bCs/>
          <w:sz w:val="22"/>
          <w:lang w:val="en-GB"/>
        </w:rPr>
      </w:pPr>
    </w:p>
    <w:p w:rsidR="008F6BCF" w:rsidRDefault="008F6BCF" w:rsidP="008F6BCF">
      <w:pPr>
        <w:spacing w:line="360" w:lineRule="auto"/>
        <w:ind w:left="0" w:firstLine="0"/>
        <w:rPr>
          <w:b/>
          <w:bCs/>
          <w:sz w:val="22"/>
          <w:lang w:val="en-GB"/>
        </w:rPr>
      </w:pPr>
    </w:p>
    <w:p w:rsidR="008F6BCF" w:rsidRDefault="008F6BCF" w:rsidP="008F6BCF">
      <w:pPr>
        <w:spacing w:line="360" w:lineRule="auto"/>
        <w:ind w:left="0" w:firstLine="0"/>
        <w:rPr>
          <w:b/>
          <w:bCs/>
          <w:sz w:val="22"/>
          <w:lang w:val="en-GB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rPr>
          <w:b/>
          <w:bCs/>
          <w:sz w:val="22"/>
          <w:lang w:val="en-GB"/>
        </w:rPr>
      </w:pPr>
    </w:p>
    <w:p w:rsidR="008F6BCF" w:rsidRPr="0021444A" w:rsidRDefault="008F6BCF" w:rsidP="008F6BCF">
      <w:pPr>
        <w:rPr>
          <w:b/>
          <w:bCs/>
          <w:sz w:val="22"/>
          <w:lang w:val="en-GB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101600</wp:posOffset>
            </wp:positionV>
            <wp:extent cx="6743700" cy="2548890"/>
            <wp:effectExtent l="0" t="0" r="0" b="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21444A">
        <w:rPr>
          <w:b/>
          <w:bCs/>
          <w:sz w:val="22"/>
          <w:lang w:val="en-GB"/>
        </w:rPr>
        <w:t>Visceral leishmaniasis trend</w:t>
      </w: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</w:p>
    <w:p w:rsidR="008F6BCF" w:rsidRPr="002C75B8" w:rsidRDefault="008F6BCF" w:rsidP="008F6BCF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>CONTROL</w:t>
      </w:r>
    </w:p>
    <w:p w:rsidR="008F6BCF" w:rsidRPr="001D1C4E" w:rsidRDefault="008F6BCF" w:rsidP="008F6BCF">
      <w:pPr>
        <w:autoSpaceDE w:val="0"/>
        <w:autoSpaceDN w:val="0"/>
        <w:adjustRightInd w:val="0"/>
        <w:ind w:left="0" w:firstLine="0"/>
        <w:rPr>
          <w:bCs/>
          <w:sz w:val="22"/>
          <w:lang w:val="en-GB"/>
        </w:rPr>
      </w:pPr>
      <w:r w:rsidRPr="001D1C4E">
        <w:rPr>
          <w:bCs/>
          <w:sz w:val="22"/>
          <w:lang w:val="en-GB"/>
        </w:rPr>
        <w:t xml:space="preserve">Notification of all forms of leishmaniasis is mandatory in </w:t>
      </w:r>
      <w:smartTag w:uri="urn:schemas-microsoft-com:office:smarttags" w:element="country-region">
        <w:smartTag w:uri="urn:schemas-microsoft-com:office:smarttags" w:element="place">
          <w:r w:rsidRPr="001D1C4E">
            <w:rPr>
              <w:bCs/>
              <w:sz w:val="22"/>
              <w:lang w:val="en-GB"/>
            </w:rPr>
            <w:t>Iran</w:t>
          </w:r>
        </w:smartTag>
      </w:smartTag>
      <w:r w:rsidRPr="001D1C4E">
        <w:rPr>
          <w:bCs/>
          <w:sz w:val="22"/>
          <w:lang w:val="en-GB"/>
        </w:rPr>
        <w:t xml:space="preserve">. </w:t>
      </w:r>
      <w:r>
        <w:rPr>
          <w:bCs/>
          <w:sz w:val="22"/>
          <w:lang w:val="en-US"/>
        </w:rPr>
        <w:t>A</w:t>
      </w:r>
      <w:r w:rsidRPr="0022710E">
        <w:rPr>
          <w:bCs/>
          <w:sz w:val="22"/>
          <w:lang w:val="en-US"/>
        </w:rPr>
        <w:t xml:space="preserve"> national </w:t>
      </w:r>
      <w:r>
        <w:rPr>
          <w:bCs/>
          <w:sz w:val="22"/>
          <w:lang w:val="en-US"/>
        </w:rPr>
        <w:t>l</w:t>
      </w:r>
      <w:r w:rsidRPr="0022710E">
        <w:rPr>
          <w:bCs/>
          <w:sz w:val="22"/>
          <w:lang w:val="en-US"/>
        </w:rPr>
        <w:t>eishmaniasis control program</w:t>
      </w:r>
      <w:r>
        <w:rPr>
          <w:bCs/>
          <w:sz w:val="22"/>
          <w:lang w:val="en-US"/>
        </w:rPr>
        <w:t xml:space="preserve"> has been</w:t>
      </w:r>
      <w:r w:rsidRPr="0022710E">
        <w:rPr>
          <w:bCs/>
          <w:sz w:val="22"/>
          <w:lang w:val="en-US"/>
        </w:rPr>
        <w:t xml:space="preserve"> in effect since 1978. Active human case detection is regularly performed in </w:t>
      </w:r>
      <w:r w:rsidRPr="001D1C4E">
        <w:rPr>
          <w:sz w:val="22"/>
          <w:lang w:val="en-GB" w:eastAsia="en-GB"/>
        </w:rPr>
        <w:t>new anthroponotic cutaneous leishmaniasis-infected areas. Case detection is passive in zoonotic cutaneous leishmaniasis areas.</w:t>
      </w:r>
      <w:r w:rsidRPr="0022710E">
        <w:rPr>
          <w:bCs/>
          <w:sz w:val="22"/>
          <w:lang w:val="en-US"/>
        </w:rPr>
        <w:t xml:space="preserve">There is a vector control program in place that includes </w:t>
      </w:r>
      <w:proofErr w:type="spellStart"/>
      <w:r w:rsidRPr="0022710E">
        <w:rPr>
          <w:bCs/>
          <w:sz w:val="22"/>
          <w:lang w:val="en-US"/>
        </w:rPr>
        <w:t>bednet</w:t>
      </w:r>
      <w:proofErr w:type="spellEnd"/>
      <w:r w:rsidRPr="0022710E">
        <w:rPr>
          <w:bCs/>
          <w:sz w:val="22"/>
          <w:lang w:val="en-US"/>
        </w:rPr>
        <w:t xml:space="preserve"> distribution and regular insecticide spraying. The leishmaniasis reservoir control program includes the sacrifice of </w:t>
      </w:r>
      <w:proofErr w:type="spellStart"/>
      <w:r w:rsidRPr="0022710E">
        <w:rPr>
          <w:bCs/>
          <w:sz w:val="22"/>
          <w:lang w:val="en-US"/>
        </w:rPr>
        <w:t>seropositive</w:t>
      </w:r>
      <w:proofErr w:type="spellEnd"/>
      <w:r w:rsidRPr="0022710E">
        <w:rPr>
          <w:bCs/>
          <w:sz w:val="22"/>
          <w:lang w:val="en-US"/>
        </w:rPr>
        <w:t xml:space="preserve"> dogs (for VL) and regular rodent control (for CL). Due to a lack of budget and political commitment, the control program has not been efficient in controlling CL and VL. </w:t>
      </w:r>
    </w:p>
    <w:p w:rsidR="008F6BCF" w:rsidRPr="001D1C4E" w:rsidRDefault="008F6BCF" w:rsidP="008F6BCF">
      <w:pPr>
        <w:autoSpaceDE w:val="0"/>
        <w:autoSpaceDN w:val="0"/>
        <w:adjustRightInd w:val="0"/>
        <w:ind w:left="0" w:firstLine="0"/>
        <w:rPr>
          <w:bCs/>
          <w:sz w:val="22"/>
          <w:lang w:val="en-GB"/>
        </w:rPr>
      </w:pPr>
    </w:p>
    <w:p w:rsidR="008F6BCF" w:rsidRDefault="008F6BCF" w:rsidP="008F6BCF">
      <w:pPr>
        <w:autoSpaceDE w:val="0"/>
        <w:autoSpaceDN w:val="0"/>
        <w:adjustRightInd w:val="0"/>
        <w:ind w:left="0" w:firstLine="0"/>
        <w:rPr>
          <w:bCs/>
          <w:sz w:val="22"/>
          <w:lang w:val="en-US"/>
        </w:rPr>
      </w:pPr>
    </w:p>
    <w:p w:rsidR="008F6BCF" w:rsidRPr="002C75B8" w:rsidRDefault="008F6BCF" w:rsidP="008F6BCF">
      <w:pPr>
        <w:autoSpaceDE w:val="0"/>
        <w:autoSpaceDN w:val="0"/>
        <w:adjustRightInd w:val="0"/>
        <w:ind w:left="0" w:firstLine="0"/>
        <w:rPr>
          <w:b/>
          <w:bCs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8F6BCF" w:rsidRPr="002C75B8" w:rsidRDefault="008F6BCF" w:rsidP="008F6BCF">
      <w:pPr>
        <w:ind w:left="0" w:firstLine="0"/>
        <w:rPr>
          <w:b/>
          <w:sz w:val="22"/>
          <w:lang w:val="en-GB"/>
        </w:rPr>
      </w:pPr>
    </w:p>
    <w:p w:rsidR="008F6BCF" w:rsidRPr="002C75B8" w:rsidRDefault="008F6BCF" w:rsidP="008F6BCF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Diagnosis</w:t>
      </w:r>
    </w:p>
    <w:p w:rsidR="008F6BCF" w:rsidRPr="00EF6EC8" w:rsidRDefault="008F6BCF" w:rsidP="008F6BCF">
      <w:pPr>
        <w:ind w:left="0" w:firstLine="0"/>
        <w:rPr>
          <w:sz w:val="22"/>
          <w:lang w:val="en-US"/>
        </w:rPr>
      </w:pPr>
      <w:r w:rsidRPr="00EF6EC8">
        <w:rPr>
          <w:bCs/>
          <w:sz w:val="22"/>
          <w:lang w:val="en-US"/>
        </w:rPr>
        <w:t>CL</w:t>
      </w:r>
      <w:r w:rsidRPr="00EF6EC8">
        <w:rPr>
          <w:sz w:val="22"/>
          <w:lang w:val="en-US"/>
        </w:rPr>
        <w:t xml:space="preserve">: on clinical grounds, confirmation with microscopic examination </w:t>
      </w:r>
      <w:r w:rsidRPr="00EF6EC8">
        <w:rPr>
          <w:bCs/>
          <w:sz w:val="22"/>
          <w:lang w:val="en-US"/>
        </w:rPr>
        <w:t xml:space="preserve">of skin lesion sample. </w:t>
      </w:r>
      <w:r w:rsidRPr="00EF6EC8">
        <w:rPr>
          <w:sz w:val="22"/>
          <w:lang w:val="en-US"/>
        </w:rPr>
        <w:t xml:space="preserve"> </w:t>
      </w:r>
    </w:p>
    <w:p w:rsidR="008F6BCF" w:rsidRPr="002C75B8" w:rsidRDefault="008F6BCF" w:rsidP="008F6BCF">
      <w:pPr>
        <w:ind w:left="0" w:firstLine="0"/>
        <w:rPr>
          <w:b/>
          <w:sz w:val="22"/>
          <w:lang w:val="en-GB"/>
        </w:rPr>
      </w:pPr>
      <w:r w:rsidRPr="00EF6EC8">
        <w:rPr>
          <w:bCs/>
          <w:sz w:val="22"/>
          <w:lang w:val="en-US"/>
        </w:rPr>
        <w:t>VL:</w:t>
      </w:r>
      <w:r w:rsidRPr="00EF6EC8">
        <w:rPr>
          <w:sz w:val="22"/>
          <w:lang w:val="en-US"/>
        </w:rPr>
        <w:t xml:space="preserve"> confirmation</w:t>
      </w:r>
      <w:r w:rsidRPr="002C75B8">
        <w:rPr>
          <w:sz w:val="22"/>
          <w:lang w:val="en-US"/>
        </w:rPr>
        <w:t xml:space="preserve"> by microscopic examination of bone marrow aspirate or DAT</w:t>
      </w:r>
      <w:r>
        <w:rPr>
          <w:sz w:val="22"/>
          <w:lang w:val="en-US"/>
        </w:rPr>
        <w:t>.</w:t>
      </w:r>
    </w:p>
    <w:p w:rsidR="008F6BCF" w:rsidRPr="002C75B8" w:rsidRDefault="008F6BCF" w:rsidP="008F6BCF">
      <w:pPr>
        <w:ind w:left="0" w:firstLine="0"/>
        <w:rPr>
          <w:b/>
          <w:sz w:val="22"/>
          <w:lang w:val="en-GB"/>
        </w:rPr>
      </w:pPr>
    </w:p>
    <w:p w:rsidR="008F6BCF" w:rsidRPr="002C75B8" w:rsidRDefault="008F6BCF" w:rsidP="008F6BCF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t>Treatment</w:t>
      </w:r>
    </w:p>
    <w:p w:rsidR="008F6BCF" w:rsidRDefault="008F6BCF" w:rsidP="008F6BCF">
      <w:pPr>
        <w:ind w:left="0" w:firstLine="0"/>
        <w:rPr>
          <w:bCs/>
          <w:sz w:val="22"/>
          <w:lang w:val="en-US"/>
        </w:rPr>
      </w:pPr>
      <w:r w:rsidRPr="00EF6EC8">
        <w:rPr>
          <w:sz w:val="22"/>
          <w:lang w:val="en-GB"/>
        </w:rPr>
        <w:t>CL</w:t>
      </w:r>
      <w:r w:rsidRPr="00EF6EC8">
        <w:rPr>
          <w:bCs/>
          <w:sz w:val="22"/>
          <w:lang w:val="en-GB"/>
        </w:rPr>
        <w:t>: CL</w:t>
      </w:r>
      <w:r w:rsidRPr="002C75B8">
        <w:rPr>
          <w:bCs/>
          <w:sz w:val="22"/>
          <w:lang w:val="en-GB"/>
        </w:rPr>
        <w:t xml:space="preserve"> due to </w:t>
      </w:r>
      <w:proofErr w:type="spellStart"/>
      <w:r w:rsidRPr="00B40D99">
        <w:rPr>
          <w:bCs/>
          <w:i/>
          <w:iCs/>
          <w:sz w:val="22"/>
          <w:lang w:val="en-GB"/>
        </w:rPr>
        <w:t>L.major</w:t>
      </w:r>
      <w:proofErr w:type="spellEnd"/>
      <w:r w:rsidRPr="00B40D99">
        <w:rPr>
          <w:bCs/>
          <w:i/>
          <w:iCs/>
          <w:sz w:val="22"/>
          <w:lang w:val="en-GB"/>
        </w:rPr>
        <w:t xml:space="preserve"> </w:t>
      </w:r>
      <w:r w:rsidRPr="002C75B8">
        <w:rPr>
          <w:bCs/>
          <w:sz w:val="22"/>
          <w:lang w:val="en-GB"/>
        </w:rPr>
        <w:t xml:space="preserve">is not treated when lesions are small and not facial. In all other cases: antimonials, </w:t>
      </w:r>
      <w:r w:rsidRPr="002C75B8">
        <w:rPr>
          <w:bCs/>
          <w:sz w:val="22"/>
          <w:lang w:val="en-US"/>
        </w:rPr>
        <w:t>intralesional (weekly) and cryotherapy (once every two weeks) until cure</w:t>
      </w:r>
      <w:r>
        <w:rPr>
          <w:bCs/>
          <w:sz w:val="22"/>
          <w:lang w:val="en-US"/>
        </w:rPr>
        <w:t>d</w:t>
      </w:r>
      <w:r w:rsidRPr="002C75B8">
        <w:rPr>
          <w:bCs/>
          <w:sz w:val="22"/>
          <w:lang w:val="en-US"/>
        </w:rPr>
        <w:t xml:space="preserve"> and for a maximum of 12 weeks. If needed, systemic therapy (20 mg </w:t>
      </w:r>
      <w:proofErr w:type="spellStart"/>
      <w:r w:rsidRPr="002C75B8">
        <w:rPr>
          <w:bCs/>
          <w:sz w:val="22"/>
          <w:lang w:val="en-US"/>
        </w:rPr>
        <w:t>Sb</w:t>
      </w:r>
      <w:r w:rsidRPr="002C75B8">
        <w:rPr>
          <w:bCs/>
          <w:sz w:val="22"/>
          <w:vertAlign w:val="superscript"/>
          <w:lang w:val="en-US"/>
        </w:rPr>
        <w:t>v</w:t>
      </w:r>
      <w:proofErr w:type="spellEnd"/>
      <w:r w:rsidRPr="002C75B8">
        <w:rPr>
          <w:bCs/>
          <w:sz w:val="22"/>
          <w:lang w:val="en-US"/>
        </w:rPr>
        <w:t xml:space="preserve"> /kg/day for 2 weeks in CL caused by </w:t>
      </w:r>
      <w:proofErr w:type="spellStart"/>
      <w:r w:rsidRPr="00AF002A">
        <w:rPr>
          <w:bCs/>
          <w:i/>
          <w:sz w:val="22"/>
          <w:lang w:val="en-US"/>
        </w:rPr>
        <w:t>L.major</w:t>
      </w:r>
      <w:proofErr w:type="spellEnd"/>
      <w:r w:rsidRPr="002C75B8">
        <w:rPr>
          <w:bCs/>
          <w:sz w:val="22"/>
          <w:lang w:val="en-US"/>
        </w:rPr>
        <w:t xml:space="preserve"> and 3 weeks in CL caused by</w:t>
      </w:r>
      <w:r w:rsidRPr="00B40D99">
        <w:rPr>
          <w:bCs/>
          <w:i/>
          <w:iCs/>
          <w:sz w:val="22"/>
          <w:lang w:val="en-US"/>
        </w:rPr>
        <w:t xml:space="preserve"> </w:t>
      </w:r>
      <w:proofErr w:type="spellStart"/>
      <w:r w:rsidRPr="00B40D99">
        <w:rPr>
          <w:bCs/>
          <w:i/>
          <w:iCs/>
          <w:sz w:val="22"/>
          <w:lang w:val="en-US"/>
        </w:rPr>
        <w:t>L.tropica</w:t>
      </w:r>
      <w:proofErr w:type="spellEnd"/>
      <w:r w:rsidRPr="002C75B8">
        <w:rPr>
          <w:bCs/>
          <w:sz w:val="22"/>
          <w:lang w:val="en-US"/>
        </w:rPr>
        <w:t>. T</w:t>
      </w:r>
      <w:r w:rsidRPr="002C75B8">
        <w:rPr>
          <w:sz w:val="22"/>
          <w:lang w:val="en-GB"/>
        </w:rPr>
        <w:t>he cure rate is 63% with 2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 xml:space="preserve">8% severe adverse events. </w:t>
      </w:r>
      <w:r w:rsidRPr="002C75B8">
        <w:rPr>
          <w:bCs/>
          <w:sz w:val="22"/>
          <w:lang w:val="en-US"/>
        </w:rPr>
        <w:t xml:space="preserve">Treatment failure is especially common in CL caused by </w:t>
      </w:r>
      <w:proofErr w:type="spellStart"/>
      <w:r w:rsidRPr="00B40D99">
        <w:rPr>
          <w:bCs/>
          <w:i/>
          <w:iCs/>
          <w:sz w:val="22"/>
          <w:lang w:val="en-US"/>
        </w:rPr>
        <w:t>L.tropica</w:t>
      </w:r>
      <w:proofErr w:type="spellEnd"/>
      <w:r w:rsidRPr="002C75B8">
        <w:rPr>
          <w:bCs/>
          <w:sz w:val="22"/>
          <w:lang w:val="en-US"/>
        </w:rPr>
        <w:t xml:space="preserve">. In non-responsive patients, primary resistance to antimonials has been demonstrated in both </w:t>
      </w:r>
      <w:proofErr w:type="spellStart"/>
      <w:r w:rsidRPr="00B40D99">
        <w:rPr>
          <w:bCs/>
          <w:i/>
          <w:iCs/>
          <w:sz w:val="22"/>
          <w:lang w:val="en-US"/>
        </w:rPr>
        <w:t>L.major</w:t>
      </w:r>
      <w:proofErr w:type="spellEnd"/>
      <w:r w:rsidRPr="002C75B8">
        <w:rPr>
          <w:bCs/>
          <w:sz w:val="22"/>
          <w:lang w:val="en-US"/>
        </w:rPr>
        <w:t xml:space="preserve"> and </w:t>
      </w:r>
      <w:proofErr w:type="spellStart"/>
      <w:r w:rsidRPr="00B40D99">
        <w:rPr>
          <w:bCs/>
          <w:i/>
          <w:iCs/>
          <w:sz w:val="22"/>
          <w:lang w:val="en-US"/>
        </w:rPr>
        <w:t>L.tropica</w:t>
      </w:r>
      <w:proofErr w:type="spellEnd"/>
      <w:r w:rsidRPr="002C75B8">
        <w:rPr>
          <w:bCs/>
          <w:sz w:val="22"/>
          <w:lang w:val="en-US"/>
        </w:rPr>
        <w:t xml:space="preserve"> strains. </w:t>
      </w:r>
    </w:p>
    <w:p w:rsidR="008F6BCF" w:rsidRDefault="008F6BCF" w:rsidP="008F6BCF">
      <w:pPr>
        <w:ind w:left="0" w:firstLine="0"/>
        <w:rPr>
          <w:bCs/>
          <w:sz w:val="22"/>
          <w:lang w:val="en-GB"/>
        </w:rPr>
      </w:pPr>
    </w:p>
    <w:p w:rsidR="008F6BCF" w:rsidRPr="002C75B8" w:rsidRDefault="008F6BCF" w:rsidP="008F6BCF">
      <w:pPr>
        <w:ind w:left="0" w:firstLine="0"/>
        <w:rPr>
          <w:sz w:val="22"/>
          <w:lang w:val="en-GB"/>
        </w:rPr>
      </w:pPr>
      <w:r w:rsidRPr="00EF6EC8">
        <w:rPr>
          <w:bCs/>
          <w:sz w:val="22"/>
          <w:lang w:val="en-GB"/>
        </w:rPr>
        <w:t>VL</w:t>
      </w:r>
      <w:r w:rsidRPr="00EF6EC8">
        <w:rPr>
          <w:sz w:val="22"/>
          <w:lang w:val="en-GB"/>
        </w:rPr>
        <w:t>: antimonials</w:t>
      </w:r>
      <w:r w:rsidRPr="002C75B8">
        <w:rPr>
          <w:sz w:val="22"/>
          <w:lang w:val="en-GB"/>
        </w:rPr>
        <w:t xml:space="preserve">, 20 mg </w:t>
      </w:r>
      <w:proofErr w:type="spellStart"/>
      <w:r w:rsidRPr="002C75B8">
        <w:rPr>
          <w:bCs/>
          <w:sz w:val="22"/>
          <w:lang w:val="en-US"/>
        </w:rPr>
        <w:t>Sb</w:t>
      </w:r>
      <w:r w:rsidRPr="002C75B8">
        <w:rPr>
          <w:bCs/>
          <w:sz w:val="22"/>
          <w:vertAlign w:val="superscript"/>
          <w:lang w:val="en-US"/>
        </w:rPr>
        <w:t>v</w:t>
      </w:r>
      <w:proofErr w:type="spellEnd"/>
      <w:r w:rsidRPr="002C75B8">
        <w:rPr>
          <w:sz w:val="22"/>
          <w:lang w:val="en-GB"/>
        </w:rPr>
        <w:t xml:space="preserve">/kg/day. Cure rate is 100%. </w:t>
      </w:r>
    </w:p>
    <w:p w:rsidR="008F6BCF" w:rsidRPr="002C75B8" w:rsidRDefault="008F6BCF" w:rsidP="008F6BCF">
      <w:pPr>
        <w:spacing w:line="360" w:lineRule="auto"/>
        <w:ind w:left="0" w:firstLine="0"/>
        <w:rPr>
          <w:sz w:val="22"/>
          <w:lang w:val="en-US"/>
        </w:rPr>
      </w:pPr>
    </w:p>
    <w:p w:rsidR="008F6BCF" w:rsidRPr="002C75B8" w:rsidRDefault="008F6BCF" w:rsidP="008F6BCF">
      <w:pPr>
        <w:spacing w:line="360" w:lineRule="auto"/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ACCESS TO CARE</w:t>
      </w:r>
    </w:p>
    <w:p w:rsidR="008F6BCF" w:rsidRPr="008F6BCF" w:rsidRDefault="008F6BCF" w:rsidP="008F6BCF">
      <w:pPr>
        <w:pStyle w:val="ListParagraph"/>
        <w:tabs>
          <w:tab w:val="left" w:pos="1230"/>
        </w:tabs>
        <w:ind w:left="0" w:firstLine="0"/>
        <w:rPr>
          <w:sz w:val="22"/>
        </w:rPr>
      </w:pPr>
      <w:proofErr w:type="spellStart"/>
      <w:r w:rsidRPr="008F6BCF">
        <w:rPr>
          <w:sz w:val="22"/>
        </w:rPr>
        <w:t>Medical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care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is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provided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for</w:t>
      </w:r>
      <w:proofErr w:type="spellEnd"/>
      <w:r w:rsidRPr="008F6BCF">
        <w:rPr>
          <w:sz w:val="22"/>
        </w:rPr>
        <w:t xml:space="preserve"> free in </w:t>
      </w:r>
      <w:proofErr w:type="spellStart"/>
      <w:smartTag w:uri="urn:schemas-microsoft-com:office:smarttags" w:element="country-region">
        <w:smartTag w:uri="urn:schemas-microsoft-com:office:smarttags" w:element="place">
          <w:r w:rsidRPr="008F6BCF">
            <w:rPr>
              <w:sz w:val="22"/>
            </w:rPr>
            <w:t>Iran</w:t>
          </w:r>
        </w:smartTag>
      </w:smartTag>
      <w:proofErr w:type="spellEnd"/>
      <w:r w:rsidRPr="008F6BCF">
        <w:rPr>
          <w:sz w:val="22"/>
        </w:rPr>
        <w:t xml:space="preserve">, </w:t>
      </w:r>
      <w:proofErr w:type="spellStart"/>
      <w:r w:rsidRPr="008F6BCF">
        <w:rPr>
          <w:sz w:val="22"/>
        </w:rPr>
        <w:t>which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includes</w:t>
      </w:r>
      <w:proofErr w:type="spellEnd"/>
      <w:r w:rsidRPr="008F6BCF">
        <w:rPr>
          <w:sz w:val="22"/>
        </w:rPr>
        <w:t xml:space="preserve"> diagnosis and </w:t>
      </w:r>
      <w:proofErr w:type="spellStart"/>
      <w:r w:rsidRPr="008F6BCF">
        <w:rPr>
          <w:sz w:val="22"/>
        </w:rPr>
        <w:t>treatment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for</w:t>
      </w:r>
      <w:proofErr w:type="spellEnd"/>
      <w:r w:rsidRPr="008F6BCF">
        <w:rPr>
          <w:sz w:val="22"/>
        </w:rPr>
        <w:t xml:space="preserve"> leishmaniasis. The </w:t>
      </w:r>
      <w:proofErr w:type="spellStart"/>
      <w:r w:rsidRPr="008F6BCF">
        <w:rPr>
          <w:sz w:val="22"/>
        </w:rPr>
        <w:t>Ministry</w:t>
      </w:r>
      <w:proofErr w:type="spellEnd"/>
      <w:r w:rsidRPr="008F6BCF">
        <w:rPr>
          <w:sz w:val="22"/>
        </w:rPr>
        <w:t xml:space="preserve"> of </w:t>
      </w:r>
      <w:proofErr w:type="spellStart"/>
      <w:r w:rsidRPr="008F6BCF">
        <w:rPr>
          <w:sz w:val="22"/>
        </w:rPr>
        <w:t>Health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provided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sufficient</w:t>
      </w:r>
      <w:proofErr w:type="spellEnd"/>
      <w:r w:rsidRPr="008F6BCF">
        <w:rPr>
          <w:sz w:val="22"/>
        </w:rPr>
        <w:t xml:space="preserve"> antimonials (Glucantime, Sanofi) in 2007 and 2008 </w:t>
      </w:r>
      <w:proofErr w:type="spellStart"/>
      <w:r w:rsidRPr="008F6BCF">
        <w:rPr>
          <w:sz w:val="22"/>
        </w:rPr>
        <w:t>to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cover</w:t>
      </w:r>
      <w:proofErr w:type="spellEnd"/>
      <w:r w:rsidRPr="008F6BCF">
        <w:rPr>
          <w:sz w:val="22"/>
        </w:rPr>
        <w:t xml:space="preserve"> the </w:t>
      </w:r>
      <w:proofErr w:type="spellStart"/>
      <w:r w:rsidRPr="008F6BCF">
        <w:rPr>
          <w:sz w:val="22"/>
        </w:rPr>
        <w:t>needs</w:t>
      </w:r>
      <w:proofErr w:type="spellEnd"/>
      <w:r w:rsidRPr="008F6BCF">
        <w:rPr>
          <w:sz w:val="22"/>
        </w:rPr>
        <w:t xml:space="preserve"> of </w:t>
      </w:r>
      <w:proofErr w:type="spellStart"/>
      <w:r w:rsidRPr="008F6BCF">
        <w:rPr>
          <w:sz w:val="22"/>
        </w:rPr>
        <w:t>all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patients</w:t>
      </w:r>
      <w:proofErr w:type="spellEnd"/>
      <w:r w:rsidRPr="008F6BCF">
        <w:rPr>
          <w:sz w:val="22"/>
        </w:rPr>
        <w:t xml:space="preserve">. CL and VL can </w:t>
      </w:r>
      <w:proofErr w:type="spellStart"/>
      <w:r w:rsidRPr="008F6BCF">
        <w:rPr>
          <w:sz w:val="22"/>
        </w:rPr>
        <w:t>be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diagnosed</w:t>
      </w:r>
      <w:proofErr w:type="spellEnd"/>
      <w:r w:rsidRPr="008F6BCF">
        <w:rPr>
          <w:sz w:val="22"/>
        </w:rPr>
        <w:t xml:space="preserve"> and </w:t>
      </w:r>
      <w:proofErr w:type="spellStart"/>
      <w:r w:rsidRPr="008F6BCF">
        <w:rPr>
          <w:sz w:val="22"/>
        </w:rPr>
        <w:t>treated</w:t>
      </w:r>
      <w:proofErr w:type="spellEnd"/>
      <w:r w:rsidRPr="008F6BCF">
        <w:rPr>
          <w:sz w:val="22"/>
        </w:rPr>
        <w:t xml:space="preserve"> at </w:t>
      </w:r>
      <w:proofErr w:type="spellStart"/>
      <w:r w:rsidRPr="008F6BCF">
        <w:rPr>
          <w:sz w:val="22"/>
        </w:rPr>
        <w:t>primary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health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care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level</w:t>
      </w:r>
      <w:proofErr w:type="spellEnd"/>
      <w:r w:rsidRPr="008F6BCF">
        <w:rPr>
          <w:sz w:val="22"/>
        </w:rPr>
        <w:t xml:space="preserve">; </w:t>
      </w:r>
      <w:proofErr w:type="spellStart"/>
      <w:r w:rsidRPr="008F6BCF">
        <w:rPr>
          <w:sz w:val="22"/>
        </w:rPr>
        <w:t>however</w:t>
      </w:r>
      <w:proofErr w:type="spellEnd"/>
      <w:r w:rsidRPr="008F6BCF">
        <w:rPr>
          <w:sz w:val="22"/>
        </w:rPr>
        <w:t xml:space="preserve">, </w:t>
      </w:r>
      <w:proofErr w:type="spellStart"/>
      <w:r w:rsidRPr="008F6BCF">
        <w:rPr>
          <w:sz w:val="22"/>
        </w:rPr>
        <w:t>there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is</w:t>
      </w:r>
      <w:proofErr w:type="spellEnd"/>
      <w:r w:rsidRPr="008F6BCF">
        <w:rPr>
          <w:sz w:val="22"/>
        </w:rPr>
        <w:t xml:space="preserve"> a </w:t>
      </w:r>
      <w:proofErr w:type="spellStart"/>
      <w:r w:rsidRPr="008F6BCF">
        <w:rPr>
          <w:sz w:val="22"/>
        </w:rPr>
        <w:t>lack</w:t>
      </w:r>
      <w:proofErr w:type="spellEnd"/>
      <w:r w:rsidRPr="008F6BCF">
        <w:rPr>
          <w:sz w:val="22"/>
        </w:rPr>
        <w:t xml:space="preserve"> of </w:t>
      </w:r>
      <w:proofErr w:type="spellStart"/>
      <w:r w:rsidRPr="008F6BCF">
        <w:rPr>
          <w:sz w:val="22"/>
        </w:rPr>
        <w:t>trained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human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resources</w:t>
      </w:r>
      <w:proofErr w:type="spellEnd"/>
      <w:r w:rsidRPr="008F6BCF">
        <w:rPr>
          <w:sz w:val="22"/>
        </w:rPr>
        <w:t xml:space="preserve"> in </w:t>
      </w:r>
      <w:proofErr w:type="spellStart"/>
      <w:r w:rsidRPr="008F6BCF">
        <w:rPr>
          <w:sz w:val="22"/>
        </w:rPr>
        <w:t>health</w:t>
      </w:r>
      <w:proofErr w:type="spellEnd"/>
      <w:r w:rsidRPr="008F6BCF">
        <w:rPr>
          <w:sz w:val="22"/>
        </w:rPr>
        <w:t xml:space="preserve"> centers </w:t>
      </w:r>
      <w:proofErr w:type="spellStart"/>
      <w:r w:rsidRPr="008F6BCF">
        <w:rPr>
          <w:sz w:val="22"/>
        </w:rPr>
        <w:t>for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this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purpose</w:t>
      </w:r>
      <w:proofErr w:type="spellEnd"/>
      <w:r w:rsidRPr="008F6BCF">
        <w:rPr>
          <w:sz w:val="22"/>
        </w:rPr>
        <w:t xml:space="preserve">. The </w:t>
      </w:r>
      <w:proofErr w:type="spellStart"/>
      <w:r w:rsidRPr="008F6BCF">
        <w:rPr>
          <w:sz w:val="22"/>
        </w:rPr>
        <w:t>private</w:t>
      </w:r>
      <w:proofErr w:type="spellEnd"/>
      <w:r w:rsidRPr="008F6BCF">
        <w:rPr>
          <w:sz w:val="22"/>
        </w:rPr>
        <w:t xml:space="preserve"> sector </w:t>
      </w:r>
      <w:proofErr w:type="spellStart"/>
      <w:r w:rsidRPr="008F6BCF">
        <w:rPr>
          <w:sz w:val="22"/>
        </w:rPr>
        <w:t>is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used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by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less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than</w:t>
      </w:r>
      <w:proofErr w:type="spellEnd"/>
      <w:r w:rsidRPr="008F6BCF">
        <w:rPr>
          <w:sz w:val="22"/>
        </w:rPr>
        <w:t xml:space="preserve"> 10% of VL </w:t>
      </w:r>
      <w:proofErr w:type="spellStart"/>
      <w:r w:rsidRPr="008F6BCF">
        <w:rPr>
          <w:sz w:val="22"/>
        </w:rPr>
        <w:t>patients</w:t>
      </w:r>
      <w:proofErr w:type="spellEnd"/>
      <w:r w:rsidRPr="008F6BCF">
        <w:rPr>
          <w:sz w:val="22"/>
        </w:rPr>
        <w:t xml:space="preserve"> and </w:t>
      </w:r>
      <w:proofErr w:type="spellStart"/>
      <w:r w:rsidRPr="008F6BCF">
        <w:rPr>
          <w:sz w:val="22"/>
        </w:rPr>
        <w:t>less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than</w:t>
      </w:r>
      <w:proofErr w:type="spellEnd"/>
      <w:r w:rsidRPr="008F6BCF">
        <w:rPr>
          <w:sz w:val="22"/>
        </w:rPr>
        <w:t xml:space="preserve"> 20% of CL </w:t>
      </w:r>
      <w:proofErr w:type="spellStart"/>
      <w:r w:rsidRPr="008F6BCF">
        <w:rPr>
          <w:sz w:val="22"/>
        </w:rPr>
        <w:t>patients</w:t>
      </w:r>
      <w:proofErr w:type="spellEnd"/>
      <w:r w:rsidRPr="008F6BCF">
        <w:rPr>
          <w:sz w:val="22"/>
        </w:rPr>
        <w:t xml:space="preserve">. </w:t>
      </w:r>
      <w:proofErr w:type="spellStart"/>
      <w:r w:rsidRPr="008F6BCF">
        <w:rPr>
          <w:sz w:val="22"/>
        </w:rPr>
        <w:t>Due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to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several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reasons</w:t>
      </w:r>
      <w:proofErr w:type="spellEnd"/>
      <w:r w:rsidRPr="008F6BCF">
        <w:rPr>
          <w:sz w:val="22"/>
        </w:rPr>
        <w:t xml:space="preserve">, </w:t>
      </w:r>
      <w:proofErr w:type="spellStart"/>
      <w:r w:rsidRPr="008F6BCF">
        <w:rPr>
          <w:sz w:val="22"/>
        </w:rPr>
        <w:t>not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all</w:t>
      </w:r>
      <w:proofErr w:type="spellEnd"/>
      <w:r w:rsidRPr="008F6BCF">
        <w:rPr>
          <w:sz w:val="22"/>
        </w:rPr>
        <w:t xml:space="preserve"> CL </w:t>
      </w:r>
      <w:proofErr w:type="spellStart"/>
      <w:r w:rsidRPr="008F6BCF">
        <w:rPr>
          <w:sz w:val="22"/>
        </w:rPr>
        <w:t>patients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receive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treatment</w:t>
      </w:r>
      <w:proofErr w:type="spellEnd"/>
      <w:r w:rsidRPr="008F6BCF">
        <w:rPr>
          <w:sz w:val="22"/>
        </w:rPr>
        <w:t xml:space="preserve">. </w:t>
      </w:r>
      <w:proofErr w:type="spellStart"/>
      <w:r w:rsidRPr="008F6BCF">
        <w:rPr>
          <w:sz w:val="22"/>
        </w:rPr>
        <w:t>Traditional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healers</w:t>
      </w:r>
      <w:proofErr w:type="spellEnd"/>
      <w:r w:rsidRPr="008F6BCF">
        <w:rPr>
          <w:sz w:val="22"/>
        </w:rPr>
        <w:t xml:space="preserve"> are </w:t>
      </w:r>
      <w:proofErr w:type="spellStart"/>
      <w:r w:rsidRPr="008F6BCF">
        <w:rPr>
          <w:sz w:val="22"/>
        </w:rPr>
        <w:t>often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consulted</w:t>
      </w:r>
      <w:proofErr w:type="spellEnd"/>
      <w:r w:rsidRPr="008F6BCF">
        <w:rPr>
          <w:sz w:val="22"/>
        </w:rPr>
        <w:t xml:space="preserve"> in the case of CL </w:t>
      </w:r>
      <w:proofErr w:type="spellStart"/>
      <w:r w:rsidRPr="008F6BCF">
        <w:rPr>
          <w:sz w:val="22"/>
        </w:rPr>
        <w:t>before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seeking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care</w:t>
      </w:r>
      <w:proofErr w:type="spellEnd"/>
      <w:r w:rsidRPr="008F6BCF">
        <w:rPr>
          <w:sz w:val="22"/>
        </w:rPr>
        <w:t xml:space="preserve"> at </w:t>
      </w:r>
      <w:proofErr w:type="spellStart"/>
      <w:r w:rsidRPr="008F6BCF">
        <w:rPr>
          <w:sz w:val="22"/>
        </w:rPr>
        <w:t>health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facilities</w:t>
      </w:r>
      <w:proofErr w:type="spellEnd"/>
      <w:r w:rsidRPr="008F6BCF">
        <w:rPr>
          <w:sz w:val="22"/>
        </w:rPr>
        <w:t xml:space="preserve">. </w:t>
      </w:r>
      <w:proofErr w:type="spellStart"/>
      <w:r w:rsidRPr="008F6BCF">
        <w:rPr>
          <w:sz w:val="22"/>
        </w:rPr>
        <w:t>There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is</w:t>
      </w:r>
      <w:proofErr w:type="spellEnd"/>
      <w:r w:rsidRPr="008F6BCF">
        <w:rPr>
          <w:sz w:val="22"/>
        </w:rPr>
        <w:t xml:space="preserve"> a </w:t>
      </w:r>
      <w:proofErr w:type="spellStart"/>
      <w:r w:rsidRPr="008F6BCF">
        <w:rPr>
          <w:sz w:val="22"/>
        </w:rPr>
        <w:t>lack</w:t>
      </w:r>
      <w:proofErr w:type="spellEnd"/>
      <w:r w:rsidRPr="008F6BCF">
        <w:rPr>
          <w:sz w:val="22"/>
        </w:rPr>
        <w:t xml:space="preserve"> of </w:t>
      </w:r>
      <w:proofErr w:type="spellStart"/>
      <w:r w:rsidRPr="008F6BCF">
        <w:rPr>
          <w:sz w:val="22"/>
        </w:rPr>
        <w:t>awareness</w:t>
      </w:r>
      <w:proofErr w:type="spellEnd"/>
      <w:r w:rsidRPr="008F6BCF">
        <w:rPr>
          <w:sz w:val="22"/>
        </w:rPr>
        <w:t xml:space="preserve"> of the </w:t>
      </w:r>
      <w:proofErr w:type="spellStart"/>
      <w:r w:rsidRPr="008F6BCF">
        <w:rPr>
          <w:sz w:val="22"/>
        </w:rPr>
        <w:t>nature</w:t>
      </w:r>
      <w:proofErr w:type="spellEnd"/>
      <w:r w:rsidRPr="008F6BCF">
        <w:rPr>
          <w:sz w:val="22"/>
        </w:rPr>
        <w:t xml:space="preserve"> of the </w:t>
      </w:r>
      <w:proofErr w:type="spellStart"/>
      <w:r w:rsidRPr="008F6BCF">
        <w:rPr>
          <w:sz w:val="22"/>
        </w:rPr>
        <w:t>disease</w:t>
      </w:r>
      <w:proofErr w:type="spellEnd"/>
      <w:r w:rsidRPr="008F6BCF">
        <w:rPr>
          <w:sz w:val="22"/>
        </w:rPr>
        <w:t xml:space="preserve">, </w:t>
      </w:r>
      <w:proofErr w:type="spellStart"/>
      <w:r w:rsidRPr="008F6BCF">
        <w:rPr>
          <w:sz w:val="22"/>
        </w:rPr>
        <w:t>or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patients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delay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seeking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treatment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due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to</w:t>
      </w:r>
      <w:proofErr w:type="spellEnd"/>
      <w:r w:rsidRPr="008F6BCF">
        <w:rPr>
          <w:sz w:val="22"/>
        </w:rPr>
        <w:t xml:space="preserve"> the </w:t>
      </w:r>
      <w:proofErr w:type="spellStart"/>
      <w:r w:rsidRPr="008F6BCF">
        <w:rPr>
          <w:sz w:val="22"/>
        </w:rPr>
        <w:t>painful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procedures</w:t>
      </w:r>
      <w:proofErr w:type="spellEnd"/>
      <w:r w:rsidRPr="008F6BCF">
        <w:rPr>
          <w:sz w:val="22"/>
        </w:rPr>
        <w:t xml:space="preserve"> of </w:t>
      </w:r>
      <w:proofErr w:type="spellStart"/>
      <w:r w:rsidRPr="008F6BCF">
        <w:rPr>
          <w:sz w:val="22"/>
        </w:rPr>
        <w:t>taking</w:t>
      </w:r>
      <w:proofErr w:type="spellEnd"/>
      <w:r w:rsidRPr="008F6BCF">
        <w:rPr>
          <w:sz w:val="22"/>
        </w:rPr>
        <w:t xml:space="preserve"> a </w:t>
      </w:r>
      <w:proofErr w:type="spellStart"/>
      <w:r w:rsidRPr="008F6BCF">
        <w:rPr>
          <w:sz w:val="22"/>
        </w:rPr>
        <w:t>smear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for</w:t>
      </w:r>
      <w:proofErr w:type="spellEnd"/>
      <w:r w:rsidRPr="008F6BCF">
        <w:rPr>
          <w:sz w:val="22"/>
        </w:rPr>
        <w:t xml:space="preserve"> diagnosis and </w:t>
      </w:r>
      <w:proofErr w:type="spellStart"/>
      <w:r w:rsidRPr="008F6BCF">
        <w:rPr>
          <w:sz w:val="22"/>
        </w:rPr>
        <w:t>receiving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injections</w:t>
      </w:r>
      <w:proofErr w:type="spellEnd"/>
      <w:r w:rsidRPr="008F6BCF">
        <w:rPr>
          <w:sz w:val="22"/>
        </w:rPr>
        <w:t xml:space="preserve"> of antimonials, </w:t>
      </w:r>
      <w:proofErr w:type="spellStart"/>
      <w:r w:rsidRPr="008F6BCF">
        <w:rPr>
          <w:sz w:val="22"/>
        </w:rPr>
        <w:t>which</w:t>
      </w:r>
      <w:proofErr w:type="spellEnd"/>
      <w:r w:rsidRPr="008F6BCF">
        <w:rPr>
          <w:sz w:val="22"/>
        </w:rPr>
        <w:t xml:space="preserve"> are </w:t>
      </w:r>
      <w:proofErr w:type="spellStart"/>
      <w:r w:rsidRPr="008F6BCF">
        <w:rPr>
          <w:sz w:val="22"/>
        </w:rPr>
        <w:t>not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always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effective</w:t>
      </w:r>
      <w:proofErr w:type="spellEnd"/>
      <w:r w:rsidRPr="008F6BCF">
        <w:rPr>
          <w:sz w:val="22"/>
        </w:rPr>
        <w:t xml:space="preserve"> in </w:t>
      </w:r>
      <w:proofErr w:type="spellStart"/>
      <w:r w:rsidRPr="008F6BCF">
        <w:rPr>
          <w:sz w:val="22"/>
        </w:rPr>
        <w:t>curing</w:t>
      </w:r>
      <w:proofErr w:type="spellEnd"/>
      <w:r w:rsidRPr="008F6BCF">
        <w:rPr>
          <w:sz w:val="22"/>
        </w:rPr>
        <w:t xml:space="preserve"> the </w:t>
      </w:r>
      <w:proofErr w:type="spellStart"/>
      <w:r w:rsidRPr="008F6BCF">
        <w:rPr>
          <w:sz w:val="22"/>
        </w:rPr>
        <w:t>disease</w:t>
      </w:r>
      <w:proofErr w:type="spellEnd"/>
      <w:r w:rsidRPr="008F6BCF">
        <w:rPr>
          <w:sz w:val="22"/>
        </w:rPr>
        <w:t xml:space="preserve">. </w:t>
      </w:r>
      <w:proofErr w:type="spellStart"/>
      <w:r w:rsidRPr="008F6BCF">
        <w:rPr>
          <w:sz w:val="22"/>
        </w:rPr>
        <w:t>Other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patients</w:t>
      </w:r>
      <w:proofErr w:type="spellEnd"/>
      <w:r w:rsidRPr="008F6BCF">
        <w:rPr>
          <w:sz w:val="22"/>
        </w:rPr>
        <w:t xml:space="preserve"> do </w:t>
      </w:r>
      <w:proofErr w:type="spellStart"/>
      <w:r w:rsidRPr="008F6BCF">
        <w:rPr>
          <w:sz w:val="22"/>
        </w:rPr>
        <w:t>not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finish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treatment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due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to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financial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or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other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constraints</w:t>
      </w:r>
      <w:proofErr w:type="spellEnd"/>
      <w:r w:rsidRPr="008F6BCF">
        <w:rPr>
          <w:sz w:val="22"/>
        </w:rPr>
        <w:t xml:space="preserve">. </w:t>
      </w:r>
      <w:proofErr w:type="spellStart"/>
      <w:r w:rsidRPr="008F6BCF">
        <w:rPr>
          <w:sz w:val="22"/>
        </w:rPr>
        <w:t>There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is</w:t>
      </w:r>
      <w:proofErr w:type="spellEnd"/>
      <w:r w:rsidRPr="008F6BCF">
        <w:rPr>
          <w:sz w:val="22"/>
        </w:rPr>
        <w:t xml:space="preserve"> a </w:t>
      </w:r>
      <w:proofErr w:type="spellStart"/>
      <w:r w:rsidRPr="008F6BCF">
        <w:rPr>
          <w:sz w:val="22"/>
        </w:rPr>
        <w:t>delay</w:t>
      </w:r>
      <w:proofErr w:type="spellEnd"/>
      <w:r w:rsidRPr="008F6BCF">
        <w:rPr>
          <w:sz w:val="22"/>
        </w:rPr>
        <w:t xml:space="preserve"> in </w:t>
      </w:r>
      <w:proofErr w:type="spellStart"/>
      <w:r w:rsidRPr="008F6BCF">
        <w:rPr>
          <w:sz w:val="22"/>
        </w:rPr>
        <w:t>seeking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treatment</w:t>
      </w:r>
      <w:proofErr w:type="spellEnd"/>
      <w:r w:rsidRPr="008F6BCF">
        <w:rPr>
          <w:sz w:val="22"/>
        </w:rPr>
        <w:t xml:space="preserve"> </w:t>
      </w:r>
      <w:proofErr w:type="spellStart"/>
      <w:r w:rsidRPr="008F6BCF">
        <w:rPr>
          <w:sz w:val="22"/>
        </w:rPr>
        <w:t>for</w:t>
      </w:r>
      <w:proofErr w:type="spellEnd"/>
      <w:r w:rsidRPr="008F6BCF">
        <w:rPr>
          <w:sz w:val="22"/>
        </w:rPr>
        <w:t xml:space="preserve"> CL of </w:t>
      </w:r>
      <w:proofErr w:type="spellStart"/>
      <w:r w:rsidRPr="008F6BCF">
        <w:rPr>
          <w:sz w:val="22"/>
        </w:rPr>
        <w:t>approximately</w:t>
      </w:r>
      <w:proofErr w:type="spellEnd"/>
      <w:r w:rsidRPr="008F6BCF">
        <w:rPr>
          <w:sz w:val="22"/>
        </w:rPr>
        <w:t xml:space="preserve"> 1.5 </w:t>
      </w:r>
      <w:proofErr w:type="spellStart"/>
      <w:r w:rsidRPr="008F6BCF">
        <w:rPr>
          <w:sz w:val="22"/>
        </w:rPr>
        <w:t>months</w:t>
      </w:r>
      <w:proofErr w:type="spellEnd"/>
      <w:r w:rsidRPr="008F6BCF">
        <w:rPr>
          <w:sz w:val="22"/>
        </w:rPr>
        <w:t xml:space="preserve">. </w:t>
      </w:r>
    </w:p>
    <w:p w:rsidR="008F6BCF" w:rsidRPr="008F6BCF" w:rsidRDefault="008F6BCF" w:rsidP="008F6BCF">
      <w:pPr>
        <w:pStyle w:val="ListParagraph"/>
        <w:tabs>
          <w:tab w:val="left" w:pos="1230"/>
        </w:tabs>
        <w:ind w:left="0" w:firstLine="0"/>
        <w:rPr>
          <w:sz w:val="22"/>
        </w:rPr>
      </w:pPr>
    </w:p>
    <w:p w:rsidR="008F6BCF" w:rsidRPr="0021444A" w:rsidRDefault="008F6BCF" w:rsidP="008F6BCF">
      <w:pPr>
        <w:rPr>
          <w:sz w:val="22"/>
          <w:lang w:val="en-GB"/>
        </w:rPr>
      </w:pPr>
      <w:r w:rsidRPr="0021444A">
        <w:rPr>
          <w:b/>
          <w:sz w:val="22"/>
          <w:lang w:val="en-GB"/>
        </w:rPr>
        <w:t>ACCESS TO DRUGS</w:t>
      </w:r>
      <w:r w:rsidRPr="0021444A">
        <w:rPr>
          <w:sz w:val="22"/>
          <w:lang w:val="en-GB"/>
        </w:rPr>
        <w:t xml:space="preserve"> </w:t>
      </w:r>
    </w:p>
    <w:p w:rsidR="008F6BCF" w:rsidRPr="002C75B8" w:rsidRDefault="008F6BCF" w:rsidP="008F6BCF">
      <w:pPr>
        <w:pStyle w:val="NoSpacing"/>
        <w:rPr>
          <w:rFonts w:ascii="Arial" w:hAnsi="Arial" w:cs="Arial"/>
          <w:b/>
        </w:rPr>
      </w:pPr>
    </w:p>
    <w:p w:rsidR="008F6BCF" w:rsidRPr="0022710E" w:rsidRDefault="008F6BCF" w:rsidP="008F6BCF">
      <w:pPr>
        <w:pStyle w:val="NoSpacing"/>
        <w:jc w:val="both"/>
        <w:rPr>
          <w:rFonts w:ascii="Arial" w:hAnsi="Arial" w:cs="Arial"/>
        </w:rPr>
      </w:pPr>
      <w:r w:rsidRPr="0022710E">
        <w:rPr>
          <w:rFonts w:ascii="Arial" w:hAnsi="Arial" w:cs="Arial"/>
        </w:rPr>
        <w:t>No other drugs than antimonials are included in the National Essential Drug List for leishmaniasis. Meglumine antimoniate (Glucantime</w:t>
      </w:r>
      <w:proofErr w:type="gramStart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Sanofi</w:t>
      </w:r>
      <w:proofErr w:type="spellEnd"/>
      <w:proofErr w:type="gramEnd"/>
      <w:r w:rsidRPr="0022710E">
        <w:rPr>
          <w:rFonts w:ascii="Arial" w:hAnsi="Arial" w:cs="Arial"/>
        </w:rPr>
        <w:t xml:space="preserve">) and sodium stibogluconate (Pentostam, GSK) are the only drugs registered for leishmaniasis in </w:t>
      </w:r>
      <w:smartTag w:uri="urn:schemas-microsoft-com:office:smarttags" w:element="place">
        <w:smartTag w:uri="urn:schemas-microsoft-com:office:smarttags" w:element="country-region">
          <w:r w:rsidRPr="0022710E">
            <w:rPr>
              <w:rFonts w:ascii="Arial" w:hAnsi="Arial" w:cs="Arial"/>
            </w:rPr>
            <w:t>Iran</w:t>
          </w:r>
        </w:smartTag>
      </w:smartTag>
      <w:r w:rsidRPr="0022710E">
        <w:rPr>
          <w:rFonts w:ascii="Arial" w:hAnsi="Arial" w:cs="Arial"/>
        </w:rPr>
        <w:t xml:space="preserve">. Drugs for leishmaniasis are not available </w:t>
      </w:r>
      <w:r>
        <w:rPr>
          <w:rFonts w:ascii="Arial" w:hAnsi="Arial" w:cs="Arial"/>
        </w:rPr>
        <w:t>at</w:t>
      </w:r>
      <w:r w:rsidRPr="0022710E">
        <w:rPr>
          <w:rFonts w:ascii="Arial" w:hAnsi="Arial" w:cs="Arial"/>
        </w:rPr>
        <w:t xml:space="preserve"> private pharmacies. </w:t>
      </w:r>
    </w:p>
    <w:p w:rsidR="008F6BCF" w:rsidRDefault="008F6BCF" w:rsidP="008F6BCF">
      <w:pPr>
        <w:pStyle w:val="NoSpacing"/>
        <w:rPr>
          <w:rFonts w:ascii="Arial" w:hAnsi="Arial" w:cs="Arial"/>
        </w:rPr>
      </w:pPr>
    </w:p>
    <w:p w:rsidR="008F6BCF" w:rsidRPr="002C75B8" w:rsidRDefault="008F6BCF" w:rsidP="008F6BCF">
      <w:pPr>
        <w:pStyle w:val="NoSpacing"/>
        <w:rPr>
          <w:rFonts w:ascii="Arial" w:hAnsi="Arial" w:cs="Arial"/>
        </w:rPr>
      </w:pPr>
    </w:p>
    <w:p w:rsidR="008F6BCF" w:rsidRPr="0021444A" w:rsidRDefault="008F6BCF" w:rsidP="008F6BCF">
      <w:pPr>
        <w:rPr>
          <w:b/>
          <w:sz w:val="22"/>
          <w:lang w:val="en-GB"/>
        </w:rPr>
      </w:pPr>
      <w:r w:rsidRPr="0021444A">
        <w:rPr>
          <w:b/>
          <w:sz w:val="22"/>
          <w:lang w:val="en-GB"/>
        </w:rPr>
        <w:lastRenderedPageBreak/>
        <w:t>SOURCES OF INFORMATION</w:t>
      </w:r>
    </w:p>
    <w:p w:rsidR="008F6BCF" w:rsidRDefault="008F6BCF" w:rsidP="008F6BCF">
      <w:pPr>
        <w:ind w:left="0" w:firstLine="0"/>
        <w:rPr>
          <w:sz w:val="22"/>
          <w:lang w:val="en-GB"/>
        </w:rPr>
      </w:pPr>
    </w:p>
    <w:p w:rsidR="008F6BCF" w:rsidRPr="00C26BC3" w:rsidRDefault="008F6BCF" w:rsidP="008F6BCF">
      <w:pPr>
        <w:numPr>
          <w:ilvl w:val="0"/>
          <w:numId w:val="5"/>
        </w:numPr>
        <w:autoSpaceDE w:val="0"/>
        <w:autoSpaceDN w:val="0"/>
        <w:adjustRightInd w:val="0"/>
        <w:rPr>
          <w:i/>
          <w:iCs/>
          <w:sz w:val="22"/>
          <w:lang w:val="en-GB"/>
        </w:rPr>
      </w:pPr>
      <w:r w:rsidRPr="00C26BC3">
        <w:rPr>
          <w:sz w:val="22"/>
          <w:lang w:val="en-GB"/>
        </w:rPr>
        <w:t xml:space="preserve">Dr Mohammed Reza </w:t>
      </w:r>
      <w:proofErr w:type="spellStart"/>
      <w:r w:rsidRPr="00C26BC3">
        <w:rPr>
          <w:sz w:val="22"/>
          <w:lang w:val="en-GB"/>
        </w:rPr>
        <w:t>Shirzadi</w:t>
      </w:r>
      <w:proofErr w:type="spellEnd"/>
      <w:r w:rsidRPr="00C26BC3">
        <w:rPr>
          <w:sz w:val="22"/>
          <w:lang w:val="en-GB"/>
        </w:rPr>
        <w:t xml:space="preserve">, Director </w:t>
      </w:r>
      <w:proofErr w:type="spellStart"/>
      <w:r w:rsidRPr="00C26BC3">
        <w:rPr>
          <w:sz w:val="22"/>
          <w:lang w:val="en-GB"/>
        </w:rPr>
        <w:t>Zoonoses</w:t>
      </w:r>
      <w:proofErr w:type="spellEnd"/>
      <w:r w:rsidRPr="00C26BC3">
        <w:rPr>
          <w:sz w:val="22"/>
          <w:lang w:val="en-GB"/>
        </w:rPr>
        <w:t xml:space="preserve"> Control Programme</w:t>
      </w:r>
      <w:r>
        <w:rPr>
          <w:sz w:val="22"/>
          <w:lang w:val="en-GB"/>
        </w:rPr>
        <w:t xml:space="preserve">, </w:t>
      </w:r>
      <w:r w:rsidRPr="00C26BC3">
        <w:rPr>
          <w:sz w:val="22"/>
          <w:lang w:val="en-GB"/>
        </w:rPr>
        <w:t>Ministry of Health and Medical Education</w:t>
      </w:r>
      <w:r>
        <w:rPr>
          <w:sz w:val="22"/>
          <w:lang w:val="en-GB"/>
        </w:rPr>
        <w:t>,</w:t>
      </w:r>
      <w:r w:rsidRPr="00C26BC3">
        <w:rPr>
          <w:sz w:val="22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26BC3">
            <w:rPr>
              <w:sz w:val="22"/>
              <w:lang w:val="en-GB"/>
            </w:rPr>
            <w:t>Tehran</w:t>
          </w:r>
        </w:smartTag>
      </w:smartTag>
      <w:r>
        <w:rPr>
          <w:sz w:val="22"/>
          <w:lang w:val="en-GB"/>
        </w:rPr>
        <w:t xml:space="preserve">. </w:t>
      </w:r>
      <w:r w:rsidRPr="00C26BC3">
        <w:rPr>
          <w:i/>
          <w:iCs/>
          <w:sz w:val="22"/>
          <w:lang w:val="en-GB"/>
        </w:rPr>
        <w:t xml:space="preserve">WHO Consultative meeting on Cutaneous Leishmaniasis in EMRO countries, </w:t>
      </w:r>
      <w:smartTag w:uri="urn:schemas-microsoft-com:office:smarttags" w:element="City">
        <w:smartTag w:uri="urn:schemas-microsoft-com:office:smarttags" w:element="place">
          <w:r w:rsidRPr="00C26BC3">
            <w:rPr>
              <w:i/>
              <w:iCs/>
              <w:sz w:val="22"/>
              <w:lang w:val="en-GB"/>
            </w:rPr>
            <w:t>Geneva</w:t>
          </w:r>
        </w:smartTag>
      </w:smartTag>
      <w:r w:rsidRPr="00C26BC3">
        <w:rPr>
          <w:i/>
          <w:iCs/>
          <w:sz w:val="22"/>
          <w:lang w:val="en-GB"/>
        </w:rPr>
        <w:t>, 30 April to 2 May 2007</w:t>
      </w:r>
      <w:r>
        <w:rPr>
          <w:i/>
          <w:iCs/>
          <w:sz w:val="22"/>
          <w:lang w:val="en-GB"/>
        </w:rPr>
        <w:t>.</w:t>
      </w:r>
    </w:p>
    <w:p w:rsidR="008F6BCF" w:rsidRPr="00C26BC3" w:rsidRDefault="008F6BCF" w:rsidP="008F6BCF">
      <w:pPr>
        <w:ind w:left="0" w:firstLine="0"/>
        <w:rPr>
          <w:sz w:val="22"/>
          <w:lang w:val="en-GB"/>
        </w:rPr>
      </w:pPr>
    </w:p>
    <w:p w:rsidR="008F6BCF" w:rsidRPr="008666E4" w:rsidRDefault="008F6BCF" w:rsidP="008F6BCF">
      <w:pPr>
        <w:ind w:left="0" w:firstLine="0"/>
        <w:jc w:val="left"/>
        <w:rPr>
          <w:lang w:val="en-GB"/>
        </w:rPr>
      </w:pPr>
    </w:p>
    <w:p w:rsidR="008F6BCF" w:rsidRPr="008F6BCF" w:rsidRDefault="008F6BCF" w:rsidP="008F6BCF">
      <w:pPr>
        <w:ind w:left="0" w:firstLine="0"/>
        <w:jc w:val="left"/>
        <w:rPr>
          <w:lang w:val="en-GB"/>
        </w:rPr>
      </w:pPr>
    </w:p>
    <w:p w:rsidR="008F6BCF" w:rsidRPr="008F6BCF" w:rsidRDefault="008F6BCF" w:rsidP="008F6BCF">
      <w:pPr>
        <w:pStyle w:val="aux1"/>
        <w:shd w:val="clear" w:color="auto" w:fill="FFFFFF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F6BCF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8F6BCF">
        <w:rPr>
          <w:rFonts w:ascii="Arial" w:hAnsi="Arial" w:cs="Arial"/>
          <w:sz w:val="22"/>
          <w:szCs w:val="22"/>
        </w:rPr>
        <w:t>Yaghoobi-Ershadi</w:t>
      </w:r>
      <w:proofErr w:type="spellEnd"/>
      <w:r w:rsidRPr="008F6BCF">
        <w:rPr>
          <w:rFonts w:ascii="Arial" w:hAnsi="Arial" w:cs="Arial"/>
          <w:sz w:val="22"/>
          <w:szCs w:val="22"/>
        </w:rPr>
        <w:t xml:space="preserve"> MR, </w:t>
      </w:r>
      <w:proofErr w:type="spellStart"/>
      <w:r w:rsidRPr="008F6BCF">
        <w:rPr>
          <w:rFonts w:ascii="Arial" w:hAnsi="Arial" w:cs="Arial"/>
          <w:sz w:val="22"/>
          <w:szCs w:val="22"/>
        </w:rPr>
        <w:t>Hanafi-Bojd</w:t>
      </w:r>
      <w:proofErr w:type="spellEnd"/>
      <w:r w:rsidRPr="008F6BCF">
        <w:rPr>
          <w:rFonts w:ascii="Arial" w:hAnsi="Arial" w:cs="Arial"/>
          <w:sz w:val="22"/>
          <w:szCs w:val="22"/>
        </w:rPr>
        <w:t xml:space="preserve"> AA, </w:t>
      </w:r>
      <w:proofErr w:type="spellStart"/>
      <w:r w:rsidRPr="008F6BCF">
        <w:rPr>
          <w:rFonts w:ascii="Arial" w:hAnsi="Arial" w:cs="Arial"/>
          <w:sz w:val="22"/>
          <w:szCs w:val="22"/>
        </w:rPr>
        <w:t>Javadian</w:t>
      </w:r>
      <w:proofErr w:type="spellEnd"/>
      <w:r w:rsidRPr="008F6BCF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8F6BCF">
        <w:rPr>
          <w:rFonts w:ascii="Arial" w:hAnsi="Arial" w:cs="Arial"/>
          <w:sz w:val="22"/>
          <w:szCs w:val="22"/>
        </w:rPr>
        <w:t>Jafari</w:t>
      </w:r>
      <w:proofErr w:type="spellEnd"/>
      <w:r w:rsidRPr="008F6BCF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8F6BCF">
        <w:rPr>
          <w:rFonts w:ascii="Arial" w:hAnsi="Arial" w:cs="Arial"/>
          <w:sz w:val="22"/>
          <w:szCs w:val="22"/>
        </w:rPr>
        <w:t>Zahraei-Ramazani</w:t>
      </w:r>
      <w:proofErr w:type="spellEnd"/>
      <w:r w:rsidRPr="008F6BCF">
        <w:rPr>
          <w:rFonts w:ascii="Arial" w:hAnsi="Arial" w:cs="Arial"/>
          <w:sz w:val="22"/>
          <w:szCs w:val="22"/>
        </w:rPr>
        <w:t xml:space="preserve"> AR et al (2002). </w:t>
      </w:r>
      <w:hyperlink r:id="rId12" w:history="1">
        <w:proofErr w:type="gramStart"/>
        <w:r w:rsidRPr="008F6BCF">
          <w:rPr>
            <w:rFonts w:ascii="Arial" w:hAnsi="Arial" w:cs="Arial"/>
            <w:sz w:val="22"/>
            <w:szCs w:val="22"/>
          </w:rPr>
          <w:t>A new focus of cutaneous leishmaniasis caused by Leishmania tropica.</w:t>
        </w:r>
        <w:proofErr w:type="gramEnd"/>
      </w:hyperlink>
      <w:r w:rsidRPr="008F6BCF">
        <w:rPr>
          <w:rStyle w:val="jrnl"/>
          <w:rFonts w:ascii="Arial" w:hAnsi="Arial" w:cs="Arial"/>
          <w:sz w:val="22"/>
          <w:szCs w:val="22"/>
        </w:rPr>
        <w:t xml:space="preserve"> Saudi Med J</w:t>
      </w:r>
      <w:r w:rsidRPr="008F6BCF">
        <w:rPr>
          <w:rStyle w:val="src1"/>
          <w:rFonts w:ascii="Arial" w:hAnsi="Arial" w:cs="Arial"/>
          <w:sz w:val="22"/>
          <w:szCs w:val="22"/>
        </w:rPr>
        <w:t xml:space="preserve"> 23(3):291-4.</w:t>
      </w:r>
    </w:p>
    <w:p w:rsidR="008F6BCF" w:rsidRPr="008F6BCF" w:rsidRDefault="008F6BCF" w:rsidP="008F6BCF">
      <w:pPr>
        <w:pStyle w:val="citatio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F6BCF" w:rsidRPr="008F6BCF" w:rsidRDefault="008F6BCF" w:rsidP="008F6BCF">
      <w:pPr>
        <w:pStyle w:val="citatio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6BCF">
        <w:rPr>
          <w:rFonts w:ascii="Arial" w:hAnsi="Arial" w:cs="Arial"/>
          <w:sz w:val="22"/>
          <w:szCs w:val="22"/>
        </w:rPr>
        <w:t xml:space="preserve">2. </w:t>
      </w:r>
      <w:hyperlink r:id="rId13" w:history="1">
        <w:proofErr w:type="spellStart"/>
        <w:r w:rsidRPr="008F6B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Sharifi</w:t>
        </w:r>
        <w:proofErr w:type="spellEnd"/>
        <w:r w:rsidRPr="008F6B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I</w:t>
        </w:r>
      </w:hyperlink>
      <w:r w:rsidRPr="008F6BCF">
        <w:rPr>
          <w:rFonts w:ascii="Arial" w:hAnsi="Arial" w:cs="Arial"/>
          <w:sz w:val="22"/>
          <w:szCs w:val="22"/>
        </w:rPr>
        <w:t xml:space="preserve">, </w:t>
      </w:r>
      <w:hyperlink r:id="rId14" w:history="1">
        <w:proofErr w:type="spellStart"/>
        <w:r w:rsidRPr="008F6B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Fekri</w:t>
        </w:r>
        <w:proofErr w:type="spellEnd"/>
        <w:r w:rsidRPr="008F6B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AR</w:t>
        </w:r>
      </w:hyperlink>
      <w:r w:rsidRPr="008F6BCF">
        <w:rPr>
          <w:rFonts w:ascii="Arial" w:hAnsi="Arial" w:cs="Arial"/>
          <w:sz w:val="22"/>
          <w:szCs w:val="22"/>
        </w:rPr>
        <w:t xml:space="preserve">, </w:t>
      </w:r>
      <w:hyperlink r:id="rId15" w:history="1">
        <w:proofErr w:type="spellStart"/>
        <w:r w:rsidRPr="008F6B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Aflatoonian</w:t>
        </w:r>
        <w:proofErr w:type="spellEnd"/>
        <w:r w:rsidRPr="008F6B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MR</w:t>
        </w:r>
      </w:hyperlink>
      <w:r w:rsidRPr="008F6BCF">
        <w:rPr>
          <w:rFonts w:ascii="Arial" w:hAnsi="Arial" w:cs="Arial"/>
          <w:sz w:val="22"/>
          <w:szCs w:val="22"/>
        </w:rPr>
        <w:t xml:space="preserve">, </w:t>
      </w:r>
      <w:hyperlink r:id="rId16" w:history="1">
        <w:proofErr w:type="spellStart"/>
        <w:r w:rsidRPr="008F6B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Khamesipour</w:t>
        </w:r>
        <w:proofErr w:type="spellEnd"/>
        <w:r w:rsidRPr="008F6B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A</w:t>
        </w:r>
      </w:hyperlink>
      <w:r w:rsidRPr="008F6BCF">
        <w:rPr>
          <w:rFonts w:ascii="Arial" w:hAnsi="Arial" w:cs="Arial"/>
          <w:sz w:val="22"/>
          <w:szCs w:val="22"/>
        </w:rPr>
        <w:t xml:space="preserve">, </w:t>
      </w:r>
      <w:hyperlink r:id="rId17" w:history="1">
        <w:proofErr w:type="spellStart"/>
        <w:r w:rsidRPr="008F6B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Mahboudi</w:t>
        </w:r>
        <w:proofErr w:type="spellEnd"/>
        <w:r w:rsidRPr="008F6B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F</w:t>
        </w:r>
      </w:hyperlink>
      <w:r w:rsidRPr="008F6BCF">
        <w:rPr>
          <w:rFonts w:ascii="Arial" w:hAnsi="Arial" w:cs="Arial"/>
          <w:sz w:val="22"/>
          <w:szCs w:val="22"/>
        </w:rPr>
        <w:t xml:space="preserve"> et al (2010). </w:t>
      </w:r>
      <w:proofErr w:type="gramStart"/>
      <w:r w:rsidRPr="008F6BCF">
        <w:rPr>
          <w:rFonts w:ascii="Arial" w:hAnsi="Arial" w:cs="Arial"/>
          <w:sz w:val="22"/>
          <w:szCs w:val="22"/>
        </w:rPr>
        <w:t xml:space="preserve">Leishmaniasis </w:t>
      </w:r>
      <w:proofErr w:type="spellStart"/>
      <w:r w:rsidRPr="008F6BCF">
        <w:rPr>
          <w:rFonts w:ascii="Arial" w:hAnsi="Arial" w:cs="Arial"/>
          <w:sz w:val="22"/>
          <w:szCs w:val="22"/>
        </w:rPr>
        <w:t>recidivans</w:t>
      </w:r>
      <w:proofErr w:type="spellEnd"/>
      <w:r w:rsidRPr="008F6BCF">
        <w:rPr>
          <w:rFonts w:ascii="Arial" w:hAnsi="Arial" w:cs="Arial"/>
          <w:sz w:val="22"/>
          <w:szCs w:val="22"/>
        </w:rPr>
        <w:t xml:space="preserve"> among school children in Bam, South-east Iran, 1994-2006.</w:t>
      </w:r>
      <w:proofErr w:type="gramEnd"/>
      <w:r w:rsidRPr="008F6BCF">
        <w:rPr>
          <w:rFonts w:ascii="Arial" w:hAnsi="Arial" w:cs="Arial"/>
          <w:sz w:val="22"/>
          <w:szCs w:val="22"/>
        </w:rPr>
        <w:t xml:space="preserve"> </w:t>
      </w:r>
      <w:hyperlink r:id="rId18" w:tooltip="International journal of dermatology." w:history="1">
        <w:proofErr w:type="spellStart"/>
        <w:r w:rsidRPr="008F6B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Int</w:t>
        </w:r>
        <w:proofErr w:type="spellEnd"/>
        <w:r w:rsidRPr="008F6B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J Dermatol.</w:t>
        </w:r>
      </w:hyperlink>
      <w:r w:rsidRPr="008F6BCF">
        <w:rPr>
          <w:rFonts w:ascii="Arial" w:hAnsi="Arial" w:cs="Arial"/>
          <w:sz w:val="22"/>
          <w:szCs w:val="22"/>
        </w:rPr>
        <w:t>49(5):557-61.</w:t>
      </w:r>
    </w:p>
    <w:p w:rsidR="008F6BCF" w:rsidRPr="008F6BCF" w:rsidRDefault="008F6BCF" w:rsidP="008F6BCF">
      <w:pPr>
        <w:pStyle w:val="citatio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F6BCF" w:rsidRPr="008F6BCF" w:rsidRDefault="008F6BCF" w:rsidP="008F6BCF">
      <w:pPr>
        <w:pStyle w:val="rprtbody1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GB"/>
        </w:rPr>
      </w:pPr>
      <w:r w:rsidRPr="008F6BCF">
        <w:rPr>
          <w:rFonts w:ascii="Arial" w:hAnsi="Arial" w:cs="Arial"/>
          <w:sz w:val="22"/>
          <w:szCs w:val="22"/>
          <w:lang w:val="en-GB"/>
        </w:rPr>
        <w:t xml:space="preserve">3. </w:t>
      </w:r>
      <w:proofErr w:type="spellStart"/>
      <w:r w:rsidRPr="008F6BCF">
        <w:rPr>
          <w:rFonts w:ascii="Arial" w:hAnsi="Arial" w:cs="Arial"/>
          <w:sz w:val="22"/>
          <w:szCs w:val="22"/>
          <w:lang w:val="en-GB"/>
        </w:rPr>
        <w:t>Razmjou</w:t>
      </w:r>
      <w:proofErr w:type="spellEnd"/>
      <w:r w:rsidRPr="008F6BCF">
        <w:rPr>
          <w:rFonts w:ascii="Arial" w:hAnsi="Arial" w:cs="Arial"/>
          <w:sz w:val="22"/>
          <w:szCs w:val="22"/>
          <w:lang w:val="en-GB"/>
        </w:rPr>
        <w:t xml:space="preserve"> S, </w:t>
      </w:r>
      <w:proofErr w:type="spellStart"/>
      <w:r w:rsidRPr="008F6BCF">
        <w:rPr>
          <w:rFonts w:ascii="Arial" w:hAnsi="Arial" w:cs="Arial"/>
          <w:sz w:val="22"/>
          <w:szCs w:val="22"/>
          <w:lang w:val="en-GB"/>
        </w:rPr>
        <w:t>Hejazy</w:t>
      </w:r>
      <w:proofErr w:type="spellEnd"/>
      <w:r w:rsidRPr="008F6BCF">
        <w:rPr>
          <w:rFonts w:ascii="Arial" w:hAnsi="Arial" w:cs="Arial"/>
          <w:sz w:val="22"/>
          <w:szCs w:val="22"/>
          <w:lang w:val="en-GB"/>
        </w:rPr>
        <w:t xml:space="preserve"> H, </w:t>
      </w:r>
      <w:proofErr w:type="spellStart"/>
      <w:r w:rsidRPr="008F6BCF">
        <w:rPr>
          <w:rFonts w:ascii="Arial" w:hAnsi="Arial" w:cs="Arial"/>
          <w:sz w:val="22"/>
          <w:szCs w:val="22"/>
          <w:lang w:val="en-GB"/>
        </w:rPr>
        <w:t>Motazedian</w:t>
      </w:r>
      <w:proofErr w:type="spellEnd"/>
      <w:r w:rsidRPr="008F6BCF">
        <w:rPr>
          <w:rFonts w:ascii="Arial" w:hAnsi="Arial" w:cs="Arial"/>
          <w:sz w:val="22"/>
          <w:szCs w:val="22"/>
          <w:lang w:val="en-GB"/>
        </w:rPr>
        <w:t xml:space="preserve"> MH, </w:t>
      </w:r>
      <w:proofErr w:type="spellStart"/>
      <w:r w:rsidRPr="008F6BCF">
        <w:rPr>
          <w:rFonts w:ascii="Arial" w:hAnsi="Arial" w:cs="Arial"/>
          <w:sz w:val="22"/>
          <w:szCs w:val="22"/>
          <w:lang w:val="en-GB"/>
        </w:rPr>
        <w:t>Baghaei</w:t>
      </w:r>
      <w:proofErr w:type="spellEnd"/>
      <w:r w:rsidRPr="008F6BCF">
        <w:rPr>
          <w:rFonts w:ascii="Arial" w:hAnsi="Arial" w:cs="Arial"/>
          <w:sz w:val="22"/>
          <w:szCs w:val="22"/>
          <w:lang w:val="en-GB"/>
        </w:rPr>
        <w:t xml:space="preserve"> M, </w:t>
      </w:r>
      <w:proofErr w:type="spellStart"/>
      <w:r w:rsidRPr="008F6BCF">
        <w:rPr>
          <w:rFonts w:ascii="Arial" w:hAnsi="Arial" w:cs="Arial"/>
          <w:sz w:val="22"/>
          <w:szCs w:val="22"/>
          <w:lang w:val="en-GB"/>
        </w:rPr>
        <w:t>Emamy</w:t>
      </w:r>
      <w:proofErr w:type="spellEnd"/>
      <w:r w:rsidRPr="008F6BCF">
        <w:rPr>
          <w:rFonts w:ascii="Arial" w:hAnsi="Arial" w:cs="Arial"/>
          <w:sz w:val="22"/>
          <w:szCs w:val="22"/>
          <w:lang w:val="en-GB"/>
        </w:rPr>
        <w:t xml:space="preserve"> M et al (2009). </w:t>
      </w:r>
      <w:hyperlink r:id="rId19" w:history="1">
        <w:proofErr w:type="gramStart"/>
        <w:r w:rsidRPr="008F6BCF">
          <w:rPr>
            <w:rFonts w:ascii="Arial" w:hAnsi="Arial" w:cs="Arial"/>
            <w:sz w:val="22"/>
            <w:szCs w:val="22"/>
            <w:lang w:val="en-GB"/>
          </w:rPr>
          <w:t>A new focus of zoonotic cutaneous leishmaniasis in Shiraz, Iran.</w:t>
        </w:r>
        <w:proofErr w:type="gramEnd"/>
      </w:hyperlink>
      <w:r w:rsidRPr="008F6BCF">
        <w:rPr>
          <w:rFonts w:ascii="Arial" w:hAnsi="Arial" w:cs="Arial"/>
          <w:sz w:val="22"/>
          <w:szCs w:val="22"/>
          <w:lang w:val="en-GB"/>
        </w:rPr>
        <w:t xml:space="preserve"> </w:t>
      </w:r>
      <w:r w:rsidRPr="008F6BCF">
        <w:rPr>
          <w:rStyle w:val="jrnl"/>
          <w:rFonts w:ascii="Arial" w:hAnsi="Arial" w:cs="Arial"/>
          <w:sz w:val="22"/>
          <w:szCs w:val="22"/>
          <w:lang w:val="en-GB"/>
        </w:rPr>
        <w:t xml:space="preserve">Trans R Soc </w:t>
      </w:r>
      <w:proofErr w:type="spellStart"/>
      <w:r w:rsidRPr="008F6BCF">
        <w:rPr>
          <w:rStyle w:val="jrnl"/>
          <w:rFonts w:ascii="Arial" w:hAnsi="Arial" w:cs="Arial"/>
          <w:sz w:val="22"/>
          <w:szCs w:val="22"/>
          <w:lang w:val="en-GB"/>
        </w:rPr>
        <w:t>Trop</w:t>
      </w:r>
      <w:proofErr w:type="spellEnd"/>
      <w:r w:rsidRPr="008F6BCF">
        <w:rPr>
          <w:rStyle w:val="jrnl"/>
          <w:rFonts w:ascii="Arial" w:hAnsi="Arial" w:cs="Arial"/>
          <w:sz w:val="22"/>
          <w:szCs w:val="22"/>
          <w:lang w:val="en-GB"/>
        </w:rPr>
        <w:t xml:space="preserve"> Med </w:t>
      </w:r>
      <w:proofErr w:type="spellStart"/>
      <w:r w:rsidRPr="008F6BCF">
        <w:rPr>
          <w:rStyle w:val="jrnl"/>
          <w:rFonts w:ascii="Arial" w:hAnsi="Arial" w:cs="Arial"/>
          <w:sz w:val="22"/>
          <w:szCs w:val="22"/>
          <w:lang w:val="en-GB"/>
        </w:rPr>
        <w:t>Hyg</w:t>
      </w:r>
      <w:proofErr w:type="spellEnd"/>
      <w:r w:rsidRPr="008F6BCF">
        <w:rPr>
          <w:rStyle w:val="src1"/>
          <w:rFonts w:ascii="Arial" w:hAnsi="Arial" w:cs="Arial"/>
          <w:sz w:val="22"/>
          <w:szCs w:val="22"/>
          <w:lang w:val="en-GB"/>
        </w:rPr>
        <w:t xml:space="preserve"> 103(7):727-30.</w:t>
      </w:r>
    </w:p>
    <w:p w:rsidR="008F6BCF" w:rsidRPr="008F6BCF" w:rsidRDefault="008F6BCF" w:rsidP="008F6BCF">
      <w:pPr>
        <w:rPr>
          <w:sz w:val="22"/>
          <w:lang w:val="en-GB"/>
        </w:rPr>
      </w:pPr>
    </w:p>
    <w:p w:rsidR="008F6BCF" w:rsidRPr="008F6BCF" w:rsidRDefault="008F6BCF" w:rsidP="008F6BCF">
      <w:pPr>
        <w:pStyle w:val="title1"/>
        <w:shd w:val="clear" w:color="auto" w:fill="FFFFFF"/>
        <w:jc w:val="both"/>
        <w:rPr>
          <w:rStyle w:val="src1"/>
          <w:rFonts w:ascii="Arial" w:hAnsi="Arial" w:cs="Arial"/>
          <w:sz w:val="22"/>
          <w:szCs w:val="22"/>
        </w:rPr>
      </w:pPr>
      <w:r w:rsidRPr="008F6BCF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8F6BCF">
        <w:rPr>
          <w:rFonts w:ascii="Arial" w:hAnsi="Arial" w:cs="Arial"/>
          <w:sz w:val="22"/>
          <w:szCs w:val="22"/>
        </w:rPr>
        <w:t>Nadim</w:t>
      </w:r>
      <w:proofErr w:type="spellEnd"/>
      <w:r w:rsidRPr="008F6BCF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8F6BCF">
        <w:rPr>
          <w:rFonts w:ascii="Arial" w:hAnsi="Arial" w:cs="Arial"/>
          <w:sz w:val="22"/>
          <w:szCs w:val="22"/>
        </w:rPr>
        <w:t>Navid-Hamidid</w:t>
      </w:r>
      <w:proofErr w:type="spellEnd"/>
      <w:r w:rsidRPr="008F6BCF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8F6BCF">
        <w:rPr>
          <w:rFonts w:ascii="Arial" w:hAnsi="Arial" w:cs="Arial"/>
          <w:sz w:val="22"/>
          <w:szCs w:val="22"/>
        </w:rPr>
        <w:t>Javadian</w:t>
      </w:r>
      <w:proofErr w:type="spellEnd"/>
      <w:r w:rsidRPr="008F6BCF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8F6BCF">
        <w:rPr>
          <w:rFonts w:ascii="Arial" w:hAnsi="Arial" w:cs="Arial"/>
          <w:sz w:val="22"/>
          <w:szCs w:val="22"/>
        </w:rPr>
        <w:t>Bidruni</w:t>
      </w:r>
      <w:proofErr w:type="spellEnd"/>
      <w:r w:rsidRPr="008F6BCF">
        <w:rPr>
          <w:rFonts w:ascii="Arial" w:hAnsi="Arial" w:cs="Arial"/>
          <w:sz w:val="22"/>
          <w:szCs w:val="22"/>
        </w:rPr>
        <w:t xml:space="preserve"> GT, </w:t>
      </w:r>
      <w:proofErr w:type="spellStart"/>
      <w:r w:rsidRPr="008F6BCF">
        <w:rPr>
          <w:rFonts w:ascii="Arial" w:hAnsi="Arial" w:cs="Arial"/>
          <w:sz w:val="22"/>
          <w:szCs w:val="22"/>
        </w:rPr>
        <w:t>Amini</w:t>
      </w:r>
      <w:proofErr w:type="spellEnd"/>
      <w:r w:rsidRPr="008F6BCF">
        <w:rPr>
          <w:rFonts w:ascii="Arial" w:hAnsi="Arial" w:cs="Arial"/>
          <w:sz w:val="22"/>
          <w:szCs w:val="22"/>
        </w:rPr>
        <w:t xml:space="preserve"> H (1978). </w:t>
      </w:r>
      <w:hyperlink r:id="rId20" w:history="1">
        <w:r w:rsidRPr="008F6BCF">
          <w:rPr>
            <w:rFonts w:ascii="Arial" w:hAnsi="Arial" w:cs="Arial"/>
            <w:sz w:val="22"/>
            <w:szCs w:val="22"/>
          </w:rPr>
          <w:t>Present status of kala-azar in Iran.</w:t>
        </w:r>
      </w:hyperlink>
      <w:r w:rsidRPr="008F6BCF">
        <w:rPr>
          <w:rFonts w:ascii="Arial" w:hAnsi="Arial" w:cs="Arial"/>
          <w:sz w:val="22"/>
          <w:szCs w:val="22"/>
        </w:rPr>
        <w:t xml:space="preserve"> </w:t>
      </w:r>
      <w:r w:rsidRPr="008F6BCF">
        <w:rPr>
          <w:rStyle w:val="jrnl"/>
          <w:rFonts w:ascii="Arial" w:hAnsi="Arial" w:cs="Arial"/>
          <w:sz w:val="22"/>
          <w:szCs w:val="22"/>
        </w:rPr>
        <w:t xml:space="preserve">Am J </w:t>
      </w:r>
      <w:proofErr w:type="spellStart"/>
      <w:r w:rsidRPr="008F6BCF">
        <w:rPr>
          <w:rStyle w:val="jrnl"/>
          <w:rFonts w:ascii="Arial" w:hAnsi="Arial" w:cs="Arial"/>
          <w:sz w:val="22"/>
          <w:szCs w:val="22"/>
        </w:rPr>
        <w:t>Trop</w:t>
      </w:r>
      <w:proofErr w:type="spellEnd"/>
      <w:r w:rsidRPr="008F6BCF">
        <w:rPr>
          <w:rStyle w:val="jrnl"/>
          <w:rFonts w:ascii="Arial" w:hAnsi="Arial" w:cs="Arial"/>
          <w:sz w:val="22"/>
          <w:szCs w:val="22"/>
        </w:rPr>
        <w:t xml:space="preserve"> Med </w:t>
      </w:r>
      <w:proofErr w:type="spellStart"/>
      <w:r w:rsidRPr="008F6BCF">
        <w:rPr>
          <w:rStyle w:val="jrnl"/>
          <w:rFonts w:ascii="Arial" w:hAnsi="Arial" w:cs="Arial"/>
          <w:sz w:val="22"/>
          <w:szCs w:val="22"/>
        </w:rPr>
        <w:t>Hyg</w:t>
      </w:r>
      <w:proofErr w:type="spellEnd"/>
      <w:r w:rsidRPr="008F6BCF">
        <w:rPr>
          <w:rStyle w:val="src1"/>
          <w:rFonts w:ascii="Arial" w:hAnsi="Arial" w:cs="Arial"/>
          <w:sz w:val="22"/>
          <w:szCs w:val="22"/>
        </w:rPr>
        <w:t xml:space="preserve"> 27(1 Pt 1):25-8.</w:t>
      </w:r>
    </w:p>
    <w:p w:rsidR="008F6BCF" w:rsidRPr="008F6BCF" w:rsidRDefault="008F6BCF" w:rsidP="008F6BCF">
      <w:pPr>
        <w:pStyle w:val="title1"/>
        <w:shd w:val="clear" w:color="auto" w:fill="FFFFFF"/>
        <w:jc w:val="both"/>
        <w:rPr>
          <w:rStyle w:val="src1"/>
          <w:rFonts w:ascii="Arial" w:hAnsi="Arial" w:cs="Arial"/>
          <w:sz w:val="22"/>
          <w:szCs w:val="22"/>
        </w:rPr>
      </w:pPr>
    </w:p>
    <w:p w:rsidR="008F6BCF" w:rsidRPr="008F6BCF" w:rsidRDefault="008F6BCF" w:rsidP="008F6BCF">
      <w:pPr>
        <w:pStyle w:val="rprtbody1"/>
        <w:shd w:val="clear" w:color="auto" w:fill="FFFFFF"/>
        <w:spacing w:before="0" w:after="0"/>
        <w:jc w:val="both"/>
        <w:rPr>
          <w:rStyle w:val="src1"/>
          <w:rFonts w:ascii="Arial" w:hAnsi="Arial" w:cs="Arial"/>
          <w:sz w:val="22"/>
          <w:szCs w:val="22"/>
          <w:lang w:val="en-GB"/>
        </w:rPr>
      </w:pPr>
      <w:r w:rsidRPr="008F6BCF">
        <w:rPr>
          <w:rFonts w:ascii="Arial" w:hAnsi="Arial" w:cs="Arial"/>
          <w:sz w:val="22"/>
          <w:szCs w:val="22"/>
          <w:lang w:val="en-GB"/>
        </w:rPr>
        <w:t xml:space="preserve">5. </w:t>
      </w:r>
      <w:proofErr w:type="spellStart"/>
      <w:r w:rsidRPr="008F6BCF">
        <w:rPr>
          <w:rFonts w:ascii="Arial" w:hAnsi="Arial" w:cs="Arial"/>
          <w:sz w:val="22"/>
          <w:szCs w:val="22"/>
          <w:lang w:val="en-GB"/>
        </w:rPr>
        <w:t>Rahim</w:t>
      </w:r>
      <w:proofErr w:type="spellEnd"/>
      <w:r w:rsidRPr="008F6BCF">
        <w:rPr>
          <w:rFonts w:ascii="Arial" w:hAnsi="Arial" w:cs="Arial"/>
          <w:sz w:val="22"/>
          <w:szCs w:val="22"/>
          <w:lang w:val="en-GB"/>
        </w:rPr>
        <w:t xml:space="preserve"> KM, </w:t>
      </w:r>
      <w:proofErr w:type="spellStart"/>
      <w:r w:rsidRPr="008F6BCF">
        <w:rPr>
          <w:rFonts w:ascii="Arial" w:hAnsi="Arial" w:cs="Arial"/>
          <w:sz w:val="22"/>
          <w:szCs w:val="22"/>
          <w:lang w:val="en-GB"/>
        </w:rPr>
        <w:t>Ashkan</w:t>
      </w:r>
      <w:proofErr w:type="spellEnd"/>
      <w:r w:rsidRPr="008F6BCF">
        <w:rPr>
          <w:rFonts w:ascii="Arial" w:hAnsi="Arial" w:cs="Arial"/>
          <w:sz w:val="22"/>
          <w:szCs w:val="22"/>
          <w:lang w:val="en-GB"/>
        </w:rPr>
        <w:t xml:space="preserve"> MM (2007). </w:t>
      </w:r>
      <w:hyperlink r:id="rId21" w:history="1">
        <w:proofErr w:type="gramStart"/>
        <w:r w:rsidRPr="008F6BCF">
          <w:rPr>
            <w:rFonts w:ascii="Arial" w:hAnsi="Arial" w:cs="Arial"/>
            <w:sz w:val="22"/>
            <w:szCs w:val="22"/>
            <w:lang w:val="en-GB"/>
          </w:rPr>
          <w:t xml:space="preserve">Epidemiological, clinical and therapeutic features of </w:t>
        </w:r>
        <w:proofErr w:type="spellStart"/>
        <w:r w:rsidRPr="008F6BCF">
          <w:rPr>
            <w:rFonts w:ascii="Arial" w:hAnsi="Arial" w:cs="Arial"/>
            <w:sz w:val="22"/>
            <w:szCs w:val="22"/>
            <w:lang w:val="en-GB"/>
          </w:rPr>
          <w:t>pediatric</w:t>
        </w:r>
        <w:proofErr w:type="spellEnd"/>
        <w:r w:rsidRPr="008F6BCF">
          <w:rPr>
            <w:rFonts w:ascii="Arial" w:hAnsi="Arial" w:cs="Arial"/>
            <w:sz w:val="22"/>
            <w:szCs w:val="22"/>
            <w:lang w:val="en-GB"/>
          </w:rPr>
          <w:t xml:space="preserve"> kala-azar.</w:t>
        </w:r>
        <w:proofErr w:type="gramEnd"/>
      </w:hyperlink>
      <w:r w:rsidRPr="008F6BCF">
        <w:rPr>
          <w:rFonts w:ascii="Arial" w:hAnsi="Arial" w:cs="Arial"/>
          <w:sz w:val="22"/>
          <w:szCs w:val="22"/>
          <w:lang w:val="en-GB"/>
        </w:rPr>
        <w:t xml:space="preserve"> </w:t>
      </w:r>
      <w:r w:rsidRPr="008F6BCF">
        <w:rPr>
          <w:rStyle w:val="jrnl"/>
          <w:rFonts w:ascii="Arial" w:hAnsi="Arial" w:cs="Arial"/>
          <w:sz w:val="22"/>
          <w:szCs w:val="22"/>
          <w:lang w:val="en-GB"/>
        </w:rPr>
        <w:t xml:space="preserve">Southeast Asian J </w:t>
      </w:r>
      <w:proofErr w:type="spellStart"/>
      <w:r w:rsidRPr="008F6BCF">
        <w:rPr>
          <w:rStyle w:val="jrnl"/>
          <w:rFonts w:ascii="Arial" w:hAnsi="Arial" w:cs="Arial"/>
          <w:sz w:val="22"/>
          <w:szCs w:val="22"/>
          <w:lang w:val="en-GB"/>
        </w:rPr>
        <w:t>Trop</w:t>
      </w:r>
      <w:proofErr w:type="spellEnd"/>
      <w:r w:rsidRPr="008F6BCF">
        <w:rPr>
          <w:rStyle w:val="jrnl"/>
          <w:rFonts w:ascii="Arial" w:hAnsi="Arial" w:cs="Arial"/>
          <w:sz w:val="22"/>
          <w:szCs w:val="22"/>
          <w:lang w:val="en-GB"/>
        </w:rPr>
        <w:t xml:space="preserve"> Med Public Health</w:t>
      </w:r>
      <w:r w:rsidRPr="008F6BCF">
        <w:rPr>
          <w:rStyle w:val="src1"/>
          <w:rFonts w:ascii="Arial" w:hAnsi="Arial" w:cs="Arial"/>
          <w:sz w:val="22"/>
          <w:szCs w:val="22"/>
          <w:lang w:val="en-GB"/>
        </w:rPr>
        <w:t xml:space="preserve"> 38(4):626-30.</w:t>
      </w:r>
    </w:p>
    <w:p w:rsidR="008F6BCF" w:rsidRPr="008F6BCF" w:rsidRDefault="008F6BCF" w:rsidP="008F6BCF">
      <w:pPr>
        <w:pStyle w:val="rprtbody1"/>
        <w:shd w:val="clear" w:color="auto" w:fill="FFFFFF"/>
        <w:spacing w:before="0" w:after="0"/>
        <w:jc w:val="both"/>
        <w:rPr>
          <w:rStyle w:val="src1"/>
          <w:rFonts w:ascii="Arial" w:hAnsi="Arial" w:cs="Arial"/>
          <w:sz w:val="22"/>
          <w:szCs w:val="22"/>
          <w:lang w:val="en-GB"/>
        </w:rPr>
      </w:pPr>
    </w:p>
    <w:p w:rsidR="008F6BCF" w:rsidRPr="008F6BCF" w:rsidRDefault="008F6BCF" w:rsidP="008F6BCF">
      <w:pPr>
        <w:ind w:left="0" w:firstLine="0"/>
        <w:rPr>
          <w:sz w:val="22"/>
          <w:lang w:val="en-GB"/>
        </w:rPr>
      </w:pPr>
      <w:r w:rsidRPr="008F6BCF">
        <w:rPr>
          <w:sz w:val="22"/>
          <w:lang w:val="en-GB"/>
        </w:rPr>
        <w:t xml:space="preserve">6. </w:t>
      </w:r>
      <w:proofErr w:type="spellStart"/>
      <w:r w:rsidRPr="008F6BCF">
        <w:rPr>
          <w:sz w:val="22"/>
          <w:lang w:val="en-GB"/>
        </w:rPr>
        <w:t>Jafari</w:t>
      </w:r>
      <w:proofErr w:type="spellEnd"/>
      <w:r w:rsidRPr="008F6BCF">
        <w:rPr>
          <w:sz w:val="22"/>
          <w:lang w:val="en-GB"/>
        </w:rPr>
        <w:t xml:space="preserve"> S, </w:t>
      </w:r>
      <w:proofErr w:type="spellStart"/>
      <w:r w:rsidRPr="008F6BCF">
        <w:rPr>
          <w:sz w:val="22"/>
          <w:lang w:val="en-GB"/>
        </w:rPr>
        <w:t>Hajiabdolbaghi</w:t>
      </w:r>
      <w:proofErr w:type="spellEnd"/>
      <w:r w:rsidRPr="008F6BCF">
        <w:rPr>
          <w:sz w:val="22"/>
          <w:lang w:val="en-GB"/>
        </w:rPr>
        <w:t xml:space="preserve"> M, </w:t>
      </w:r>
      <w:proofErr w:type="spellStart"/>
      <w:r w:rsidRPr="008F6BCF">
        <w:rPr>
          <w:sz w:val="22"/>
          <w:lang w:val="en-GB"/>
        </w:rPr>
        <w:t>Mohebali</w:t>
      </w:r>
      <w:proofErr w:type="spellEnd"/>
      <w:r w:rsidRPr="008F6BCF">
        <w:rPr>
          <w:sz w:val="22"/>
          <w:lang w:val="en-GB"/>
        </w:rPr>
        <w:t xml:space="preserve"> M, </w:t>
      </w:r>
      <w:proofErr w:type="spellStart"/>
      <w:r w:rsidRPr="008F6BCF">
        <w:rPr>
          <w:sz w:val="22"/>
          <w:lang w:val="en-GB"/>
        </w:rPr>
        <w:t>Hajjaran</w:t>
      </w:r>
      <w:proofErr w:type="spellEnd"/>
      <w:r w:rsidRPr="008F6BCF">
        <w:rPr>
          <w:sz w:val="22"/>
          <w:lang w:val="en-GB"/>
        </w:rPr>
        <w:t xml:space="preserve"> H, </w:t>
      </w:r>
      <w:proofErr w:type="spellStart"/>
      <w:r w:rsidRPr="008F6BCF">
        <w:rPr>
          <w:sz w:val="22"/>
          <w:lang w:val="en-GB"/>
        </w:rPr>
        <w:t>Hashemian</w:t>
      </w:r>
      <w:proofErr w:type="spellEnd"/>
      <w:r w:rsidRPr="008F6BCF">
        <w:rPr>
          <w:sz w:val="22"/>
          <w:lang w:val="en-GB"/>
        </w:rPr>
        <w:t xml:space="preserve"> H (2010). </w:t>
      </w:r>
      <w:hyperlink r:id="rId22" w:history="1">
        <w:r w:rsidRPr="008F6BCF">
          <w:rPr>
            <w:rStyle w:val="Hyperlink"/>
            <w:color w:val="auto"/>
            <w:sz w:val="22"/>
            <w:u w:val="none"/>
            <w:lang w:val="en-GB"/>
          </w:rPr>
          <w:t>Disseminated leishmaniasis caused by Leishmania tropica in HIV-positive patients in the Islamic Republic of Iran.</w:t>
        </w:r>
      </w:hyperlink>
      <w:r w:rsidRPr="008F6BCF">
        <w:rPr>
          <w:sz w:val="22"/>
          <w:lang w:val="en-GB"/>
        </w:rPr>
        <w:t xml:space="preserve"> East </w:t>
      </w:r>
      <w:proofErr w:type="spellStart"/>
      <w:r w:rsidRPr="008F6BCF">
        <w:rPr>
          <w:sz w:val="22"/>
          <w:lang w:val="en-GB"/>
        </w:rPr>
        <w:t>Mediterr</w:t>
      </w:r>
      <w:proofErr w:type="spellEnd"/>
      <w:r w:rsidRPr="008F6BCF">
        <w:rPr>
          <w:sz w:val="22"/>
          <w:lang w:val="en-GB"/>
        </w:rPr>
        <w:t xml:space="preserve"> Health J 16(3):340-3. </w:t>
      </w:r>
    </w:p>
    <w:p w:rsidR="008F6BCF" w:rsidRPr="008F6BCF" w:rsidRDefault="008F6BCF" w:rsidP="008F6BCF">
      <w:pPr>
        <w:pStyle w:val="rprtbody1"/>
        <w:shd w:val="clear" w:color="auto" w:fill="FFFFFF"/>
        <w:spacing w:before="0" w:after="0"/>
        <w:jc w:val="both"/>
        <w:rPr>
          <w:rFonts w:ascii="Arial" w:hAnsi="Arial" w:cs="Arial"/>
          <w:sz w:val="20"/>
          <w:szCs w:val="22"/>
          <w:lang w:val="en-GB"/>
        </w:rPr>
      </w:pPr>
    </w:p>
    <w:p w:rsidR="008F6BCF" w:rsidRPr="008F6BCF" w:rsidRDefault="008F6BCF" w:rsidP="008F6BCF">
      <w:pPr>
        <w:rPr>
          <w:sz w:val="16"/>
          <w:szCs w:val="16"/>
          <w:lang w:val="en-GB"/>
        </w:rPr>
      </w:pPr>
    </w:p>
    <w:p w:rsidR="008F6BCF" w:rsidRPr="008F6BCF" w:rsidRDefault="008F6BCF" w:rsidP="008F6BCF">
      <w:pPr>
        <w:rPr>
          <w:sz w:val="16"/>
          <w:szCs w:val="16"/>
          <w:lang w:val="en-GB"/>
        </w:rPr>
      </w:pPr>
    </w:p>
    <w:p w:rsidR="002F7C1A" w:rsidRPr="008F6BCF" w:rsidRDefault="002F7C1A" w:rsidP="008F6BCF"/>
    <w:sectPr w:rsidR="002F7C1A" w:rsidRPr="008F6BCF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55F3A20"/>
    <w:multiLevelType w:val="hybridMultilevel"/>
    <w:tmpl w:val="456A53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6BCF"/>
    <w:rsid w:val="000028F1"/>
    <w:rsid w:val="00010242"/>
    <w:rsid w:val="000243B4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8F6BCF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CF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8F6BC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8F6BCF"/>
    <w:rPr>
      <w:color w:val="0000FF"/>
      <w:u w:val="single"/>
    </w:rPr>
  </w:style>
  <w:style w:type="paragraph" w:customStyle="1" w:styleId="rprtbody1">
    <w:name w:val="rprtbody1"/>
    <w:basedOn w:val="Normal"/>
    <w:rsid w:val="008F6BCF"/>
    <w:pPr>
      <w:spacing w:before="34" w:after="34"/>
      <w:ind w:left="0" w:firstLine="0"/>
      <w:jc w:val="left"/>
    </w:pPr>
    <w:rPr>
      <w:rFonts w:ascii="Times New Roman" w:hAnsi="Times New Roman" w:cs="Times New Roman"/>
      <w:sz w:val="28"/>
      <w:szCs w:val="28"/>
      <w:lang w:val="es-ES" w:eastAsia="es-ES"/>
    </w:rPr>
  </w:style>
  <w:style w:type="character" w:customStyle="1" w:styleId="src1">
    <w:name w:val="src1"/>
    <w:basedOn w:val="DefaultParagraphFont"/>
    <w:rsid w:val="008F6BCF"/>
    <w:rPr>
      <w:rFonts w:cs="Times New Roman"/>
    </w:rPr>
  </w:style>
  <w:style w:type="character" w:customStyle="1" w:styleId="jrnl">
    <w:name w:val="jrnl"/>
    <w:basedOn w:val="DefaultParagraphFont"/>
    <w:rsid w:val="008F6BCF"/>
    <w:rPr>
      <w:rFonts w:cs="Times New Roman"/>
    </w:rPr>
  </w:style>
  <w:style w:type="paragraph" w:styleId="NoSpacing">
    <w:name w:val="No Spacing"/>
    <w:qFormat/>
    <w:rsid w:val="008F6BCF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title1">
    <w:name w:val="title1"/>
    <w:basedOn w:val="Normal"/>
    <w:rsid w:val="008F6BCF"/>
    <w:pPr>
      <w:ind w:left="0" w:firstLine="0"/>
      <w:jc w:val="left"/>
    </w:pPr>
    <w:rPr>
      <w:rFonts w:ascii="Times New Roman" w:eastAsia="SimSun" w:hAnsi="Times New Roman" w:cs="Times New Roman"/>
      <w:sz w:val="29"/>
      <w:szCs w:val="29"/>
      <w:lang w:val="en-GB" w:eastAsia="zh-CN"/>
    </w:rPr>
  </w:style>
  <w:style w:type="paragraph" w:customStyle="1" w:styleId="aux1">
    <w:name w:val="aux1"/>
    <w:basedOn w:val="Normal"/>
    <w:rsid w:val="008F6BCF"/>
    <w:pPr>
      <w:spacing w:line="320" w:lineRule="atLeast"/>
      <w:ind w:left="0" w:firstLine="0"/>
      <w:jc w:val="left"/>
    </w:pPr>
    <w:rPr>
      <w:rFonts w:ascii="Times New Roman" w:eastAsia="SimSun" w:hAnsi="Times New Roman" w:cs="Times New Roman"/>
      <w:szCs w:val="24"/>
      <w:lang w:val="en-GB" w:eastAsia="zh-CN"/>
    </w:rPr>
  </w:style>
  <w:style w:type="paragraph" w:customStyle="1" w:styleId="citation">
    <w:name w:val="citation"/>
    <w:basedOn w:val="Normal"/>
    <w:rsid w:val="008F6BCF"/>
    <w:pPr>
      <w:spacing w:before="100" w:beforeAutospacing="1" w:after="100" w:afterAutospacing="1"/>
      <w:ind w:left="0" w:firstLine="0"/>
      <w:jc w:val="left"/>
    </w:pPr>
    <w:rPr>
      <w:rFonts w:ascii="Times New Roman" w:eastAsia="SimSun" w:hAnsi="Times New Roman" w:cs="Times New Roman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CF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cbi.nlm.nih.gov/pubmed?term=%22Sharifi%20I%22%5BAuthor%5D" TargetMode="External"/><Relationship Id="rId18" Type="http://schemas.openxmlformats.org/officeDocument/2006/relationships/hyperlink" Target="javascript:AL_get(this,%20'jour',%20'Int%20J%20Dermatol.'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17882998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/11938418" TargetMode="External"/><Relationship Id="rId17" Type="http://schemas.openxmlformats.org/officeDocument/2006/relationships/hyperlink" Target="http://www.ncbi.nlm.nih.gov/pubmed?term=%22Mahboudi%20F%22%5BAuthor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Khamesipour%20A%22%5BAuthor%5D" TargetMode="External"/><Relationship Id="rId20" Type="http://schemas.openxmlformats.org/officeDocument/2006/relationships/hyperlink" Target="http://www.ncbi.nlm.nih.gov/pubmed/62627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?term=%22Aflatoonian%20MR%22%5BAuthor%5D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://www.ncbi.nlm.nih.gov/pubmed/192230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ncbi.nlm.nih.gov/pubmed?term=%22Fekri%20AR%22%5BAuthor%5D" TargetMode="External"/><Relationship Id="rId22" Type="http://schemas.openxmlformats.org/officeDocument/2006/relationships/hyperlink" Target="http://www.ncbi.nlm.nih.gov/pubmed/2079545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5.128205128205128E-2"/>
          <c:w val="0.90401146131805155"/>
          <c:h val="0.761904761904761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703">
              <a:solidFill>
                <a:srgbClr val="000000"/>
              </a:solidFill>
              <a:prstDash val="solid"/>
            </a:ln>
          </c:spPr>
          <c:cat>
            <c:numRef>
              <c:f>Sheet1!$B$1:$R$1</c:f>
              <c:numCache>
                <c:formatCode>General</c:formatCode>
                <c:ptCount val="17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20718</c:v>
                </c:pt>
                <c:pt idx="1">
                  <c:v>16812</c:v>
                </c:pt>
                <c:pt idx="2">
                  <c:v>22030</c:v>
                </c:pt>
                <c:pt idx="3">
                  <c:v>23842</c:v>
                </c:pt>
                <c:pt idx="4">
                  <c:v>18560</c:v>
                </c:pt>
                <c:pt idx="5">
                  <c:v>18863</c:v>
                </c:pt>
                <c:pt idx="6">
                  <c:v>12727</c:v>
                </c:pt>
                <c:pt idx="7">
                  <c:v>14505</c:v>
                </c:pt>
                <c:pt idx="8">
                  <c:v>13729</c:v>
                </c:pt>
                <c:pt idx="9">
                  <c:v>21522</c:v>
                </c:pt>
                <c:pt idx="10">
                  <c:v>27517</c:v>
                </c:pt>
                <c:pt idx="11">
                  <c:v>21419</c:v>
                </c:pt>
                <c:pt idx="12">
                  <c:v>24517</c:v>
                </c:pt>
                <c:pt idx="13">
                  <c:v>26493</c:v>
                </c:pt>
                <c:pt idx="14">
                  <c:v>23202</c:v>
                </c:pt>
                <c:pt idx="15">
                  <c:v>22705</c:v>
                </c:pt>
                <c:pt idx="16">
                  <c:v>21211</c:v>
                </c:pt>
              </c:numCache>
            </c:numRef>
          </c:val>
        </c:ser>
        <c:gapDepth val="0"/>
        <c:shape val="box"/>
        <c:axId val="572967552"/>
        <c:axId val="573043072"/>
        <c:axId val="0"/>
      </c:bar3DChart>
      <c:catAx>
        <c:axId val="572967552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3043072"/>
        <c:crosses val="autoZero"/>
        <c:auto val="1"/>
        <c:lblAlgn val="ctr"/>
        <c:lblOffset val="100"/>
        <c:tickLblSkip val="1"/>
        <c:tickMarkSkip val="1"/>
      </c:catAx>
      <c:valAx>
        <c:axId val="573043072"/>
        <c:scaling>
          <c:orientation val="minMax"/>
        </c:scaling>
        <c:axPos val="l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29675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40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4.6511627906976778E-2"/>
          <c:w val="0.90401146131805155"/>
          <c:h val="0.755813953488372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1">
              <a:solidFill>
                <a:srgbClr val="000000"/>
              </a:solidFill>
              <a:prstDash val="solid"/>
            </a:ln>
          </c:spPr>
          <c:cat>
            <c:numRef>
              <c:f>Sheet1!$B$1:$R$1</c:f>
              <c:numCache>
                <c:formatCode>General</c:formatCode>
                <c:ptCount val="13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3"/>
                <c:pt idx="0">
                  <c:v>264</c:v>
                </c:pt>
                <c:pt idx="1">
                  <c:v>283</c:v>
                </c:pt>
                <c:pt idx="2">
                  <c:v>346</c:v>
                </c:pt>
                <c:pt idx="3">
                  <c:v>270</c:v>
                </c:pt>
                <c:pt idx="4">
                  <c:v>210</c:v>
                </c:pt>
                <c:pt idx="5">
                  <c:v>218</c:v>
                </c:pt>
                <c:pt idx="6">
                  <c:v>193</c:v>
                </c:pt>
                <c:pt idx="7">
                  <c:v>133</c:v>
                </c:pt>
                <c:pt idx="8">
                  <c:v>139</c:v>
                </c:pt>
                <c:pt idx="9">
                  <c:v>153</c:v>
                </c:pt>
                <c:pt idx="10">
                  <c:v>125</c:v>
                </c:pt>
                <c:pt idx="11">
                  <c:v>94</c:v>
                </c:pt>
                <c:pt idx="12">
                  <c:v>91</c:v>
                </c:pt>
              </c:numCache>
            </c:numRef>
          </c:val>
        </c:ser>
        <c:gapDepth val="0"/>
        <c:shape val="box"/>
        <c:axId val="573602048"/>
        <c:axId val="573882368"/>
        <c:axId val="0"/>
      </c:bar3DChart>
      <c:catAx>
        <c:axId val="57360204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3882368"/>
        <c:crosses val="autoZero"/>
        <c:auto val="1"/>
        <c:lblAlgn val="ctr"/>
        <c:lblOffset val="100"/>
        <c:tickLblSkip val="1"/>
        <c:tickMarkSkip val="1"/>
      </c:catAx>
      <c:valAx>
        <c:axId val="573882368"/>
        <c:scaling>
          <c:orientation val="minMax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3602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6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2012-04-01T21:21:00Z</dcterms:created>
  <dcterms:modified xsi:type="dcterms:W3CDTF">2012-04-01T21:23:00Z</dcterms:modified>
</cp:coreProperties>
</file>