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8B" w:rsidRDefault="00173A8B" w:rsidP="00173A8B">
      <w:pPr>
        <w:pStyle w:val="aux1"/>
        <w:shd w:val="clear" w:color="auto" w:fill="FFFFFF"/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smartTag w:uri="urn:schemas-microsoft-com:office:smarttags" w:element="place">
        <w:smartTag w:uri="urn:schemas-microsoft-com:office:smarttags" w:element="country-region">
          <w:r w:rsidRPr="00AF4C12">
            <w:rPr>
              <w:rFonts w:ascii="Arial" w:hAnsi="Arial" w:cs="Arial"/>
              <w:b/>
              <w:bCs/>
              <w:sz w:val="22"/>
              <w:szCs w:val="22"/>
              <w:u w:val="single"/>
            </w:rPr>
            <w:t>CYPRUS</w:t>
          </w:r>
        </w:smartTag>
      </w:smartTag>
    </w:p>
    <w:p w:rsidR="00173A8B" w:rsidRPr="00AF4C12" w:rsidRDefault="00173A8B" w:rsidP="00173A8B">
      <w:pPr>
        <w:pStyle w:val="aux1"/>
        <w:shd w:val="clear" w:color="auto" w:fill="FFFFFF"/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73A8B" w:rsidRPr="002C75B8" w:rsidRDefault="00173A8B" w:rsidP="00173A8B">
      <w:pPr>
        <w:spacing w:line="480" w:lineRule="auto"/>
        <w:ind w:left="0" w:firstLine="0"/>
        <w:rPr>
          <w:bCs/>
          <w:sz w:val="22"/>
          <w:lang w:val="en-US"/>
        </w:rPr>
      </w:pPr>
      <w:r>
        <w:rPr>
          <w:bCs/>
          <w:noProof/>
          <w:sz w:val="22"/>
          <w:lang w:val="en-US"/>
        </w:rPr>
        <w:drawing>
          <wp:inline distT="0" distB="0" distL="0" distR="0">
            <wp:extent cx="2663825" cy="1784350"/>
            <wp:effectExtent l="19050" t="0" r="3175" b="0"/>
            <wp:docPr id="2" name="Picture 2" descr="CY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Y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3A8B" w:rsidRPr="002C75B8" w:rsidRDefault="00173A8B" w:rsidP="00173A8B">
      <w:pPr>
        <w:spacing w:line="480" w:lineRule="auto"/>
        <w:ind w:left="0" w:firstLine="0"/>
        <w:rPr>
          <w:bCs/>
          <w:sz w:val="22"/>
          <w:lang w:val="en-US"/>
        </w:rPr>
      </w:pPr>
      <w:r w:rsidRPr="002C75B8">
        <w:rPr>
          <w:b/>
          <w:sz w:val="22"/>
          <w:lang w:val="en-US"/>
        </w:rPr>
        <w:t>BASIC COUNTRY DATA</w:t>
      </w:r>
    </w:p>
    <w:p w:rsidR="00173A8B" w:rsidRPr="002C75B8" w:rsidRDefault="00173A8B" w:rsidP="00173A8B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Total Population: </w:t>
      </w:r>
      <w:r>
        <w:rPr>
          <w:bCs/>
          <w:sz w:val="22"/>
          <w:lang w:val="en-US"/>
        </w:rPr>
        <w:t>1,103,647</w:t>
      </w:r>
    </w:p>
    <w:p w:rsidR="00173A8B" w:rsidRPr="002C75B8" w:rsidRDefault="00173A8B" w:rsidP="00173A8B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Population 0-14 years: 1</w:t>
      </w:r>
      <w:r>
        <w:rPr>
          <w:bCs/>
          <w:sz w:val="22"/>
          <w:lang w:val="en-US"/>
        </w:rPr>
        <w:t>8%</w:t>
      </w:r>
      <w:r w:rsidRPr="002C75B8">
        <w:rPr>
          <w:bCs/>
          <w:sz w:val="22"/>
          <w:lang w:val="en-US"/>
        </w:rPr>
        <w:t xml:space="preserve"> </w:t>
      </w:r>
    </w:p>
    <w:p w:rsidR="00173A8B" w:rsidRPr="002C75B8" w:rsidRDefault="00173A8B" w:rsidP="00173A8B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Rural population: </w:t>
      </w:r>
      <w:r>
        <w:rPr>
          <w:bCs/>
          <w:sz w:val="22"/>
          <w:lang w:val="en-US"/>
        </w:rPr>
        <w:t>30</w:t>
      </w:r>
      <w:r w:rsidRPr="002C75B8">
        <w:rPr>
          <w:bCs/>
          <w:sz w:val="22"/>
          <w:lang w:val="en-US"/>
        </w:rPr>
        <w:t xml:space="preserve">% </w:t>
      </w:r>
    </w:p>
    <w:p w:rsidR="00173A8B" w:rsidRPr="002C75B8" w:rsidRDefault="00173A8B" w:rsidP="00173A8B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Population living under USD 1</w:t>
      </w:r>
      <w:r>
        <w:rPr>
          <w:bCs/>
          <w:sz w:val="22"/>
          <w:lang w:val="en-US"/>
        </w:rPr>
        <w:t>.</w:t>
      </w:r>
      <w:r w:rsidRPr="002C75B8">
        <w:rPr>
          <w:bCs/>
          <w:sz w:val="22"/>
          <w:lang w:val="en-US"/>
        </w:rPr>
        <w:t xml:space="preserve">25 a day: no data </w:t>
      </w:r>
    </w:p>
    <w:p w:rsidR="00173A8B" w:rsidRPr="002C75B8" w:rsidRDefault="00173A8B" w:rsidP="00173A8B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Population living under the national poverty line: no data</w:t>
      </w:r>
    </w:p>
    <w:p w:rsidR="00173A8B" w:rsidRPr="002C75B8" w:rsidRDefault="00173A8B" w:rsidP="00173A8B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Income status: High income economy</w:t>
      </w:r>
    </w:p>
    <w:p w:rsidR="00173A8B" w:rsidRPr="002C75B8" w:rsidRDefault="00173A8B" w:rsidP="00173A8B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Ranking: Very high human development (ranking 3</w:t>
      </w:r>
      <w:r>
        <w:rPr>
          <w:bCs/>
          <w:sz w:val="22"/>
          <w:lang w:val="en-US"/>
        </w:rPr>
        <w:t>1</w:t>
      </w:r>
      <w:r w:rsidRPr="002C75B8">
        <w:rPr>
          <w:bCs/>
          <w:sz w:val="22"/>
          <w:lang w:val="en-US"/>
        </w:rPr>
        <w:t>)</w:t>
      </w:r>
    </w:p>
    <w:p w:rsidR="00173A8B" w:rsidRPr="002C75B8" w:rsidRDefault="00173A8B" w:rsidP="00173A8B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Per capita total expenditure on health at average exchange rate (US dollar): </w:t>
      </w:r>
      <w:r>
        <w:rPr>
          <w:bCs/>
          <w:sz w:val="22"/>
          <w:lang w:val="en-US"/>
        </w:rPr>
        <w:t>1,747</w:t>
      </w:r>
    </w:p>
    <w:p w:rsidR="00173A8B" w:rsidRPr="002C75B8" w:rsidRDefault="00173A8B" w:rsidP="00173A8B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Life expectancy at birth (years): </w:t>
      </w:r>
      <w:r>
        <w:rPr>
          <w:bCs/>
          <w:sz w:val="22"/>
          <w:lang w:val="en-US"/>
        </w:rPr>
        <w:t>79</w:t>
      </w:r>
    </w:p>
    <w:p w:rsidR="00173A8B" w:rsidRDefault="00173A8B" w:rsidP="00173A8B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Health</w:t>
      </w:r>
      <w:r>
        <w:rPr>
          <w:bCs/>
          <w:sz w:val="22"/>
          <w:lang w:val="en-US"/>
        </w:rPr>
        <w:t>y</w:t>
      </w:r>
      <w:r w:rsidRPr="002C75B8">
        <w:rPr>
          <w:bCs/>
          <w:sz w:val="22"/>
          <w:lang w:val="en-US"/>
        </w:rPr>
        <w:t xml:space="preserve"> life expectancy at birth (years): 68 </w:t>
      </w:r>
    </w:p>
    <w:p w:rsidR="00173A8B" w:rsidRPr="002C75B8" w:rsidRDefault="00173A8B" w:rsidP="00173A8B">
      <w:pPr>
        <w:ind w:left="0" w:firstLine="0"/>
        <w:rPr>
          <w:bCs/>
          <w:sz w:val="22"/>
          <w:lang w:val="en-US"/>
        </w:rPr>
      </w:pPr>
    </w:p>
    <w:p w:rsidR="00173A8B" w:rsidRPr="002C75B8" w:rsidRDefault="00173A8B" w:rsidP="00173A8B">
      <w:pPr>
        <w:ind w:left="0" w:firstLine="0"/>
        <w:rPr>
          <w:bCs/>
          <w:sz w:val="22"/>
          <w:lang w:val="en-US"/>
        </w:rPr>
      </w:pPr>
    </w:p>
    <w:p w:rsidR="00173A8B" w:rsidRPr="002C75B8" w:rsidRDefault="00173A8B" w:rsidP="00173A8B">
      <w:pPr>
        <w:spacing w:line="480" w:lineRule="auto"/>
        <w:ind w:left="0" w:firstLine="0"/>
        <w:rPr>
          <w:sz w:val="22"/>
          <w:lang w:val="en-GB"/>
        </w:rPr>
      </w:pPr>
      <w:r w:rsidRPr="002C75B8">
        <w:rPr>
          <w:b/>
          <w:sz w:val="22"/>
          <w:lang w:val="en-US"/>
        </w:rPr>
        <w:t xml:space="preserve">BACKGROUND INFORMATION </w:t>
      </w:r>
    </w:p>
    <w:p w:rsidR="00173A8B" w:rsidRPr="002C75B8" w:rsidRDefault="00173A8B" w:rsidP="00173A8B">
      <w:pPr>
        <w:ind w:left="0" w:firstLine="0"/>
        <w:rPr>
          <w:sz w:val="22"/>
          <w:lang w:val="en-GB"/>
        </w:rPr>
      </w:pPr>
      <w:r w:rsidRPr="002C75B8">
        <w:rPr>
          <w:sz w:val="22"/>
          <w:lang w:val="en-US"/>
        </w:rPr>
        <w:t xml:space="preserve">Canine VL was highly prevalent in </w:t>
      </w:r>
      <w:r>
        <w:rPr>
          <w:sz w:val="22"/>
          <w:lang w:val="en-US"/>
        </w:rPr>
        <w:t xml:space="preserve">the southern part of </w:t>
      </w:r>
      <w:r w:rsidRPr="002C75B8">
        <w:rPr>
          <w:sz w:val="22"/>
          <w:lang w:val="en-US"/>
        </w:rPr>
        <w:t>Cyprus before 1945, but after extensive insecticide spraying in the 1950s and a reduction of the dog population from 46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>000 to 6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000 dogs during the </w:t>
      </w:r>
      <w:proofErr w:type="spellStart"/>
      <w:r w:rsidRPr="002C75B8">
        <w:rPr>
          <w:sz w:val="22"/>
          <w:lang w:val="en-GB"/>
        </w:rPr>
        <w:t>echinococcosis</w:t>
      </w:r>
      <w:proofErr w:type="spellEnd"/>
      <w:r w:rsidRPr="002C75B8">
        <w:rPr>
          <w:sz w:val="22"/>
          <w:lang w:val="en-GB"/>
        </w:rPr>
        <w:t xml:space="preserve"> campaign between 1970 </w:t>
      </w:r>
      <w:r>
        <w:rPr>
          <w:sz w:val="22"/>
          <w:lang w:val="en-GB"/>
        </w:rPr>
        <w:t>and</w:t>
      </w:r>
      <w:r>
        <w:rPr>
          <w:sz w:val="22"/>
          <w:lang w:val="en-GB"/>
        </w:rPr>
        <w:t xml:space="preserve"> </w:t>
      </w:r>
      <w:proofErr w:type="gramStart"/>
      <w:r w:rsidRPr="002C75B8">
        <w:rPr>
          <w:sz w:val="22"/>
          <w:lang w:val="en-GB"/>
        </w:rPr>
        <w:t>1975,</w:t>
      </w:r>
      <w:proofErr w:type="gramEnd"/>
      <w:r w:rsidRPr="002C75B8">
        <w:rPr>
          <w:sz w:val="22"/>
          <w:lang w:val="en-GB"/>
        </w:rPr>
        <w:t xml:space="preserve"> it was thought to be eradicated. However</w:t>
      </w:r>
      <w:r>
        <w:rPr>
          <w:sz w:val="22"/>
          <w:lang w:val="en-GB"/>
        </w:rPr>
        <w:t>,</w:t>
      </w:r>
      <w:r w:rsidRPr="002C75B8">
        <w:rPr>
          <w:sz w:val="22"/>
          <w:lang w:val="en-GB"/>
        </w:rPr>
        <w:t xml:space="preserve"> the dog population steadily increased again and entomological surveys of 1944 and 1985 showed that the </w:t>
      </w:r>
      <w:proofErr w:type="spellStart"/>
      <w:r w:rsidRPr="002C75B8">
        <w:rPr>
          <w:sz w:val="22"/>
          <w:lang w:val="en-GB"/>
        </w:rPr>
        <w:t>sandfly</w:t>
      </w:r>
      <w:proofErr w:type="spellEnd"/>
      <w:r w:rsidRPr="002C75B8">
        <w:rPr>
          <w:sz w:val="22"/>
          <w:lang w:val="en-GB"/>
        </w:rPr>
        <w:t xml:space="preserve"> fauna remained essentially unchanged, despite regular and widespread insecticide use. As a consequence, canine VL </w:t>
      </w:r>
      <w:proofErr w:type="spellStart"/>
      <w:r w:rsidRPr="002C75B8">
        <w:rPr>
          <w:sz w:val="22"/>
          <w:lang w:val="en-GB"/>
        </w:rPr>
        <w:t>reemerged</w:t>
      </w:r>
      <w:proofErr w:type="spellEnd"/>
      <w:r w:rsidRPr="002C75B8">
        <w:rPr>
          <w:sz w:val="22"/>
          <w:lang w:val="en-GB"/>
        </w:rPr>
        <w:t xml:space="preserve"> in 1996 </w:t>
      </w:r>
      <w:r>
        <w:rPr>
          <w:sz w:val="22"/>
          <w:lang w:val="en-GB"/>
        </w:rPr>
        <w:t>[1]</w:t>
      </w:r>
      <w:r w:rsidRPr="002C75B8">
        <w:rPr>
          <w:sz w:val="22"/>
          <w:lang w:val="en-GB"/>
        </w:rPr>
        <w:t xml:space="preserve">. </w:t>
      </w:r>
    </w:p>
    <w:p w:rsidR="00173A8B" w:rsidRPr="002C75B8" w:rsidRDefault="00173A8B" w:rsidP="00173A8B">
      <w:pPr>
        <w:ind w:left="0" w:firstLine="0"/>
        <w:rPr>
          <w:sz w:val="22"/>
          <w:lang w:val="en-US"/>
        </w:rPr>
      </w:pPr>
    </w:p>
    <w:p w:rsidR="00173A8B" w:rsidRPr="00EF6EC8" w:rsidRDefault="00173A8B" w:rsidP="00173A8B">
      <w:pPr>
        <w:ind w:left="0" w:firstLine="0"/>
        <w:rPr>
          <w:sz w:val="22"/>
          <w:lang w:val="en-GB"/>
        </w:rPr>
      </w:pPr>
      <w:r w:rsidRPr="002C75B8">
        <w:rPr>
          <w:sz w:val="22"/>
          <w:lang w:val="en-US"/>
        </w:rPr>
        <w:t>A survey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carried out in 2005</w:t>
      </w:r>
      <w:r>
        <w:rPr>
          <w:sz w:val="22"/>
          <w:lang w:val="en-US"/>
        </w:rPr>
        <w:t>-</w:t>
      </w:r>
      <w:r w:rsidRPr="002C75B8">
        <w:rPr>
          <w:sz w:val="22"/>
          <w:lang w:val="en-US"/>
        </w:rPr>
        <w:t>2006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showed a 9-fold increase in dog </w:t>
      </w:r>
      <w:proofErr w:type="spellStart"/>
      <w:r w:rsidRPr="002C75B8">
        <w:rPr>
          <w:sz w:val="22"/>
          <w:lang w:val="en-US"/>
        </w:rPr>
        <w:t>seroprevalence</w:t>
      </w:r>
      <w:proofErr w:type="spellEnd"/>
      <w:r w:rsidRPr="002C75B8">
        <w:rPr>
          <w:sz w:val="22"/>
          <w:lang w:val="en-US"/>
        </w:rPr>
        <w:t xml:space="preserve"> (from 1</w:t>
      </w:r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>7</w:t>
      </w:r>
      <w:r>
        <w:rPr>
          <w:sz w:val="22"/>
          <w:lang w:val="en-US"/>
        </w:rPr>
        <w:t>%</w:t>
      </w:r>
      <w:r w:rsidRPr="002C75B8">
        <w:rPr>
          <w:sz w:val="22"/>
          <w:lang w:val="en-US"/>
        </w:rPr>
        <w:t xml:space="preserve"> to 14</w:t>
      </w:r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 xml:space="preserve">9%) </w:t>
      </w:r>
      <w:r>
        <w:rPr>
          <w:sz w:val="22"/>
          <w:lang w:val="en-US"/>
        </w:rPr>
        <w:t>in</w:t>
      </w:r>
      <w:r w:rsidRPr="002C75B8">
        <w:rPr>
          <w:sz w:val="22"/>
          <w:lang w:val="en-US"/>
        </w:rPr>
        <w:t xml:space="preserve"> 10 years</w:t>
      </w:r>
      <w:r>
        <w:rPr>
          <w:sz w:val="22"/>
          <w:lang w:val="en-US"/>
        </w:rPr>
        <w:t xml:space="preserve"> [2]</w:t>
      </w:r>
      <w:r w:rsidRPr="002C75B8">
        <w:rPr>
          <w:sz w:val="22"/>
          <w:lang w:val="en-US"/>
        </w:rPr>
        <w:t>. However, paradoxically, only 2 cases of h</w:t>
      </w:r>
      <w:proofErr w:type="spellStart"/>
      <w:r w:rsidRPr="002C75B8">
        <w:rPr>
          <w:sz w:val="22"/>
          <w:lang w:val="en-GB"/>
        </w:rPr>
        <w:t>uman</w:t>
      </w:r>
      <w:proofErr w:type="spellEnd"/>
      <w:r w:rsidRPr="002C75B8">
        <w:rPr>
          <w:sz w:val="22"/>
          <w:lang w:val="en-GB"/>
        </w:rPr>
        <w:t xml:space="preserve"> VL by </w:t>
      </w:r>
      <w:r w:rsidRPr="002C75B8">
        <w:rPr>
          <w:i/>
          <w:iCs/>
          <w:sz w:val="22"/>
          <w:lang w:val="en-GB"/>
        </w:rPr>
        <w:t>L.infantum</w:t>
      </w:r>
      <w:r w:rsidRPr="002C75B8">
        <w:rPr>
          <w:sz w:val="22"/>
          <w:lang w:val="en-GB"/>
        </w:rPr>
        <w:t xml:space="preserve"> have been reported in </w:t>
      </w:r>
      <w:r>
        <w:rPr>
          <w:sz w:val="22"/>
          <w:lang w:val="en-US"/>
        </w:rPr>
        <w:t xml:space="preserve">the southern part of </w:t>
      </w:r>
      <w:smartTag w:uri="urn:schemas-microsoft-com:office:smarttags" w:element="country-region">
        <w:smartTag w:uri="urn:schemas-microsoft-com:office:smarttags" w:element="place">
          <w:r w:rsidRPr="002C75B8">
            <w:rPr>
              <w:sz w:val="22"/>
              <w:lang w:val="en-US"/>
            </w:rPr>
            <w:t>Cyprus</w:t>
          </w:r>
        </w:smartTag>
      </w:smartTag>
      <w:r w:rsidRPr="002C75B8">
        <w:rPr>
          <w:sz w:val="22"/>
          <w:lang w:val="en-GB"/>
        </w:rPr>
        <w:t xml:space="preserve"> since 1935. As a number of tourists developed VL after visiting </w:t>
      </w:r>
      <w:r>
        <w:rPr>
          <w:sz w:val="22"/>
          <w:lang w:val="en-US"/>
        </w:rPr>
        <w:t xml:space="preserve">the southern part of </w:t>
      </w:r>
      <w:r w:rsidRPr="002C75B8">
        <w:rPr>
          <w:sz w:val="22"/>
          <w:lang w:val="en-US"/>
        </w:rPr>
        <w:t>Cyprus</w:t>
      </w:r>
      <w:r w:rsidRPr="002C75B8">
        <w:rPr>
          <w:sz w:val="22"/>
          <w:lang w:val="en-GB"/>
        </w:rPr>
        <w:t xml:space="preserve">, it is thought that indigenous </w:t>
      </w:r>
      <w:r>
        <w:rPr>
          <w:sz w:val="22"/>
          <w:lang w:val="en-GB"/>
        </w:rPr>
        <w:t>-</w:t>
      </w:r>
      <w:r>
        <w:rPr>
          <w:sz w:val="22"/>
          <w:lang w:val="en-US"/>
        </w:rPr>
        <w:t>the southern part-</w:t>
      </w:r>
      <w:r w:rsidRPr="002C75B8">
        <w:rPr>
          <w:sz w:val="22"/>
          <w:lang w:val="en-GB"/>
        </w:rPr>
        <w:t xml:space="preserve"> Cypriots may have a protective mechanism against </w:t>
      </w:r>
      <w:r w:rsidRPr="002C75B8">
        <w:rPr>
          <w:i/>
          <w:iCs/>
          <w:sz w:val="22"/>
          <w:lang w:val="en-GB"/>
        </w:rPr>
        <w:t>L.infantum</w:t>
      </w:r>
      <w:r w:rsidRPr="00EF6EC8">
        <w:rPr>
          <w:sz w:val="22"/>
          <w:lang w:val="en-GB"/>
        </w:rPr>
        <w:t xml:space="preserve">. Controversially, in the northern part of Cyprus, the number of CL cases increased from 2 to 36 between 1985 and 1990 and one case of VL was reported. </w:t>
      </w:r>
    </w:p>
    <w:p w:rsidR="00173A8B" w:rsidRPr="00EF6EC8" w:rsidRDefault="00173A8B" w:rsidP="00173A8B">
      <w:pPr>
        <w:ind w:left="0" w:firstLine="0"/>
        <w:rPr>
          <w:sz w:val="22"/>
          <w:lang w:val="en-GB"/>
        </w:rPr>
      </w:pPr>
      <w:r w:rsidRPr="00EF6EC8">
        <w:rPr>
          <w:sz w:val="22"/>
          <w:lang w:val="en-GB"/>
        </w:rPr>
        <w:t xml:space="preserve">   </w:t>
      </w:r>
    </w:p>
    <w:p w:rsidR="00173A8B" w:rsidRPr="002C75B8" w:rsidRDefault="00173A8B" w:rsidP="00173A8B">
      <w:pPr>
        <w:ind w:left="0" w:firstLine="0"/>
        <w:rPr>
          <w:sz w:val="22"/>
          <w:lang w:val="en-GB"/>
        </w:rPr>
      </w:pPr>
      <w:r w:rsidRPr="00EF6EC8">
        <w:rPr>
          <w:sz w:val="22"/>
          <w:lang w:val="en-GB"/>
        </w:rPr>
        <w:t xml:space="preserve">CL had not been reported since 1935, but in 2006, 6 cases of leishmaniasis by </w:t>
      </w:r>
      <w:r w:rsidRPr="00EF6EC8">
        <w:rPr>
          <w:i/>
          <w:iCs/>
          <w:sz w:val="22"/>
          <w:lang w:val="en-GB"/>
        </w:rPr>
        <w:t>L.donovani</w:t>
      </w:r>
      <w:r w:rsidRPr="00EF6EC8">
        <w:rPr>
          <w:sz w:val="22"/>
          <w:lang w:val="en-GB"/>
        </w:rPr>
        <w:t xml:space="preserve"> were reported in </w:t>
      </w:r>
      <w:r w:rsidRPr="00EF6EC8">
        <w:rPr>
          <w:sz w:val="22"/>
          <w:lang w:val="en-US"/>
        </w:rPr>
        <w:t>the southern part of</w:t>
      </w:r>
      <w:r>
        <w:rPr>
          <w:sz w:val="22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2C75B8">
            <w:rPr>
              <w:sz w:val="22"/>
              <w:lang w:val="en-US"/>
            </w:rPr>
            <w:t>Cyprus</w:t>
          </w:r>
        </w:smartTag>
      </w:smartTag>
      <w:r w:rsidRPr="002C75B8">
        <w:rPr>
          <w:sz w:val="22"/>
          <w:lang w:val="en-GB"/>
        </w:rPr>
        <w:t xml:space="preserve">, </w:t>
      </w:r>
      <w:r>
        <w:rPr>
          <w:sz w:val="22"/>
          <w:lang w:val="en-GB"/>
        </w:rPr>
        <w:t xml:space="preserve">making it </w:t>
      </w:r>
      <w:r w:rsidRPr="002C75B8">
        <w:rPr>
          <w:sz w:val="22"/>
          <w:lang w:val="en-GB"/>
        </w:rPr>
        <w:t xml:space="preserve">the first Mediterranean country where this occurred </w:t>
      </w:r>
      <w:r>
        <w:rPr>
          <w:sz w:val="22"/>
          <w:lang w:val="en-GB"/>
        </w:rPr>
        <w:t>[3]</w:t>
      </w:r>
      <w:r w:rsidRPr="002C75B8">
        <w:rPr>
          <w:sz w:val="22"/>
          <w:lang w:val="en-GB"/>
        </w:rPr>
        <w:t xml:space="preserve">. It is not known if the strain was imported. As in </w:t>
      </w:r>
      <w:smartTag w:uri="urn:schemas-microsoft-com:office:smarttags" w:element="country-region">
        <w:smartTag w:uri="urn:schemas-microsoft-com:office:smarttags" w:element="place">
          <w:r w:rsidRPr="002C75B8">
            <w:rPr>
              <w:sz w:val="22"/>
              <w:lang w:val="en-GB"/>
            </w:rPr>
            <w:t>Sri Lanka</w:t>
          </w:r>
        </w:smartTag>
      </w:smartTag>
      <w:r w:rsidRPr="002C75B8">
        <w:rPr>
          <w:sz w:val="22"/>
          <w:lang w:val="en-GB"/>
        </w:rPr>
        <w:t xml:space="preserve">, </w:t>
      </w:r>
      <w:r w:rsidRPr="002C75B8">
        <w:rPr>
          <w:i/>
          <w:iCs/>
          <w:sz w:val="22"/>
          <w:lang w:val="en-GB"/>
        </w:rPr>
        <w:t>L.donovani</w:t>
      </w:r>
      <w:r w:rsidRPr="002C75B8">
        <w:rPr>
          <w:sz w:val="22"/>
          <w:lang w:val="en-GB"/>
        </w:rPr>
        <w:t xml:space="preserve"> caused CL in healthy individuals, but 2 cases </w:t>
      </w:r>
      <w:r w:rsidRPr="00EF6EC8">
        <w:rPr>
          <w:sz w:val="22"/>
          <w:lang w:val="en-GB"/>
        </w:rPr>
        <w:t>of VL occurred</w:t>
      </w:r>
      <w:r w:rsidRPr="002C75B8">
        <w:rPr>
          <w:sz w:val="22"/>
          <w:lang w:val="en-GB"/>
        </w:rPr>
        <w:t xml:space="preserve"> in an </w:t>
      </w:r>
      <w:proofErr w:type="spellStart"/>
      <w:r w:rsidRPr="002C75B8">
        <w:rPr>
          <w:sz w:val="22"/>
          <w:lang w:val="en-GB"/>
        </w:rPr>
        <w:t>immunosuppressed</w:t>
      </w:r>
      <w:proofErr w:type="spellEnd"/>
      <w:r w:rsidRPr="002C75B8">
        <w:rPr>
          <w:sz w:val="22"/>
          <w:lang w:val="en-GB"/>
        </w:rPr>
        <w:t xml:space="preserve"> and an elderly patient. The spread of </w:t>
      </w:r>
      <w:r w:rsidRPr="002C75B8">
        <w:rPr>
          <w:i/>
          <w:iCs/>
          <w:sz w:val="22"/>
          <w:lang w:val="en-GB"/>
        </w:rPr>
        <w:t>L.donovani</w:t>
      </w:r>
      <w:r w:rsidRPr="002C75B8">
        <w:rPr>
          <w:sz w:val="22"/>
          <w:lang w:val="en-GB"/>
        </w:rPr>
        <w:t xml:space="preserve"> along the Mediterranean coast is of concern</w:t>
      </w:r>
      <w:r>
        <w:rPr>
          <w:sz w:val="22"/>
          <w:lang w:val="en-GB"/>
        </w:rPr>
        <w:t>,</w:t>
      </w:r>
      <w:r w:rsidRPr="002C75B8">
        <w:rPr>
          <w:sz w:val="22"/>
          <w:lang w:val="en-GB"/>
        </w:rPr>
        <w:t xml:space="preserve"> as this could have a profound effect on the epidemiology of leishmaniasis.</w:t>
      </w:r>
    </w:p>
    <w:p w:rsidR="00173A8B" w:rsidRPr="002C75B8" w:rsidRDefault="00173A8B" w:rsidP="00173A8B">
      <w:pPr>
        <w:ind w:left="0" w:firstLine="0"/>
        <w:rPr>
          <w:b/>
          <w:bCs/>
          <w:sz w:val="22"/>
        </w:rPr>
      </w:pPr>
      <w:r>
        <w:rPr>
          <w:b/>
          <w:bCs/>
          <w:sz w:val="22"/>
        </w:rPr>
        <w:lastRenderedPageBreak/>
        <w:t>P</w:t>
      </w:r>
      <w:r w:rsidRPr="002C75B8">
        <w:rPr>
          <w:b/>
          <w:bCs/>
          <w:sz w:val="22"/>
        </w:rPr>
        <w:t>ARASITOLOGICAL INFORMATION</w:t>
      </w:r>
    </w:p>
    <w:p w:rsidR="00173A8B" w:rsidRDefault="00173A8B" w:rsidP="00173A8B">
      <w:pPr>
        <w:ind w:left="0" w:firstLine="0"/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5"/>
        <w:gridCol w:w="2237"/>
        <w:gridCol w:w="2255"/>
        <w:gridCol w:w="2277"/>
      </w:tblGrid>
      <w:tr w:rsidR="00173A8B" w:rsidRPr="002C75B8" w:rsidTr="00A7768B">
        <w:tc>
          <w:tcPr>
            <w:tcW w:w="2285" w:type="dxa"/>
            <w:vAlign w:val="center"/>
          </w:tcPr>
          <w:p w:rsidR="00173A8B" w:rsidRPr="00F262DB" w:rsidRDefault="00173A8B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  <w:r w:rsidRPr="00F262DB">
              <w:rPr>
                <w:b/>
                <w:bCs/>
                <w:i/>
                <w:iCs/>
                <w:sz w:val="22"/>
              </w:rPr>
              <w:t xml:space="preserve">Leishmania </w:t>
            </w:r>
            <w:proofErr w:type="spellStart"/>
            <w:r w:rsidRPr="00F262DB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237" w:type="dxa"/>
            <w:vAlign w:val="center"/>
          </w:tcPr>
          <w:p w:rsidR="00173A8B" w:rsidRPr="00F262DB" w:rsidRDefault="00173A8B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173A8B" w:rsidRPr="00F262DB" w:rsidRDefault="00173A8B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proofErr w:type="spellStart"/>
            <w:r w:rsidRPr="00F262DB">
              <w:rPr>
                <w:b/>
                <w:bCs/>
                <w:sz w:val="22"/>
              </w:rPr>
              <w:t>Clinical</w:t>
            </w:r>
            <w:proofErr w:type="spellEnd"/>
            <w:r w:rsidRPr="00F262DB">
              <w:rPr>
                <w:b/>
                <w:bCs/>
                <w:sz w:val="22"/>
              </w:rPr>
              <w:t xml:space="preserve"> </w:t>
            </w:r>
            <w:proofErr w:type="spellStart"/>
            <w:r w:rsidRPr="00F262DB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2255" w:type="dxa"/>
            <w:vAlign w:val="center"/>
          </w:tcPr>
          <w:p w:rsidR="00173A8B" w:rsidRPr="00F262DB" w:rsidRDefault="00173A8B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173A8B" w:rsidRPr="00F262DB" w:rsidRDefault="00173A8B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r w:rsidRPr="00F262DB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F262DB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277" w:type="dxa"/>
            <w:vAlign w:val="center"/>
          </w:tcPr>
          <w:p w:rsidR="00173A8B" w:rsidRPr="00F262DB" w:rsidRDefault="00173A8B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173A8B" w:rsidRPr="00F262DB" w:rsidRDefault="00173A8B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proofErr w:type="spellStart"/>
            <w:r w:rsidRPr="00F262DB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173A8B" w:rsidRPr="002C75B8" w:rsidTr="00A7768B">
        <w:tc>
          <w:tcPr>
            <w:tcW w:w="2285" w:type="dxa"/>
            <w:vAlign w:val="center"/>
          </w:tcPr>
          <w:p w:rsidR="00173A8B" w:rsidRPr="00F262DB" w:rsidRDefault="00173A8B" w:rsidP="00A776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lang w:val="en-US"/>
              </w:rPr>
            </w:pPr>
            <w:r w:rsidRPr="00F262DB">
              <w:rPr>
                <w:i/>
                <w:iCs/>
                <w:color w:val="000000"/>
                <w:sz w:val="22"/>
                <w:lang w:val="en-US"/>
              </w:rPr>
              <w:t>L infantum</w:t>
            </w:r>
          </w:p>
          <w:p w:rsidR="00173A8B" w:rsidRPr="00F262DB" w:rsidRDefault="00173A8B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7" w:type="dxa"/>
            <w:vAlign w:val="center"/>
          </w:tcPr>
          <w:p w:rsidR="00173A8B" w:rsidRPr="00F262DB" w:rsidRDefault="00173A8B" w:rsidP="00A776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lang w:val="en-US"/>
              </w:rPr>
            </w:pPr>
            <w:r w:rsidRPr="00F262DB">
              <w:rPr>
                <w:color w:val="000000"/>
                <w:sz w:val="22"/>
                <w:lang w:val="en-US"/>
              </w:rPr>
              <w:t>ZVL, CL</w:t>
            </w:r>
          </w:p>
          <w:p w:rsidR="00173A8B" w:rsidRPr="00F262DB" w:rsidRDefault="00173A8B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5" w:type="dxa"/>
            <w:vAlign w:val="center"/>
          </w:tcPr>
          <w:p w:rsidR="00173A8B" w:rsidRPr="00F262DB" w:rsidRDefault="00173A8B" w:rsidP="00A776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lang w:val="en-US"/>
              </w:rPr>
            </w:pPr>
            <w:r w:rsidRPr="00F262DB">
              <w:rPr>
                <w:i/>
                <w:iCs/>
                <w:color w:val="000000"/>
                <w:sz w:val="22"/>
                <w:lang w:val="en-US"/>
              </w:rPr>
              <w:t xml:space="preserve">P. </w:t>
            </w:r>
            <w:proofErr w:type="spellStart"/>
            <w:r w:rsidRPr="00F262DB">
              <w:rPr>
                <w:i/>
                <w:iCs/>
                <w:color w:val="000000"/>
                <w:sz w:val="22"/>
                <w:lang w:val="en-US"/>
              </w:rPr>
              <w:t>tobbi</w:t>
            </w:r>
            <w:proofErr w:type="spellEnd"/>
          </w:p>
          <w:p w:rsidR="00173A8B" w:rsidRPr="00F262DB" w:rsidRDefault="00173A8B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73A8B" w:rsidRPr="00F262DB" w:rsidRDefault="00173A8B" w:rsidP="00A7768B">
            <w:pPr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z w:val="22"/>
                <w:lang w:val="en-US"/>
              </w:rPr>
            </w:pPr>
            <w:proofErr w:type="spellStart"/>
            <w:r w:rsidRPr="00F262DB">
              <w:rPr>
                <w:i/>
                <w:iCs/>
                <w:color w:val="000000"/>
                <w:sz w:val="22"/>
                <w:lang w:val="en-US"/>
              </w:rPr>
              <w:t>Canis</w:t>
            </w:r>
            <w:proofErr w:type="spellEnd"/>
            <w:r w:rsidRPr="00F262DB">
              <w:rPr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F262DB">
              <w:rPr>
                <w:i/>
                <w:iCs/>
                <w:color w:val="000000"/>
                <w:sz w:val="22"/>
                <w:lang w:val="en-US"/>
              </w:rPr>
              <w:t>familiaris</w:t>
            </w:r>
            <w:proofErr w:type="spellEnd"/>
          </w:p>
          <w:p w:rsidR="00173A8B" w:rsidRPr="00F262DB" w:rsidRDefault="00173A8B" w:rsidP="00A776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A8B" w:rsidRPr="002C75B8" w:rsidTr="00A7768B">
        <w:tc>
          <w:tcPr>
            <w:tcW w:w="2285" w:type="dxa"/>
            <w:vAlign w:val="center"/>
          </w:tcPr>
          <w:p w:rsidR="00173A8B" w:rsidRPr="00F262DB" w:rsidRDefault="00173A8B" w:rsidP="00A7768B">
            <w:pPr>
              <w:autoSpaceDE w:val="0"/>
              <w:autoSpaceDN w:val="0"/>
              <w:adjustRightInd w:val="0"/>
              <w:rPr>
                <w:color w:val="000000"/>
                <w:sz w:val="22"/>
                <w:lang w:val="en-US"/>
              </w:rPr>
            </w:pPr>
            <w:r w:rsidRPr="00F262DB">
              <w:rPr>
                <w:i/>
                <w:iCs/>
                <w:color w:val="000000"/>
                <w:sz w:val="22"/>
                <w:lang w:val="en-US"/>
              </w:rPr>
              <w:t>L. donovani</w:t>
            </w:r>
          </w:p>
          <w:p w:rsidR="00173A8B" w:rsidRPr="00F262DB" w:rsidRDefault="00173A8B" w:rsidP="00A7768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lang w:val="en-US"/>
              </w:rPr>
            </w:pPr>
          </w:p>
        </w:tc>
        <w:tc>
          <w:tcPr>
            <w:tcW w:w="2237" w:type="dxa"/>
            <w:vAlign w:val="center"/>
          </w:tcPr>
          <w:p w:rsidR="00173A8B" w:rsidRPr="00F262DB" w:rsidRDefault="00173A8B" w:rsidP="00A776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lang w:val="en-US"/>
              </w:rPr>
            </w:pPr>
            <w:r w:rsidRPr="00F262DB">
              <w:rPr>
                <w:color w:val="000000"/>
                <w:sz w:val="22"/>
                <w:lang w:val="en-US"/>
              </w:rPr>
              <w:t>VL, CL</w:t>
            </w:r>
          </w:p>
          <w:p w:rsidR="00173A8B" w:rsidRPr="00F262DB" w:rsidRDefault="00173A8B" w:rsidP="00A7768B">
            <w:pPr>
              <w:autoSpaceDE w:val="0"/>
              <w:autoSpaceDN w:val="0"/>
              <w:adjustRightInd w:val="0"/>
              <w:rPr>
                <w:color w:val="000000"/>
                <w:sz w:val="22"/>
                <w:lang w:val="en-US"/>
              </w:rPr>
            </w:pPr>
          </w:p>
        </w:tc>
        <w:tc>
          <w:tcPr>
            <w:tcW w:w="2255" w:type="dxa"/>
            <w:vAlign w:val="center"/>
          </w:tcPr>
          <w:p w:rsidR="00173A8B" w:rsidRPr="00F262DB" w:rsidRDefault="00173A8B" w:rsidP="00A776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lang w:val="en-US"/>
              </w:rPr>
            </w:pPr>
            <w:r w:rsidRPr="00F262DB">
              <w:rPr>
                <w:color w:val="000000"/>
                <w:sz w:val="22"/>
                <w:lang w:val="en-US"/>
              </w:rPr>
              <w:t>Unknown </w:t>
            </w:r>
          </w:p>
          <w:p w:rsidR="00173A8B" w:rsidRPr="00F262DB" w:rsidRDefault="00173A8B" w:rsidP="00A7768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lang w:val="en-US"/>
              </w:rPr>
            </w:pPr>
          </w:p>
        </w:tc>
        <w:tc>
          <w:tcPr>
            <w:tcW w:w="2277" w:type="dxa"/>
            <w:vAlign w:val="center"/>
          </w:tcPr>
          <w:p w:rsidR="00173A8B" w:rsidRPr="00F262DB" w:rsidRDefault="00173A8B" w:rsidP="00A7768B">
            <w:pPr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z w:val="22"/>
                <w:lang w:val="en-US"/>
              </w:rPr>
            </w:pPr>
          </w:p>
        </w:tc>
      </w:tr>
    </w:tbl>
    <w:p w:rsidR="00173A8B" w:rsidRPr="002C75B8" w:rsidRDefault="00173A8B" w:rsidP="00173A8B">
      <w:pPr>
        <w:ind w:left="0" w:firstLine="0"/>
        <w:rPr>
          <w:b/>
          <w:bCs/>
          <w:sz w:val="22"/>
        </w:rPr>
      </w:pPr>
    </w:p>
    <w:p w:rsidR="00173A8B" w:rsidRPr="002C75B8" w:rsidRDefault="00173A8B" w:rsidP="00173A8B">
      <w:pPr>
        <w:ind w:left="0" w:firstLine="0"/>
        <w:rPr>
          <w:b/>
          <w:bCs/>
          <w:sz w:val="22"/>
        </w:rPr>
      </w:pPr>
    </w:p>
    <w:p w:rsidR="00173A8B" w:rsidRDefault="00173A8B" w:rsidP="00173A8B">
      <w:pPr>
        <w:ind w:left="0" w:firstLine="0"/>
        <w:rPr>
          <w:b/>
          <w:bCs/>
          <w:sz w:val="22"/>
        </w:rPr>
      </w:pPr>
      <w:r w:rsidRPr="002C75B8">
        <w:rPr>
          <w:b/>
          <w:bCs/>
          <w:sz w:val="22"/>
        </w:rPr>
        <w:t>MAPS AND TRENDS</w:t>
      </w:r>
    </w:p>
    <w:p w:rsidR="00173A8B" w:rsidRDefault="00173A8B" w:rsidP="00173A8B">
      <w:pPr>
        <w:ind w:left="0" w:firstLine="0"/>
        <w:rPr>
          <w:b/>
          <w:bCs/>
          <w:sz w:val="22"/>
        </w:rPr>
      </w:pPr>
    </w:p>
    <w:p w:rsidR="00173A8B" w:rsidRDefault="00173A8B" w:rsidP="00173A8B">
      <w:pPr>
        <w:ind w:left="0" w:firstLine="0"/>
        <w:rPr>
          <w:b/>
          <w:bCs/>
          <w:sz w:val="22"/>
        </w:rPr>
      </w:pPr>
      <w:r>
        <w:rPr>
          <w:b/>
          <w:bCs/>
          <w:sz w:val="22"/>
        </w:rPr>
        <w:t xml:space="preserve">Cutaneous and visceral </w:t>
      </w:r>
      <w:proofErr w:type="spellStart"/>
      <w:r>
        <w:rPr>
          <w:b/>
          <w:bCs/>
          <w:sz w:val="22"/>
        </w:rPr>
        <w:t>l</w:t>
      </w:r>
      <w:r>
        <w:rPr>
          <w:b/>
          <w:bCs/>
          <w:sz w:val="22"/>
        </w:rPr>
        <w:t>eishmaniais</w:t>
      </w:r>
      <w:proofErr w:type="spellEnd"/>
    </w:p>
    <w:p w:rsidR="00173A8B" w:rsidRDefault="00173A8B" w:rsidP="00173A8B">
      <w:pPr>
        <w:ind w:left="0" w:firstLine="0"/>
        <w:rPr>
          <w:bCs/>
          <w:sz w:val="22"/>
          <w:lang w:val="en-US"/>
        </w:rPr>
      </w:pPr>
      <w:r>
        <w:rPr>
          <w:bCs/>
          <w:noProof/>
          <w:sz w:val="2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100965</wp:posOffset>
            </wp:positionV>
            <wp:extent cx="3140075" cy="2219325"/>
            <wp:effectExtent l="19050" t="0" r="3175" b="0"/>
            <wp:wrapNone/>
            <wp:docPr id="4" name="Picture 4" descr="CYCL2006m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YCL2006mod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64770</wp:posOffset>
            </wp:positionV>
            <wp:extent cx="3097530" cy="2190115"/>
            <wp:effectExtent l="19050" t="0" r="7620" b="0"/>
            <wp:wrapNone/>
            <wp:docPr id="3" name="Picture 3" descr="CYVL2006m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YVL2006mod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219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3A8B" w:rsidRDefault="00173A8B" w:rsidP="00173A8B">
      <w:pPr>
        <w:ind w:left="0" w:firstLine="0"/>
        <w:rPr>
          <w:bCs/>
          <w:sz w:val="22"/>
          <w:lang w:val="en-US"/>
        </w:rPr>
      </w:pPr>
    </w:p>
    <w:p w:rsidR="00173A8B" w:rsidRDefault="00173A8B" w:rsidP="00173A8B">
      <w:pPr>
        <w:ind w:left="0" w:firstLine="0"/>
        <w:rPr>
          <w:bCs/>
          <w:sz w:val="22"/>
          <w:lang w:val="en-US"/>
        </w:rPr>
      </w:pPr>
    </w:p>
    <w:p w:rsidR="00173A8B" w:rsidRDefault="00173A8B" w:rsidP="00173A8B">
      <w:pPr>
        <w:ind w:left="0" w:firstLine="0"/>
        <w:rPr>
          <w:bCs/>
          <w:sz w:val="22"/>
          <w:lang w:val="en-US"/>
        </w:rPr>
      </w:pPr>
    </w:p>
    <w:p w:rsidR="00173A8B" w:rsidRDefault="00173A8B" w:rsidP="00173A8B">
      <w:pPr>
        <w:ind w:left="0" w:firstLine="0"/>
        <w:rPr>
          <w:bCs/>
          <w:sz w:val="22"/>
          <w:lang w:val="en-US"/>
        </w:rPr>
      </w:pPr>
    </w:p>
    <w:p w:rsidR="00173A8B" w:rsidRDefault="00173A8B" w:rsidP="00173A8B">
      <w:pPr>
        <w:ind w:left="0" w:firstLine="0"/>
        <w:rPr>
          <w:bCs/>
          <w:sz w:val="22"/>
          <w:lang w:val="en-US"/>
        </w:rPr>
      </w:pPr>
    </w:p>
    <w:p w:rsidR="00173A8B" w:rsidRDefault="00173A8B" w:rsidP="00173A8B">
      <w:pPr>
        <w:ind w:left="0" w:firstLine="0"/>
        <w:rPr>
          <w:bCs/>
          <w:sz w:val="22"/>
          <w:lang w:val="en-US"/>
        </w:rPr>
      </w:pPr>
    </w:p>
    <w:p w:rsidR="00173A8B" w:rsidRDefault="00173A8B" w:rsidP="00173A8B">
      <w:pPr>
        <w:ind w:left="0" w:firstLine="0"/>
        <w:rPr>
          <w:bCs/>
          <w:sz w:val="22"/>
          <w:lang w:val="en-US"/>
        </w:rPr>
      </w:pPr>
    </w:p>
    <w:p w:rsidR="00173A8B" w:rsidRDefault="00173A8B" w:rsidP="00173A8B">
      <w:pPr>
        <w:ind w:left="0" w:firstLine="0"/>
        <w:rPr>
          <w:bCs/>
          <w:sz w:val="22"/>
          <w:lang w:val="en-US"/>
        </w:rPr>
      </w:pPr>
    </w:p>
    <w:p w:rsidR="00173A8B" w:rsidRDefault="00173A8B" w:rsidP="00173A8B">
      <w:pPr>
        <w:ind w:left="0" w:firstLine="0"/>
        <w:rPr>
          <w:bCs/>
          <w:sz w:val="22"/>
          <w:lang w:val="en-US"/>
        </w:rPr>
      </w:pPr>
    </w:p>
    <w:p w:rsidR="00173A8B" w:rsidRDefault="00173A8B" w:rsidP="00173A8B">
      <w:pPr>
        <w:ind w:left="0" w:firstLine="0"/>
        <w:rPr>
          <w:bCs/>
          <w:sz w:val="22"/>
          <w:lang w:val="en-US"/>
        </w:rPr>
      </w:pPr>
    </w:p>
    <w:p w:rsidR="00173A8B" w:rsidRDefault="00173A8B" w:rsidP="00173A8B">
      <w:pPr>
        <w:ind w:left="0" w:firstLine="0"/>
        <w:rPr>
          <w:bCs/>
          <w:sz w:val="22"/>
          <w:lang w:val="en-US"/>
        </w:rPr>
      </w:pPr>
    </w:p>
    <w:p w:rsidR="00173A8B" w:rsidRDefault="00173A8B" w:rsidP="00173A8B">
      <w:pPr>
        <w:ind w:left="0" w:firstLine="0"/>
        <w:rPr>
          <w:bCs/>
          <w:sz w:val="22"/>
          <w:lang w:val="en-US"/>
        </w:rPr>
      </w:pPr>
    </w:p>
    <w:p w:rsidR="00173A8B" w:rsidRDefault="00173A8B" w:rsidP="00173A8B">
      <w:pPr>
        <w:ind w:left="0" w:firstLine="0"/>
        <w:rPr>
          <w:bCs/>
          <w:sz w:val="22"/>
          <w:lang w:val="en-US"/>
        </w:rPr>
      </w:pPr>
    </w:p>
    <w:p w:rsidR="00173A8B" w:rsidRDefault="00173A8B" w:rsidP="00173A8B">
      <w:pPr>
        <w:ind w:left="0" w:firstLine="0"/>
        <w:rPr>
          <w:bCs/>
          <w:sz w:val="22"/>
          <w:lang w:val="en-US"/>
        </w:rPr>
      </w:pPr>
    </w:p>
    <w:p w:rsidR="00173A8B" w:rsidRPr="00D41455" w:rsidRDefault="00173A8B" w:rsidP="00173A8B">
      <w:pPr>
        <w:ind w:left="0" w:firstLine="0"/>
        <w:rPr>
          <w:b/>
          <w:bCs/>
          <w:sz w:val="22"/>
        </w:rPr>
      </w:pPr>
      <w:r w:rsidRPr="00D41455">
        <w:rPr>
          <w:b/>
          <w:bCs/>
          <w:sz w:val="22"/>
        </w:rPr>
        <w:t>Leishmania</w:t>
      </w:r>
      <w:r>
        <w:rPr>
          <w:b/>
          <w:bCs/>
          <w:sz w:val="22"/>
        </w:rPr>
        <w:t>s</w:t>
      </w:r>
      <w:r w:rsidRPr="00D41455">
        <w:rPr>
          <w:b/>
          <w:bCs/>
          <w:sz w:val="22"/>
        </w:rPr>
        <w:t xml:space="preserve">is </w:t>
      </w:r>
      <w:proofErr w:type="spellStart"/>
      <w:r w:rsidRPr="00D41455">
        <w:rPr>
          <w:b/>
          <w:bCs/>
          <w:sz w:val="22"/>
        </w:rPr>
        <w:t>trend</w:t>
      </w:r>
      <w:proofErr w:type="spellEnd"/>
    </w:p>
    <w:p w:rsidR="00173A8B" w:rsidRPr="002C75B8" w:rsidRDefault="00173A8B" w:rsidP="00173A8B">
      <w:pPr>
        <w:ind w:left="0" w:firstLine="0"/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00"/>
        <w:gridCol w:w="900"/>
        <w:gridCol w:w="900"/>
      </w:tblGrid>
      <w:tr w:rsidR="00173A8B" w:rsidRPr="005C6413" w:rsidTr="00A7768B">
        <w:tc>
          <w:tcPr>
            <w:tcW w:w="1368" w:type="dxa"/>
          </w:tcPr>
          <w:p w:rsidR="00173A8B" w:rsidRPr="005C6413" w:rsidRDefault="00173A8B" w:rsidP="00A7768B">
            <w:pPr>
              <w:ind w:left="0" w:firstLine="0"/>
              <w:rPr>
                <w:rFonts w:eastAsia="Times New Roman"/>
                <w:sz w:val="22"/>
                <w:lang w:eastAsia="es-ES"/>
              </w:rPr>
            </w:pPr>
          </w:p>
        </w:tc>
        <w:tc>
          <w:tcPr>
            <w:tcW w:w="900" w:type="dxa"/>
          </w:tcPr>
          <w:p w:rsidR="00173A8B" w:rsidRPr="00812E7D" w:rsidRDefault="00173A8B" w:rsidP="00A7768B">
            <w:pPr>
              <w:ind w:left="0" w:firstLine="0"/>
              <w:rPr>
                <w:rFonts w:eastAsia="Times New Roman"/>
                <w:b/>
                <w:bCs/>
                <w:sz w:val="22"/>
                <w:lang w:eastAsia="es-ES"/>
              </w:rPr>
            </w:pPr>
            <w:r w:rsidRPr="00812E7D">
              <w:rPr>
                <w:rFonts w:eastAsia="Times New Roman"/>
                <w:b/>
                <w:bCs/>
                <w:sz w:val="22"/>
                <w:lang w:eastAsia="es-ES"/>
              </w:rPr>
              <w:t>2006</w:t>
            </w:r>
          </w:p>
        </w:tc>
        <w:tc>
          <w:tcPr>
            <w:tcW w:w="900" w:type="dxa"/>
          </w:tcPr>
          <w:p w:rsidR="00173A8B" w:rsidRPr="00812E7D" w:rsidRDefault="00173A8B" w:rsidP="00A7768B">
            <w:pPr>
              <w:ind w:left="0" w:firstLine="0"/>
              <w:rPr>
                <w:rFonts w:eastAsia="Times New Roman"/>
                <w:b/>
                <w:bCs/>
                <w:sz w:val="22"/>
                <w:lang w:eastAsia="es-ES"/>
              </w:rPr>
            </w:pPr>
            <w:r w:rsidRPr="00812E7D">
              <w:rPr>
                <w:rFonts w:eastAsia="Times New Roman"/>
                <w:b/>
                <w:bCs/>
                <w:sz w:val="22"/>
                <w:lang w:eastAsia="es-ES"/>
              </w:rPr>
              <w:t>2007</w:t>
            </w:r>
          </w:p>
        </w:tc>
        <w:tc>
          <w:tcPr>
            <w:tcW w:w="900" w:type="dxa"/>
          </w:tcPr>
          <w:p w:rsidR="00173A8B" w:rsidRPr="00812E7D" w:rsidRDefault="00173A8B" w:rsidP="00A7768B">
            <w:pPr>
              <w:ind w:left="0" w:firstLine="0"/>
              <w:rPr>
                <w:rFonts w:eastAsia="Times New Roman"/>
                <w:b/>
                <w:bCs/>
                <w:sz w:val="22"/>
                <w:lang w:eastAsia="es-ES"/>
              </w:rPr>
            </w:pPr>
            <w:r w:rsidRPr="00812E7D">
              <w:rPr>
                <w:rFonts w:eastAsia="Times New Roman"/>
                <w:b/>
                <w:bCs/>
                <w:sz w:val="22"/>
                <w:lang w:eastAsia="es-ES"/>
              </w:rPr>
              <w:t>2008</w:t>
            </w:r>
          </w:p>
        </w:tc>
      </w:tr>
      <w:tr w:rsidR="00173A8B" w:rsidRPr="005C6413" w:rsidTr="00A7768B">
        <w:tc>
          <w:tcPr>
            <w:tcW w:w="1368" w:type="dxa"/>
          </w:tcPr>
          <w:p w:rsidR="00173A8B" w:rsidRPr="00812E7D" w:rsidRDefault="00173A8B" w:rsidP="00A7768B">
            <w:pPr>
              <w:ind w:left="0" w:firstLine="0"/>
              <w:rPr>
                <w:rFonts w:eastAsia="Times New Roman"/>
                <w:b/>
                <w:bCs/>
                <w:sz w:val="22"/>
                <w:lang w:eastAsia="es-ES"/>
              </w:rPr>
            </w:pPr>
            <w:r w:rsidRPr="00812E7D">
              <w:rPr>
                <w:rFonts w:eastAsia="Times New Roman"/>
                <w:b/>
                <w:bCs/>
                <w:sz w:val="22"/>
                <w:lang w:eastAsia="es-ES"/>
              </w:rPr>
              <w:t>CL cases</w:t>
            </w:r>
          </w:p>
        </w:tc>
        <w:tc>
          <w:tcPr>
            <w:tcW w:w="900" w:type="dxa"/>
          </w:tcPr>
          <w:p w:rsidR="00173A8B" w:rsidRPr="005C6413" w:rsidRDefault="00173A8B" w:rsidP="00A7768B">
            <w:pPr>
              <w:ind w:left="0" w:firstLine="0"/>
              <w:jc w:val="center"/>
              <w:rPr>
                <w:rFonts w:eastAsia="Times New Roman"/>
                <w:sz w:val="22"/>
                <w:lang w:eastAsia="es-ES"/>
              </w:rPr>
            </w:pPr>
            <w:r w:rsidRPr="005C6413">
              <w:rPr>
                <w:rFonts w:eastAsia="Times New Roman"/>
                <w:sz w:val="22"/>
                <w:lang w:eastAsia="es-ES"/>
              </w:rPr>
              <w:t>4</w:t>
            </w:r>
          </w:p>
        </w:tc>
        <w:tc>
          <w:tcPr>
            <w:tcW w:w="900" w:type="dxa"/>
          </w:tcPr>
          <w:p w:rsidR="00173A8B" w:rsidRPr="005C6413" w:rsidRDefault="00173A8B" w:rsidP="00A7768B">
            <w:pPr>
              <w:ind w:left="0" w:firstLine="0"/>
              <w:jc w:val="center"/>
              <w:rPr>
                <w:rFonts w:eastAsia="Times New Roman"/>
                <w:sz w:val="22"/>
                <w:lang w:eastAsia="es-ES"/>
              </w:rPr>
            </w:pPr>
            <w:r w:rsidRPr="005C6413">
              <w:rPr>
                <w:rFonts w:eastAsia="Times New Roman"/>
                <w:sz w:val="22"/>
                <w:lang w:eastAsia="es-ES"/>
              </w:rPr>
              <w:t>0</w:t>
            </w:r>
          </w:p>
        </w:tc>
        <w:tc>
          <w:tcPr>
            <w:tcW w:w="900" w:type="dxa"/>
          </w:tcPr>
          <w:p w:rsidR="00173A8B" w:rsidRPr="005C6413" w:rsidRDefault="00173A8B" w:rsidP="00A7768B">
            <w:pPr>
              <w:ind w:left="0" w:firstLine="0"/>
              <w:jc w:val="center"/>
              <w:rPr>
                <w:rFonts w:eastAsia="Times New Roman"/>
                <w:sz w:val="22"/>
                <w:lang w:eastAsia="es-ES"/>
              </w:rPr>
            </w:pPr>
            <w:r w:rsidRPr="005C6413">
              <w:rPr>
                <w:rFonts w:eastAsia="Times New Roman"/>
                <w:sz w:val="22"/>
                <w:lang w:eastAsia="es-ES"/>
              </w:rPr>
              <w:t>0</w:t>
            </w:r>
          </w:p>
        </w:tc>
      </w:tr>
      <w:tr w:rsidR="00173A8B" w:rsidRPr="005C6413" w:rsidTr="00A7768B">
        <w:tc>
          <w:tcPr>
            <w:tcW w:w="1368" w:type="dxa"/>
          </w:tcPr>
          <w:p w:rsidR="00173A8B" w:rsidRPr="00812E7D" w:rsidRDefault="00173A8B" w:rsidP="00A7768B">
            <w:pPr>
              <w:ind w:left="0" w:firstLine="0"/>
              <w:rPr>
                <w:rFonts w:eastAsia="Times New Roman"/>
                <w:b/>
                <w:bCs/>
                <w:sz w:val="22"/>
                <w:lang w:eastAsia="es-ES"/>
              </w:rPr>
            </w:pPr>
            <w:r w:rsidRPr="00812E7D">
              <w:rPr>
                <w:rFonts w:eastAsia="Times New Roman"/>
                <w:b/>
                <w:bCs/>
                <w:sz w:val="22"/>
                <w:lang w:eastAsia="es-ES"/>
              </w:rPr>
              <w:t>VL cases</w:t>
            </w:r>
          </w:p>
        </w:tc>
        <w:tc>
          <w:tcPr>
            <w:tcW w:w="900" w:type="dxa"/>
          </w:tcPr>
          <w:p w:rsidR="00173A8B" w:rsidRPr="005C6413" w:rsidRDefault="00173A8B" w:rsidP="00A7768B">
            <w:pPr>
              <w:ind w:left="0" w:firstLine="0"/>
              <w:jc w:val="center"/>
              <w:rPr>
                <w:rFonts w:eastAsia="Times New Roman"/>
                <w:sz w:val="22"/>
                <w:lang w:eastAsia="es-ES"/>
              </w:rPr>
            </w:pPr>
            <w:r w:rsidRPr="005C6413">
              <w:rPr>
                <w:rFonts w:eastAsia="Times New Roman"/>
                <w:sz w:val="22"/>
                <w:lang w:eastAsia="es-ES"/>
              </w:rPr>
              <w:t>2</w:t>
            </w:r>
          </w:p>
        </w:tc>
        <w:tc>
          <w:tcPr>
            <w:tcW w:w="900" w:type="dxa"/>
          </w:tcPr>
          <w:p w:rsidR="00173A8B" w:rsidRPr="005C6413" w:rsidRDefault="00173A8B" w:rsidP="00A7768B">
            <w:pPr>
              <w:ind w:left="0" w:firstLine="0"/>
              <w:jc w:val="center"/>
              <w:rPr>
                <w:rFonts w:eastAsia="Times New Roman"/>
                <w:sz w:val="22"/>
                <w:lang w:eastAsia="es-ES"/>
              </w:rPr>
            </w:pPr>
            <w:r w:rsidRPr="005C6413">
              <w:rPr>
                <w:rFonts w:eastAsia="Times New Roman"/>
                <w:sz w:val="22"/>
                <w:lang w:eastAsia="es-ES"/>
              </w:rPr>
              <w:t>0</w:t>
            </w:r>
          </w:p>
        </w:tc>
        <w:tc>
          <w:tcPr>
            <w:tcW w:w="900" w:type="dxa"/>
          </w:tcPr>
          <w:p w:rsidR="00173A8B" w:rsidRPr="005C6413" w:rsidRDefault="00173A8B" w:rsidP="00A7768B">
            <w:pPr>
              <w:ind w:left="0" w:firstLine="0"/>
              <w:jc w:val="center"/>
              <w:rPr>
                <w:rFonts w:eastAsia="Times New Roman"/>
                <w:sz w:val="22"/>
                <w:lang w:eastAsia="es-ES"/>
              </w:rPr>
            </w:pPr>
            <w:r w:rsidRPr="005C6413">
              <w:rPr>
                <w:rFonts w:eastAsia="Times New Roman"/>
                <w:sz w:val="22"/>
                <w:lang w:eastAsia="es-ES"/>
              </w:rPr>
              <w:t>0</w:t>
            </w:r>
          </w:p>
        </w:tc>
      </w:tr>
    </w:tbl>
    <w:p w:rsidR="00173A8B" w:rsidRPr="002C75B8" w:rsidRDefault="00173A8B" w:rsidP="00173A8B">
      <w:pPr>
        <w:ind w:left="0" w:firstLine="0"/>
        <w:rPr>
          <w:rFonts w:eastAsia="Times New Roman"/>
          <w:sz w:val="22"/>
          <w:lang w:eastAsia="es-ES"/>
        </w:rPr>
      </w:pPr>
    </w:p>
    <w:p w:rsidR="00173A8B" w:rsidRDefault="00173A8B" w:rsidP="00173A8B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173A8B" w:rsidRPr="002C75B8" w:rsidRDefault="00173A8B" w:rsidP="00173A8B">
      <w:pPr>
        <w:ind w:left="0" w:firstLine="0"/>
        <w:rPr>
          <w:rFonts w:eastAsia="Times New Roman"/>
          <w:b/>
          <w:bCs/>
          <w:sz w:val="22"/>
          <w:lang w:eastAsia="es-ES"/>
        </w:rPr>
      </w:pPr>
      <w:r w:rsidRPr="002C75B8">
        <w:rPr>
          <w:rFonts w:eastAsia="Times New Roman"/>
          <w:b/>
          <w:bCs/>
          <w:sz w:val="22"/>
          <w:lang w:eastAsia="es-ES"/>
        </w:rPr>
        <w:t>CONTROL</w:t>
      </w:r>
    </w:p>
    <w:p w:rsidR="00173A8B" w:rsidRPr="002C75B8" w:rsidRDefault="00173A8B" w:rsidP="00173A8B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173A8B" w:rsidRPr="002C75B8" w:rsidRDefault="00173A8B" w:rsidP="00173A8B">
      <w:pPr>
        <w:ind w:left="0" w:firstLine="0"/>
        <w:rPr>
          <w:rFonts w:eastAsia="Times New Roman"/>
          <w:sz w:val="22"/>
          <w:lang w:val="en-US" w:eastAsia="es-ES"/>
        </w:rPr>
      </w:pPr>
      <w:r w:rsidRPr="002C75B8">
        <w:rPr>
          <w:rFonts w:eastAsia="Times New Roman"/>
          <w:sz w:val="22"/>
          <w:lang w:val="en-GB" w:eastAsia="es-ES"/>
        </w:rPr>
        <w:t xml:space="preserve">The notification of leishmaniasis in humans and dogs is mandatory in the country. There is no </w:t>
      </w:r>
      <w:r w:rsidRPr="002C75B8">
        <w:rPr>
          <w:rFonts w:eastAsia="Times New Roman"/>
          <w:sz w:val="22"/>
          <w:lang w:val="en-US" w:eastAsia="es-ES"/>
        </w:rPr>
        <w:t xml:space="preserve">national </w:t>
      </w:r>
      <w:r>
        <w:rPr>
          <w:rFonts w:eastAsia="Times New Roman"/>
          <w:sz w:val="22"/>
          <w:lang w:val="en-US" w:eastAsia="es-ES"/>
        </w:rPr>
        <w:t>l</w:t>
      </w:r>
      <w:r w:rsidRPr="002C75B8">
        <w:rPr>
          <w:rFonts w:eastAsia="Times New Roman"/>
          <w:sz w:val="22"/>
          <w:lang w:val="en-US" w:eastAsia="es-ES"/>
        </w:rPr>
        <w:t>eishmaniasis control program. There is no leishmaniasis vector control program</w:t>
      </w:r>
      <w:r>
        <w:rPr>
          <w:rFonts w:eastAsia="Times New Roman"/>
          <w:sz w:val="22"/>
          <w:lang w:val="en-US" w:eastAsia="es-ES"/>
        </w:rPr>
        <w:t>,</w:t>
      </w:r>
      <w:r w:rsidRPr="002C75B8">
        <w:rPr>
          <w:rFonts w:eastAsia="Times New Roman"/>
          <w:sz w:val="22"/>
          <w:lang w:val="en-US" w:eastAsia="es-ES"/>
        </w:rPr>
        <w:t xml:space="preserve"> although regular insecticide spraying is done</w:t>
      </w:r>
      <w:r>
        <w:rPr>
          <w:rFonts w:eastAsia="Times New Roman"/>
          <w:sz w:val="22"/>
          <w:lang w:val="en-US" w:eastAsia="es-ES"/>
        </w:rPr>
        <w:t>,</w:t>
      </w:r>
      <w:r w:rsidRPr="002C75B8">
        <w:rPr>
          <w:rFonts w:eastAsia="Times New Roman"/>
          <w:sz w:val="22"/>
          <w:lang w:val="en-US" w:eastAsia="es-ES"/>
        </w:rPr>
        <w:t xml:space="preserve"> and no leishmaniasis reservoir control program. </w:t>
      </w:r>
    </w:p>
    <w:p w:rsidR="00173A8B" w:rsidRPr="002C75B8" w:rsidRDefault="00173A8B" w:rsidP="00173A8B">
      <w:pPr>
        <w:ind w:left="0" w:firstLine="0"/>
        <w:rPr>
          <w:rFonts w:eastAsia="Times New Roman"/>
          <w:sz w:val="22"/>
          <w:lang w:val="en-GB" w:eastAsia="es-ES"/>
        </w:rPr>
      </w:pPr>
    </w:p>
    <w:p w:rsidR="00173A8B" w:rsidRDefault="00173A8B" w:rsidP="00173A8B">
      <w:pPr>
        <w:ind w:left="0" w:firstLine="0"/>
        <w:rPr>
          <w:rFonts w:eastAsia="Times New Roman"/>
          <w:sz w:val="22"/>
          <w:lang w:val="en-GB" w:eastAsia="es-ES"/>
        </w:rPr>
      </w:pPr>
    </w:p>
    <w:p w:rsidR="00173A8B" w:rsidRPr="002C75B8" w:rsidRDefault="00173A8B" w:rsidP="00173A8B">
      <w:pPr>
        <w:spacing w:line="360" w:lineRule="auto"/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 xml:space="preserve">DIAGNOSIS, TREATMENT </w:t>
      </w:r>
    </w:p>
    <w:p w:rsidR="00173A8B" w:rsidRDefault="00173A8B" w:rsidP="00173A8B">
      <w:pPr>
        <w:ind w:left="0" w:firstLine="0"/>
        <w:rPr>
          <w:sz w:val="22"/>
          <w:lang w:val="en-US"/>
        </w:rPr>
      </w:pPr>
      <w:r w:rsidRPr="00AF4C12">
        <w:rPr>
          <w:b/>
          <w:bCs/>
          <w:sz w:val="22"/>
          <w:lang w:val="en-US"/>
        </w:rPr>
        <w:t>Diagnosis</w:t>
      </w:r>
      <w:r w:rsidRPr="002C75B8">
        <w:rPr>
          <w:sz w:val="22"/>
          <w:lang w:val="en-US"/>
        </w:rPr>
        <w:t xml:space="preserve">: </w:t>
      </w:r>
    </w:p>
    <w:p w:rsidR="00173A8B" w:rsidRPr="002C75B8" w:rsidRDefault="00173A8B" w:rsidP="00173A8B">
      <w:pPr>
        <w:ind w:left="0" w:firstLine="0"/>
        <w:rPr>
          <w:sz w:val="22"/>
          <w:lang w:val="en-US"/>
        </w:rPr>
      </w:pPr>
      <w:r>
        <w:rPr>
          <w:sz w:val="22"/>
          <w:lang w:val="en-US"/>
        </w:rPr>
        <w:t xml:space="preserve">CL and VL: </w:t>
      </w:r>
      <w:r w:rsidRPr="002C75B8">
        <w:rPr>
          <w:sz w:val="22"/>
          <w:lang w:val="en-US"/>
        </w:rPr>
        <w:t>microscopy, serological tests and PCR</w:t>
      </w:r>
      <w:r>
        <w:rPr>
          <w:sz w:val="22"/>
          <w:lang w:val="en-US"/>
        </w:rPr>
        <w:t>.</w:t>
      </w:r>
    </w:p>
    <w:p w:rsidR="00173A8B" w:rsidRPr="002C75B8" w:rsidRDefault="00173A8B" w:rsidP="00173A8B">
      <w:pPr>
        <w:ind w:left="0" w:firstLine="0"/>
        <w:rPr>
          <w:sz w:val="22"/>
          <w:lang w:val="en-US"/>
        </w:rPr>
      </w:pPr>
    </w:p>
    <w:p w:rsidR="00173A8B" w:rsidRPr="00AF4C12" w:rsidRDefault="00173A8B" w:rsidP="00173A8B">
      <w:pPr>
        <w:ind w:left="0" w:firstLine="0"/>
        <w:rPr>
          <w:b/>
          <w:bCs/>
          <w:sz w:val="22"/>
          <w:lang w:val="en-US"/>
        </w:rPr>
      </w:pPr>
      <w:r w:rsidRPr="00AF4C12">
        <w:rPr>
          <w:b/>
          <w:bCs/>
          <w:sz w:val="22"/>
          <w:lang w:val="en-US"/>
        </w:rPr>
        <w:t>Treatment:</w:t>
      </w:r>
    </w:p>
    <w:p w:rsidR="00173A8B" w:rsidRPr="00EF6EC8" w:rsidRDefault="00173A8B" w:rsidP="00173A8B">
      <w:pPr>
        <w:ind w:left="0" w:firstLine="0"/>
        <w:rPr>
          <w:sz w:val="22"/>
        </w:rPr>
      </w:pPr>
      <w:r w:rsidRPr="00EF6EC8">
        <w:rPr>
          <w:sz w:val="22"/>
        </w:rPr>
        <w:t xml:space="preserve">VL: amphotericin B </w:t>
      </w:r>
      <w:proofErr w:type="spellStart"/>
      <w:r w:rsidRPr="00EF6EC8">
        <w:rPr>
          <w:sz w:val="22"/>
        </w:rPr>
        <w:t>lipid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complex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or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liposomal</w:t>
      </w:r>
      <w:proofErr w:type="spellEnd"/>
      <w:r w:rsidRPr="00EF6EC8">
        <w:rPr>
          <w:sz w:val="22"/>
        </w:rPr>
        <w:t xml:space="preserve"> amphotericin B, 3 mg/kg/</w:t>
      </w:r>
      <w:proofErr w:type="spellStart"/>
      <w:r w:rsidRPr="00EF6EC8">
        <w:rPr>
          <w:sz w:val="22"/>
        </w:rPr>
        <w:t>day</w:t>
      </w:r>
      <w:proofErr w:type="spellEnd"/>
      <w:r w:rsidRPr="00EF6EC8">
        <w:rPr>
          <w:sz w:val="22"/>
        </w:rPr>
        <w:t xml:space="preserve">, </w:t>
      </w:r>
      <w:proofErr w:type="spellStart"/>
      <w:r w:rsidRPr="00EF6EC8">
        <w:rPr>
          <w:sz w:val="22"/>
        </w:rPr>
        <w:t>day</w:t>
      </w:r>
      <w:proofErr w:type="spellEnd"/>
      <w:r w:rsidRPr="00EF6EC8">
        <w:rPr>
          <w:sz w:val="22"/>
        </w:rPr>
        <w:t xml:space="preserve"> 1-5 and </w:t>
      </w:r>
      <w:proofErr w:type="spellStart"/>
      <w:r w:rsidRPr="00EF6EC8">
        <w:rPr>
          <w:sz w:val="22"/>
        </w:rPr>
        <w:t>day</w:t>
      </w:r>
      <w:proofErr w:type="spellEnd"/>
      <w:r w:rsidRPr="00EF6EC8">
        <w:rPr>
          <w:sz w:val="22"/>
        </w:rPr>
        <w:t xml:space="preserve"> 10. Cure </w:t>
      </w:r>
      <w:proofErr w:type="spellStart"/>
      <w:r w:rsidRPr="00EF6EC8">
        <w:rPr>
          <w:sz w:val="22"/>
        </w:rPr>
        <w:t>rate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is</w:t>
      </w:r>
      <w:proofErr w:type="spellEnd"/>
      <w:r w:rsidRPr="00EF6EC8">
        <w:rPr>
          <w:sz w:val="22"/>
        </w:rPr>
        <w:t xml:space="preserve"> &gt;95%. </w:t>
      </w:r>
    </w:p>
    <w:p w:rsidR="00173A8B" w:rsidRDefault="00173A8B" w:rsidP="00173A8B">
      <w:pPr>
        <w:ind w:left="0" w:firstLine="0"/>
        <w:rPr>
          <w:sz w:val="22"/>
          <w:lang w:val="en-US"/>
        </w:rPr>
      </w:pPr>
    </w:p>
    <w:p w:rsidR="00173A8B" w:rsidRPr="002C75B8" w:rsidRDefault="00173A8B" w:rsidP="00173A8B">
      <w:pPr>
        <w:spacing w:line="360" w:lineRule="auto"/>
        <w:ind w:left="0" w:firstLine="0"/>
        <w:rPr>
          <w:b/>
          <w:bCs/>
          <w:sz w:val="22"/>
          <w:lang w:val="en-US"/>
        </w:rPr>
      </w:pPr>
      <w:r w:rsidRPr="002C75B8">
        <w:rPr>
          <w:b/>
          <w:bCs/>
          <w:sz w:val="22"/>
          <w:lang w:val="en-US"/>
        </w:rPr>
        <w:lastRenderedPageBreak/>
        <w:t xml:space="preserve">ACCESS TO CARE </w:t>
      </w:r>
    </w:p>
    <w:p w:rsidR="00173A8B" w:rsidRPr="002C75B8" w:rsidRDefault="00173A8B" w:rsidP="00173A8B">
      <w:pPr>
        <w:spacing w:line="360" w:lineRule="auto"/>
        <w:ind w:left="0" w:firstLine="0"/>
        <w:rPr>
          <w:sz w:val="22"/>
          <w:lang w:val="en-GB"/>
        </w:rPr>
      </w:pPr>
      <w:r w:rsidRPr="002C75B8">
        <w:rPr>
          <w:sz w:val="22"/>
          <w:lang w:val="en-US"/>
        </w:rPr>
        <w:t xml:space="preserve">All patients are </w:t>
      </w:r>
      <w:r>
        <w:rPr>
          <w:sz w:val="22"/>
          <w:lang w:val="en-US"/>
        </w:rPr>
        <w:t xml:space="preserve">believed </w:t>
      </w:r>
      <w:r w:rsidRPr="002C75B8">
        <w:rPr>
          <w:sz w:val="22"/>
          <w:lang w:val="en-US"/>
        </w:rPr>
        <w:t>to have access to care</w:t>
      </w:r>
      <w:r>
        <w:rPr>
          <w:sz w:val="22"/>
          <w:lang w:val="en-US"/>
        </w:rPr>
        <w:t>.</w:t>
      </w:r>
    </w:p>
    <w:p w:rsidR="00173A8B" w:rsidRPr="002C75B8" w:rsidRDefault="00173A8B" w:rsidP="00173A8B">
      <w:pPr>
        <w:ind w:left="0" w:firstLine="0"/>
        <w:rPr>
          <w:sz w:val="22"/>
          <w:lang w:val="en-GB"/>
        </w:rPr>
      </w:pPr>
    </w:p>
    <w:p w:rsidR="00173A8B" w:rsidRPr="002C75B8" w:rsidRDefault="00173A8B" w:rsidP="00173A8B">
      <w:pPr>
        <w:ind w:left="0" w:firstLine="0"/>
        <w:rPr>
          <w:sz w:val="22"/>
          <w:lang w:val="en-GB"/>
        </w:rPr>
      </w:pPr>
      <w:r w:rsidRPr="002C75B8">
        <w:rPr>
          <w:b/>
          <w:sz w:val="22"/>
          <w:lang w:val="en-GB"/>
        </w:rPr>
        <w:t>ACCESS TO DRUGS</w:t>
      </w:r>
      <w:r w:rsidRPr="002C75B8">
        <w:rPr>
          <w:sz w:val="22"/>
          <w:lang w:val="en-GB"/>
        </w:rPr>
        <w:t xml:space="preserve"> </w:t>
      </w:r>
    </w:p>
    <w:p w:rsidR="00173A8B" w:rsidRPr="002C75B8" w:rsidRDefault="00173A8B" w:rsidP="00173A8B">
      <w:pPr>
        <w:ind w:left="0" w:firstLine="0"/>
        <w:rPr>
          <w:sz w:val="22"/>
          <w:lang w:val="en-GB"/>
        </w:rPr>
      </w:pPr>
    </w:p>
    <w:p w:rsidR="00173A8B" w:rsidRPr="002C75B8" w:rsidRDefault="00173A8B" w:rsidP="00173A8B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Lipid formulations of amphotericin B are registered. No antimonials are registered. Miltefosine is only registered for dogs</w:t>
      </w:r>
      <w:r>
        <w:rPr>
          <w:sz w:val="22"/>
          <w:lang w:val="en-US"/>
        </w:rPr>
        <w:t>.</w:t>
      </w:r>
      <w:r w:rsidRPr="002C75B8">
        <w:rPr>
          <w:sz w:val="22"/>
          <w:lang w:val="en-GB"/>
        </w:rPr>
        <w:t xml:space="preserve"> </w:t>
      </w:r>
    </w:p>
    <w:p w:rsidR="00173A8B" w:rsidRPr="002C75B8" w:rsidRDefault="00173A8B" w:rsidP="00173A8B">
      <w:pPr>
        <w:ind w:left="0" w:firstLine="0"/>
        <w:rPr>
          <w:sz w:val="22"/>
          <w:lang w:val="en-US"/>
        </w:rPr>
      </w:pPr>
    </w:p>
    <w:p w:rsidR="00173A8B" w:rsidRPr="002C75B8" w:rsidRDefault="00173A8B" w:rsidP="00173A8B">
      <w:pPr>
        <w:ind w:left="0" w:firstLine="0"/>
        <w:rPr>
          <w:sz w:val="22"/>
          <w:lang w:val="en-GB"/>
        </w:rPr>
      </w:pPr>
    </w:p>
    <w:p w:rsidR="00173A8B" w:rsidRPr="002C75B8" w:rsidRDefault="00173A8B" w:rsidP="00173A8B">
      <w:pPr>
        <w:spacing w:line="360" w:lineRule="auto"/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SOURCES OF INFORMATION</w:t>
      </w:r>
    </w:p>
    <w:p w:rsidR="00173A8B" w:rsidRPr="002C75B8" w:rsidRDefault="00173A8B" w:rsidP="00173A8B">
      <w:pPr>
        <w:ind w:left="0" w:firstLine="0"/>
        <w:rPr>
          <w:b/>
          <w:color w:val="000000"/>
          <w:sz w:val="22"/>
          <w:lang w:val="en-US"/>
        </w:rPr>
      </w:pPr>
    </w:p>
    <w:p w:rsidR="00173A8B" w:rsidRPr="002C75B8" w:rsidRDefault="00173A8B" w:rsidP="00173A8B">
      <w:pPr>
        <w:pStyle w:val="title1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proofErr w:type="spellStart"/>
      <w:r w:rsidRPr="002C75B8">
        <w:rPr>
          <w:rFonts w:ascii="Arial" w:hAnsi="Arial" w:cs="Arial"/>
          <w:color w:val="000000"/>
          <w:sz w:val="22"/>
          <w:szCs w:val="22"/>
        </w:rPr>
        <w:t>Deplazes</w:t>
      </w:r>
      <w:proofErr w:type="spellEnd"/>
      <w:r w:rsidRPr="002C75B8">
        <w:rPr>
          <w:rFonts w:ascii="Arial" w:hAnsi="Arial" w:cs="Arial"/>
          <w:color w:val="000000"/>
          <w:sz w:val="22"/>
          <w:szCs w:val="22"/>
        </w:rPr>
        <w:t xml:space="preserve"> P, Grimm F, </w:t>
      </w:r>
      <w:proofErr w:type="spellStart"/>
      <w:r w:rsidRPr="002C75B8">
        <w:rPr>
          <w:rFonts w:ascii="Arial" w:hAnsi="Arial" w:cs="Arial"/>
          <w:color w:val="000000"/>
          <w:sz w:val="22"/>
          <w:szCs w:val="22"/>
        </w:rPr>
        <w:t>Papaprodromou</w:t>
      </w:r>
      <w:proofErr w:type="spellEnd"/>
      <w:r w:rsidRPr="002C75B8">
        <w:rPr>
          <w:rFonts w:ascii="Arial" w:hAnsi="Arial" w:cs="Arial"/>
          <w:color w:val="000000"/>
          <w:sz w:val="22"/>
          <w:szCs w:val="22"/>
        </w:rPr>
        <w:t xml:space="preserve"> M, </w:t>
      </w:r>
      <w:proofErr w:type="spellStart"/>
      <w:r w:rsidRPr="002C75B8">
        <w:rPr>
          <w:rFonts w:ascii="Arial" w:hAnsi="Arial" w:cs="Arial"/>
          <w:color w:val="000000"/>
          <w:sz w:val="22"/>
          <w:szCs w:val="22"/>
        </w:rPr>
        <w:t>Cavaliero</w:t>
      </w:r>
      <w:proofErr w:type="spellEnd"/>
      <w:r w:rsidRPr="002C75B8">
        <w:rPr>
          <w:rFonts w:ascii="Arial" w:hAnsi="Arial" w:cs="Arial"/>
          <w:color w:val="000000"/>
          <w:sz w:val="22"/>
          <w:szCs w:val="22"/>
        </w:rPr>
        <w:t xml:space="preserve"> T, </w:t>
      </w:r>
      <w:proofErr w:type="spellStart"/>
      <w:r w:rsidRPr="002C75B8">
        <w:rPr>
          <w:rFonts w:ascii="Arial" w:hAnsi="Arial" w:cs="Arial"/>
          <w:color w:val="000000"/>
          <w:sz w:val="22"/>
          <w:szCs w:val="22"/>
        </w:rPr>
        <w:t>Gramiccia</w:t>
      </w:r>
      <w:proofErr w:type="spellEnd"/>
      <w:r w:rsidRPr="002C75B8">
        <w:rPr>
          <w:rFonts w:ascii="Arial" w:hAnsi="Arial" w:cs="Arial"/>
          <w:color w:val="000000"/>
          <w:sz w:val="22"/>
          <w:szCs w:val="22"/>
        </w:rPr>
        <w:t xml:space="preserve"> M</w:t>
      </w:r>
      <w:r>
        <w:rPr>
          <w:rFonts w:ascii="Arial" w:hAnsi="Arial" w:cs="Arial"/>
          <w:color w:val="000000"/>
          <w:sz w:val="22"/>
          <w:szCs w:val="22"/>
        </w:rPr>
        <w:t xml:space="preserve"> et al (1998)</w:t>
      </w:r>
      <w:r w:rsidRPr="002C75B8">
        <w:rPr>
          <w:rFonts w:ascii="Arial" w:hAnsi="Arial" w:cs="Arial"/>
          <w:color w:val="000000"/>
          <w:sz w:val="22"/>
          <w:szCs w:val="22"/>
        </w:rPr>
        <w:t xml:space="preserve">. </w:t>
      </w:r>
      <w:hyperlink r:id="rId8" w:history="1">
        <w:proofErr w:type="gramStart"/>
        <w:r w:rsidRPr="002C75B8">
          <w:rPr>
            <w:rFonts w:ascii="Arial" w:hAnsi="Arial" w:cs="Arial"/>
            <w:color w:val="000000"/>
            <w:sz w:val="22"/>
            <w:szCs w:val="22"/>
          </w:rPr>
          <w:t xml:space="preserve">Canine </w:t>
        </w:r>
        <w:proofErr w:type="spellStart"/>
        <w:r w:rsidRPr="002C75B8">
          <w:rPr>
            <w:rFonts w:ascii="Arial" w:hAnsi="Arial" w:cs="Arial"/>
            <w:color w:val="000000"/>
            <w:sz w:val="22"/>
            <w:szCs w:val="22"/>
          </w:rPr>
          <w:t>leishmaniosis</w:t>
        </w:r>
        <w:proofErr w:type="spellEnd"/>
        <w:r w:rsidRPr="002C75B8">
          <w:rPr>
            <w:rFonts w:ascii="Arial" w:hAnsi="Arial" w:cs="Arial"/>
            <w:color w:val="000000"/>
            <w:sz w:val="22"/>
            <w:szCs w:val="22"/>
          </w:rPr>
          <w:t xml:space="preserve"> in Cyprus due to Leishmania infantum MON 1.</w:t>
        </w:r>
        <w:proofErr w:type="gramEnd"/>
      </w:hyperlink>
      <w:r w:rsidRPr="002C75B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C75B8">
        <w:rPr>
          <w:rStyle w:val="jrnl"/>
          <w:rFonts w:ascii="Arial" w:hAnsi="Arial" w:cs="Arial"/>
          <w:color w:val="000000"/>
          <w:sz w:val="22"/>
          <w:szCs w:val="22"/>
        </w:rPr>
        <w:t>Acta</w:t>
      </w:r>
      <w:proofErr w:type="spellEnd"/>
      <w:r w:rsidRPr="002C75B8">
        <w:rPr>
          <w:rStyle w:val="jrnl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C75B8">
        <w:rPr>
          <w:rStyle w:val="jrnl"/>
          <w:rFonts w:ascii="Arial" w:hAnsi="Arial" w:cs="Arial"/>
          <w:color w:val="000000"/>
          <w:sz w:val="22"/>
          <w:szCs w:val="22"/>
        </w:rPr>
        <w:t>Trop</w:t>
      </w:r>
      <w:proofErr w:type="spellEnd"/>
      <w:r>
        <w:rPr>
          <w:rStyle w:val="src1"/>
          <w:rFonts w:ascii="Arial" w:hAnsi="Arial" w:cs="Arial"/>
          <w:color w:val="000000"/>
          <w:sz w:val="22"/>
          <w:szCs w:val="22"/>
        </w:rPr>
        <w:t xml:space="preserve"> </w:t>
      </w:r>
      <w:r w:rsidRPr="002C75B8">
        <w:rPr>
          <w:rStyle w:val="src1"/>
          <w:rFonts w:ascii="Arial" w:hAnsi="Arial" w:cs="Arial"/>
          <w:color w:val="000000"/>
          <w:sz w:val="22"/>
          <w:szCs w:val="22"/>
        </w:rPr>
        <w:t>71(2):169-78</w:t>
      </w:r>
      <w:r>
        <w:rPr>
          <w:rStyle w:val="src1"/>
          <w:rFonts w:ascii="Arial" w:hAnsi="Arial" w:cs="Arial"/>
          <w:color w:val="000000"/>
          <w:sz w:val="22"/>
          <w:szCs w:val="22"/>
        </w:rPr>
        <w:t>.</w:t>
      </w:r>
    </w:p>
    <w:p w:rsidR="00173A8B" w:rsidRPr="002C75B8" w:rsidRDefault="00173A8B" w:rsidP="00173A8B">
      <w:pPr>
        <w:ind w:left="0" w:firstLine="0"/>
        <w:rPr>
          <w:b/>
          <w:color w:val="000000"/>
          <w:sz w:val="22"/>
          <w:lang w:val="en-US"/>
        </w:rPr>
      </w:pPr>
    </w:p>
    <w:p w:rsidR="00173A8B" w:rsidRPr="002C75B8" w:rsidRDefault="00173A8B" w:rsidP="00173A8B">
      <w:pPr>
        <w:pStyle w:val="title1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proofErr w:type="spellStart"/>
      <w:r w:rsidRPr="002C75B8">
        <w:rPr>
          <w:rFonts w:ascii="Arial" w:hAnsi="Arial" w:cs="Arial"/>
          <w:color w:val="000000"/>
          <w:sz w:val="22"/>
          <w:szCs w:val="22"/>
        </w:rPr>
        <w:t>Mazeris</w:t>
      </w:r>
      <w:proofErr w:type="spellEnd"/>
      <w:r w:rsidRPr="002C75B8">
        <w:rPr>
          <w:rFonts w:ascii="Arial" w:hAnsi="Arial" w:cs="Arial"/>
          <w:color w:val="000000"/>
          <w:sz w:val="22"/>
          <w:szCs w:val="22"/>
        </w:rPr>
        <w:t xml:space="preserve"> A, </w:t>
      </w:r>
      <w:proofErr w:type="spellStart"/>
      <w:r w:rsidRPr="002C75B8">
        <w:rPr>
          <w:rFonts w:ascii="Arial" w:hAnsi="Arial" w:cs="Arial"/>
          <w:color w:val="000000"/>
          <w:sz w:val="22"/>
          <w:szCs w:val="22"/>
        </w:rPr>
        <w:t>Soteriadou</w:t>
      </w:r>
      <w:proofErr w:type="spellEnd"/>
      <w:r w:rsidRPr="002C75B8">
        <w:rPr>
          <w:rFonts w:ascii="Arial" w:hAnsi="Arial" w:cs="Arial"/>
          <w:color w:val="000000"/>
          <w:sz w:val="22"/>
          <w:szCs w:val="22"/>
        </w:rPr>
        <w:t xml:space="preserve"> K, </w:t>
      </w:r>
      <w:proofErr w:type="spellStart"/>
      <w:r w:rsidRPr="002C75B8">
        <w:rPr>
          <w:rFonts w:ascii="Arial" w:hAnsi="Arial" w:cs="Arial"/>
          <w:color w:val="000000"/>
          <w:sz w:val="22"/>
          <w:szCs w:val="22"/>
        </w:rPr>
        <w:t>Dedet</w:t>
      </w:r>
      <w:proofErr w:type="spellEnd"/>
      <w:r w:rsidRPr="002C75B8">
        <w:rPr>
          <w:rFonts w:ascii="Arial" w:hAnsi="Arial" w:cs="Arial"/>
          <w:color w:val="000000"/>
          <w:sz w:val="22"/>
          <w:szCs w:val="22"/>
        </w:rPr>
        <w:t xml:space="preserve"> JP, </w:t>
      </w:r>
      <w:proofErr w:type="spellStart"/>
      <w:r w:rsidRPr="002C75B8">
        <w:rPr>
          <w:rFonts w:ascii="Arial" w:hAnsi="Arial" w:cs="Arial"/>
          <w:color w:val="000000"/>
          <w:sz w:val="22"/>
          <w:szCs w:val="22"/>
        </w:rPr>
        <w:t>Haralambous</w:t>
      </w:r>
      <w:proofErr w:type="spellEnd"/>
      <w:r w:rsidRPr="002C75B8">
        <w:rPr>
          <w:rFonts w:ascii="Arial" w:hAnsi="Arial" w:cs="Arial"/>
          <w:color w:val="000000"/>
          <w:sz w:val="22"/>
          <w:szCs w:val="22"/>
        </w:rPr>
        <w:t xml:space="preserve"> C, </w:t>
      </w:r>
      <w:proofErr w:type="spellStart"/>
      <w:r w:rsidRPr="002C75B8">
        <w:rPr>
          <w:rFonts w:ascii="Arial" w:hAnsi="Arial" w:cs="Arial"/>
          <w:color w:val="000000"/>
          <w:sz w:val="22"/>
          <w:szCs w:val="22"/>
        </w:rPr>
        <w:t>Tsatsaris</w:t>
      </w:r>
      <w:proofErr w:type="spellEnd"/>
      <w:r w:rsidRPr="002C75B8">
        <w:rPr>
          <w:rFonts w:ascii="Arial" w:hAnsi="Arial" w:cs="Arial"/>
          <w:color w:val="000000"/>
          <w:sz w:val="22"/>
          <w:szCs w:val="22"/>
        </w:rPr>
        <w:t xml:space="preserve"> A </w:t>
      </w:r>
      <w:r>
        <w:rPr>
          <w:rFonts w:ascii="Arial" w:hAnsi="Arial" w:cs="Arial"/>
          <w:color w:val="000000"/>
          <w:sz w:val="22"/>
          <w:szCs w:val="22"/>
        </w:rPr>
        <w:t>et al (2010)</w:t>
      </w:r>
      <w:r w:rsidRPr="002C75B8">
        <w:rPr>
          <w:rFonts w:ascii="Arial" w:hAnsi="Arial" w:cs="Arial"/>
          <w:color w:val="000000"/>
          <w:sz w:val="22"/>
          <w:szCs w:val="22"/>
        </w:rPr>
        <w:t xml:space="preserve">. </w:t>
      </w:r>
      <w:hyperlink r:id="rId9" w:history="1">
        <w:proofErr w:type="gramStart"/>
        <w:r w:rsidRPr="002C75B8">
          <w:rPr>
            <w:rFonts w:ascii="Arial" w:hAnsi="Arial" w:cs="Arial"/>
            <w:color w:val="000000"/>
            <w:sz w:val="22"/>
            <w:szCs w:val="22"/>
          </w:rPr>
          <w:t>Leishmaniases and the Cyprus paradox.</w:t>
        </w:r>
        <w:proofErr w:type="gramEnd"/>
      </w:hyperlink>
      <w:r w:rsidRPr="002C75B8">
        <w:rPr>
          <w:rFonts w:ascii="Arial" w:hAnsi="Arial" w:cs="Arial"/>
          <w:color w:val="000000"/>
          <w:sz w:val="22"/>
          <w:szCs w:val="22"/>
        </w:rPr>
        <w:t xml:space="preserve"> </w:t>
      </w:r>
      <w:r w:rsidRPr="002C75B8">
        <w:rPr>
          <w:rStyle w:val="jrnl"/>
          <w:rFonts w:ascii="Arial" w:hAnsi="Arial" w:cs="Arial"/>
          <w:color w:val="000000"/>
          <w:sz w:val="22"/>
          <w:szCs w:val="22"/>
        </w:rPr>
        <w:t xml:space="preserve">Am J </w:t>
      </w:r>
      <w:proofErr w:type="spellStart"/>
      <w:r w:rsidRPr="002C75B8">
        <w:rPr>
          <w:rStyle w:val="jrnl"/>
          <w:rFonts w:ascii="Arial" w:hAnsi="Arial" w:cs="Arial"/>
          <w:color w:val="000000"/>
          <w:sz w:val="22"/>
          <w:szCs w:val="22"/>
        </w:rPr>
        <w:t>Trop</w:t>
      </w:r>
      <w:proofErr w:type="spellEnd"/>
      <w:r w:rsidRPr="002C75B8">
        <w:rPr>
          <w:rStyle w:val="jrnl"/>
          <w:rFonts w:ascii="Arial" w:hAnsi="Arial" w:cs="Arial"/>
          <w:color w:val="000000"/>
          <w:sz w:val="22"/>
          <w:szCs w:val="22"/>
        </w:rPr>
        <w:t xml:space="preserve"> Med </w:t>
      </w:r>
      <w:proofErr w:type="spellStart"/>
      <w:r w:rsidRPr="002C75B8">
        <w:rPr>
          <w:rStyle w:val="jrnl"/>
          <w:rFonts w:ascii="Arial" w:hAnsi="Arial" w:cs="Arial"/>
          <w:color w:val="000000"/>
          <w:sz w:val="22"/>
          <w:szCs w:val="22"/>
        </w:rPr>
        <w:t>Hyg</w:t>
      </w:r>
      <w:proofErr w:type="spellEnd"/>
      <w:r>
        <w:rPr>
          <w:rStyle w:val="src1"/>
          <w:rFonts w:ascii="Arial" w:hAnsi="Arial" w:cs="Arial"/>
          <w:color w:val="000000"/>
          <w:sz w:val="22"/>
          <w:szCs w:val="22"/>
        </w:rPr>
        <w:t xml:space="preserve"> </w:t>
      </w:r>
      <w:r w:rsidRPr="002C75B8">
        <w:rPr>
          <w:rStyle w:val="src1"/>
          <w:rFonts w:ascii="Arial" w:hAnsi="Arial" w:cs="Arial"/>
          <w:color w:val="000000"/>
          <w:sz w:val="22"/>
          <w:szCs w:val="22"/>
        </w:rPr>
        <w:t>82(3):441-</w:t>
      </w:r>
      <w:proofErr w:type="gramStart"/>
      <w:r w:rsidRPr="002C75B8">
        <w:rPr>
          <w:rStyle w:val="src1"/>
          <w:rFonts w:ascii="Arial" w:hAnsi="Arial" w:cs="Arial"/>
          <w:color w:val="000000"/>
          <w:sz w:val="22"/>
          <w:szCs w:val="22"/>
        </w:rPr>
        <w:t>8</w:t>
      </w:r>
      <w:r>
        <w:rPr>
          <w:rStyle w:val="src1"/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173A8B" w:rsidRPr="002C75B8" w:rsidRDefault="00173A8B" w:rsidP="00173A8B">
      <w:pPr>
        <w:ind w:left="0" w:firstLine="0"/>
        <w:rPr>
          <w:b/>
          <w:color w:val="000000"/>
          <w:sz w:val="22"/>
          <w:lang w:val="en-GB"/>
        </w:rPr>
      </w:pPr>
    </w:p>
    <w:p w:rsidR="00173A8B" w:rsidRPr="002C75B8" w:rsidRDefault="00173A8B" w:rsidP="00173A8B">
      <w:pPr>
        <w:pStyle w:val="title1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3. </w:t>
      </w:r>
      <w:r w:rsidRPr="002C75B8">
        <w:rPr>
          <w:rFonts w:ascii="Arial" w:hAnsi="Arial" w:cs="Arial"/>
          <w:color w:val="000000"/>
          <w:sz w:val="22"/>
          <w:szCs w:val="22"/>
          <w:lang w:val="en-US"/>
        </w:rPr>
        <w:t xml:space="preserve">Antoniou M, </w:t>
      </w:r>
      <w:proofErr w:type="spellStart"/>
      <w:r w:rsidRPr="002C75B8">
        <w:rPr>
          <w:rFonts w:ascii="Arial" w:hAnsi="Arial" w:cs="Arial"/>
          <w:color w:val="000000"/>
          <w:sz w:val="22"/>
          <w:szCs w:val="22"/>
          <w:lang w:val="en-US"/>
        </w:rPr>
        <w:t>Haralambous</w:t>
      </w:r>
      <w:proofErr w:type="spellEnd"/>
      <w:r w:rsidRPr="002C75B8">
        <w:rPr>
          <w:rFonts w:ascii="Arial" w:hAnsi="Arial" w:cs="Arial"/>
          <w:color w:val="000000"/>
          <w:sz w:val="22"/>
          <w:szCs w:val="22"/>
          <w:lang w:val="en-US"/>
        </w:rPr>
        <w:t xml:space="preserve"> C, </w:t>
      </w:r>
      <w:proofErr w:type="spellStart"/>
      <w:r w:rsidRPr="002C75B8">
        <w:rPr>
          <w:rFonts w:ascii="Arial" w:hAnsi="Arial" w:cs="Arial"/>
          <w:color w:val="000000"/>
          <w:sz w:val="22"/>
          <w:szCs w:val="22"/>
          <w:lang w:val="en-US"/>
        </w:rPr>
        <w:t>Mazeris</w:t>
      </w:r>
      <w:proofErr w:type="spellEnd"/>
      <w:r w:rsidRPr="002C75B8">
        <w:rPr>
          <w:rFonts w:ascii="Arial" w:hAnsi="Arial" w:cs="Arial"/>
          <w:color w:val="000000"/>
          <w:sz w:val="22"/>
          <w:szCs w:val="22"/>
          <w:lang w:val="en-US"/>
        </w:rPr>
        <w:t xml:space="preserve"> A, </w:t>
      </w:r>
      <w:proofErr w:type="spellStart"/>
      <w:r w:rsidRPr="002C75B8">
        <w:rPr>
          <w:rFonts w:ascii="Arial" w:hAnsi="Arial" w:cs="Arial"/>
          <w:color w:val="000000"/>
          <w:sz w:val="22"/>
          <w:szCs w:val="22"/>
          <w:lang w:val="en-US"/>
        </w:rPr>
        <w:t>Pratlong</w:t>
      </w:r>
      <w:proofErr w:type="spellEnd"/>
      <w:r w:rsidRPr="002C75B8">
        <w:rPr>
          <w:rFonts w:ascii="Arial" w:hAnsi="Arial" w:cs="Arial"/>
          <w:color w:val="000000"/>
          <w:sz w:val="22"/>
          <w:szCs w:val="22"/>
          <w:lang w:val="en-US"/>
        </w:rPr>
        <w:t xml:space="preserve"> F, </w:t>
      </w:r>
      <w:proofErr w:type="spellStart"/>
      <w:r w:rsidRPr="002C75B8">
        <w:rPr>
          <w:rFonts w:ascii="Arial" w:hAnsi="Arial" w:cs="Arial"/>
          <w:color w:val="000000"/>
          <w:sz w:val="22"/>
          <w:szCs w:val="22"/>
          <w:lang w:val="en-US"/>
        </w:rPr>
        <w:t>Dedet</w:t>
      </w:r>
      <w:proofErr w:type="spellEnd"/>
      <w:r w:rsidRPr="002C75B8">
        <w:rPr>
          <w:rFonts w:ascii="Arial" w:hAnsi="Arial" w:cs="Arial"/>
          <w:color w:val="000000"/>
          <w:sz w:val="22"/>
          <w:szCs w:val="22"/>
          <w:lang w:val="en-US"/>
        </w:rPr>
        <w:t xml:space="preserve"> JP </w:t>
      </w:r>
      <w:r>
        <w:rPr>
          <w:rFonts w:ascii="Arial" w:hAnsi="Arial" w:cs="Arial"/>
          <w:color w:val="000000"/>
          <w:sz w:val="22"/>
          <w:szCs w:val="22"/>
          <w:lang w:val="en-US"/>
        </w:rPr>
        <w:t>et al (2008)</w:t>
      </w:r>
      <w:r w:rsidRPr="002C75B8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0" w:history="1">
        <w:r w:rsidRPr="00AF4C12">
          <w:rPr>
            <w:rFonts w:ascii="Arial" w:hAnsi="Arial" w:cs="Arial"/>
            <w:color w:val="000000"/>
            <w:sz w:val="22"/>
            <w:szCs w:val="22"/>
          </w:rPr>
          <w:t>Leishmania donovani leishmaniasis in Cyprus.</w:t>
        </w:r>
      </w:hyperlink>
      <w:r w:rsidRPr="002C75B8">
        <w:rPr>
          <w:rFonts w:ascii="Arial" w:hAnsi="Arial" w:cs="Arial"/>
          <w:color w:val="000000"/>
          <w:sz w:val="22"/>
          <w:szCs w:val="22"/>
        </w:rPr>
        <w:t xml:space="preserve"> </w:t>
      </w:r>
      <w:r w:rsidRPr="002C75B8">
        <w:rPr>
          <w:rStyle w:val="jrnl"/>
          <w:rFonts w:ascii="Arial" w:hAnsi="Arial" w:cs="Arial"/>
          <w:color w:val="000000"/>
          <w:sz w:val="22"/>
          <w:szCs w:val="22"/>
        </w:rPr>
        <w:t xml:space="preserve">Lancet Infect </w:t>
      </w:r>
      <w:proofErr w:type="spellStart"/>
      <w:r w:rsidRPr="002C75B8">
        <w:rPr>
          <w:rStyle w:val="jrnl"/>
          <w:rFonts w:ascii="Arial" w:hAnsi="Arial" w:cs="Arial"/>
          <w:color w:val="000000"/>
          <w:sz w:val="22"/>
          <w:szCs w:val="22"/>
        </w:rPr>
        <w:t>Dis</w:t>
      </w:r>
      <w:proofErr w:type="spellEnd"/>
      <w:r>
        <w:rPr>
          <w:rStyle w:val="src1"/>
          <w:rFonts w:ascii="Arial" w:hAnsi="Arial" w:cs="Arial"/>
          <w:color w:val="000000"/>
          <w:sz w:val="22"/>
          <w:szCs w:val="22"/>
        </w:rPr>
        <w:t xml:space="preserve"> </w:t>
      </w:r>
      <w:r w:rsidRPr="002C75B8">
        <w:rPr>
          <w:rStyle w:val="src1"/>
          <w:rFonts w:ascii="Arial" w:hAnsi="Arial" w:cs="Arial"/>
          <w:color w:val="000000"/>
          <w:sz w:val="22"/>
          <w:szCs w:val="22"/>
        </w:rPr>
        <w:t>8(1):6-7</w:t>
      </w:r>
      <w:r>
        <w:rPr>
          <w:rStyle w:val="src1"/>
          <w:rFonts w:ascii="Arial" w:hAnsi="Arial" w:cs="Arial"/>
          <w:color w:val="000000"/>
          <w:sz w:val="22"/>
          <w:szCs w:val="22"/>
        </w:rPr>
        <w:t>.</w:t>
      </w:r>
    </w:p>
    <w:p w:rsidR="002F7C1A" w:rsidRDefault="002F7C1A" w:rsidP="00173A8B"/>
    <w:sectPr w:rsidR="002F7C1A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73A8B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73A8B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8B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 w:line="276" w:lineRule="auto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sz w:val="22"/>
      <w:lang w:val="en-US"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spacing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spacing w:line="276" w:lineRule="auto"/>
      <w:ind w:left="1440" w:hanging="1440"/>
      <w:outlineLvl w:val="7"/>
    </w:pPr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spacing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spacing w:after="200" w:line="276" w:lineRule="auto"/>
      <w:ind w:firstLine="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173A8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src1">
    <w:name w:val="src1"/>
    <w:basedOn w:val="DefaultParagraphFont"/>
    <w:rsid w:val="00173A8B"/>
    <w:rPr>
      <w:rFonts w:cs="Times New Roman"/>
    </w:rPr>
  </w:style>
  <w:style w:type="character" w:customStyle="1" w:styleId="jrnl">
    <w:name w:val="jrnl"/>
    <w:basedOn w:val="DefaultParagraphFont"/>
    <w:rsid w:val="00173A8B"/>
    <w:rPr>
      <w:rFonts w:cs="Times New Roman"/>
    </w:rPr>
  </w:style>
  <w:style w:type="paragraph" w:customStyle="1" w:styleId="title1">
    <w:name w:val="title1"/>
    <w:basedOn w:val="Normal"/>
    <w:rsid w:val="00173A8B"/>
    <w:pPr>
      <w:ind w:left="0" w:firstLine="0"/>
      <w:jc w:val="left"/>
    </w:pPr>
    <w:rPr>
      <w:rFonts w:ascii="Times New Roman" w:eastAsia="SimSun" w:hAnsi="Times New Roman" w:cs="Times New Roman"/>
      <w:sz w:val="29"/>
      <w:szCs w:val="29"/>
      <w:lang w:val="en-GB" w:eastAsia="zh-CN"/>
    </w:rPr>
  </w:style>
  <w:style w:type="paragraph" w:customStyle="1" w:styleId="aux1">
    <w:name w:val="aux1"/>
    <w:basedOn w:val="Normal"/>
    <w:rsid w:val="00173A8B"/>
    <w:pPr>
      <w:spacing w:line="320" w:lineRule="atLeast"/>
      <w:ind w:left="0" w:firstLine="0"/>
      <w:jc w:val="left"/>
    </w:pPr>
    <w:rPr>
      <w:rFonts w:ascii="Times New Roman" w:eastAsia="SimSun" w:hAnsi="Times New Roman" w:cs="Times New Roman"/>
      <w:szCs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8B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98214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ncbi.nlm.nih.gov/pubmed/181560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0207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2012-04-01T20:15:00Z</dcterms:created>
  <dcterms:modified xsi:type="dcterms:W3CDTF">2012-04-01T20:16:00Z</dcterms:modified>
</cp:coreProperties>
</file>