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2" w:rsidRDefault="00DD09B2" w:rsidP="00DD09B2">
      <w:pPr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CAMEROON</w:t>
      </w:r>
    </w:p>
    <w:p w:rsidR="00DD09B2" w:rsidRPr="002C75B8" w:rsidRDefault="00DD09B2" w:rsidP="00DD09B2">
      <w:pPr>
        <w:ind w:left="0" w:firstLine="0"/>
        <w:rPr>
          <w:b/>
          <w:sz w:val="22"/>
          <w:u w:val="single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3200400" cy="2143760"/>
            <wp:effectExtent l="19050" t="0" r="0" b="0"/>
            <wp:docPr id="2" name="Picture 45" descr="C:\Users\admin\Documents\Downloads\CM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ocuments\Downloads\CM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1</w:t>
      </w:r>
      <w:r>
        <w:rPr>
          <w:sz w:val="22"/>
          <w:lang w:val="en-US"/>
        </w:rPr>
        <w:t>9,598,889</w:t>
      </w:r>
      <w:r w:rsidRPr="002C75B8">
        <w:rPr>
          <w:sz w:val="22"/>
          <w:lang w:val="en-US"/>
        </w:rPr>
        <w:t xml:space="preserve">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41%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4</w:t>
      </w:r>
      <w:r>
        <w:rPr>
          <w:sz w:val="22"/>
          <w:lang w:val="en-US"/>
        </w:rPr>
        <w:t>2</w:t>
      </w:r>
      <w:r w:rsidRPr="002C75B8">
        <w:rPr>
          <w:sz w:val="22"/>
          <w:lang w:val="en-US"/>
        </w:rPr>
        <w:t xml:space="preserve">%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9.6</w:t>
      </w:r>
      <w:r w:rsidRPr="002C75B8">
        <w:rPr>
          <w:sz w:val="22"/>
          <w:lang w:val="en-US"/>
        </w:rPr>
        <w:t>%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39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9%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Lower middle income economy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</w:t>
      </w:r>
      <w:r>
        <w:rPr>
          <w:sz w:val="22"/>
          <w:lang w:val="en-US"/>
        </w:rPr>
        <w:t>Low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15</w:t>
      </w:r>
      <w:r>
        <w:rPr>
          <w:sz w:val="22"/>
          <w:lang w:val="en-US"/>
        </w:rPr>
        <w:t>0</w:t>
      </w:r>
      <w:r w:rsidRPr="002C75B8">
        <w:rPr>
          <w:sz w:val="22"/>
          <w:lang w:val="en-US"/>
        </w:rPr>
        <w:t>)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6</w:t>
      </w:r>
      <w:r w:rsidRPr="002C75B8">
        <w:rPr>
          <w:sz w:val="22"/>
          <w:lang w:val="en-US"/>
        </w:rPr>
        <w:t xml:space="preserve">1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51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41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was first described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Cameroon</w:t>
          </w:r>
        </w:smartTag>
      </w:smartTag>
      <w:r w:rsidRPr="002C75B8">
        <w:rPr>
          <w:sz w:val="22"/>
          <w:lang w:val="en-US"/>
        </w:rPr>
        <w:t xml:space="preserve"> in 1930</w:t>
      </w:r>
      <w:r>
        <w:rPr>
          <w:sz w:val="22"/>
          <w:lang w:val="en-US"/>
        </w:rPr>
        <w:t xml:space="preserve"> [1].</w:t>
      </w:r>
      <w:r w:rsidRPr="002C75B8">
        <w:rPr>
          <w:sz w:val="22"/>
          <w:lang w:val="en-US"/>
        </w:rPr>
        <w:t xml:space="preserve"> 326 cases </w:t>
      </w:r>
      <w:r>
        <w:rPr>
          <w:sz w:val="22"/>
          <w:lang w:val="en-US"/>
        </w:rPr>
        <w:t xml:space="preserve">were reported </w:t>
      </w:r>
      <w:r w:rsidRPr="002C75B8">
        <w:rPr>
          <w:sz w:val="22"/>
          <w:lang w:val="en-US"/>
        </w:rPr>
        <w:t xml:space="preserve">in the town of </w:t>
      </w:r>
      <w:proofErr w:type="spellStart"/>
      <w:smartTag w:uri="urn:schemas-microsoft-com:office:smarttags" w:element="City">
        <w:r w:rsidRPr="002C75B8">
          <w:rPr>
            <w:sz w:val="22"/>
            <w:lang w:val="en-US"/>
          </w:rPr>
          <w:t>Garoua</w:t>
        </w:r>
      </w:smartTag>
      <w:proofErr w:type="spellEnd"/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 the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 xml:space="preserve">orth of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Cameroon</w:t>
          </w:r>
        </w:smartTag>
      </w:smartTag>
      <w:r>
        <w:rPr>
          <w:sz w:val="22"/>
          <w:lang w:val="en-US"/>
        </w:rPr>
        <w:t>;</w:t>
      </w:r>
      <w:r w:rsidRPr="002C75B8">
        <w:rPr>
          <w:sz w:val="22"/>
          <w:lang w:val="en-US"/>
        </w:rPr>
        <w:t xml:space="preserve"> the majority of cases</w:t>
      </w:r>
      <w:r>
        <w:rPr>
          <w:sz w:val="22"/>
          <w:lang w:val="en-US"/>
        </w:rPr>
        <w:t>, however,</w:t>
      </w:r>
      <w:r w:rsidRPr="002C75B8">
        <w:rPr>
          <w:sz w:val="22"/>
          <w:lang w:val="en-US"/>
        </w:rPr>
        <w:t xml:space="preserve"> were migrants from the forest zone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in the south</w:t>
      </w:r>
      <w:r>
        <w:rPr>
          <w:sz w:val="22"/>
          <w:lang w:val="en-US"/>
        </w:rPr>
        <w:t xml:space="preserve"> of the country</w:t>
      </w:r>
      <w:r w:rsidRPr="002C75B8">
        <w:rPr>
          <w:sz w:val="22"/>
          <w:lang w:val="en-US"/>
        </w:rPr>
        <w:t>. 108 further cases were reported in 1950-</w:t>
      </w:r>
      <w:smartTag w:uri="urn:schemas-microsoft-com:office:smarttags" w:element="metricconverter">
        <w:smartTagPr>
          <w:attr w:name="ProductID" w:val="1958. In"/>
        </w:smartTagPr>
        <w:r w:rsidRPr="002C75B8">
          <w:rPr>
            <w:sz w:val="22"/>
            <w:lang w:val="en-US"/>
          </w:rPr>
          <w:t>1958. In</w:t>
        </w:r>
      </w:smartTag>
      <w:r w:rsidRPr="002C75B8">
        <w:rPr>
          <w:sz w:val="22"/>
          <w:lang w:val="en-US"/>
        </w:rPr>
        <w:t xml:space="preserve"> 1972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first ca</w:t>
      </w:r>
      <w:r>
        <w:rPr>
          <w:sz w:val="22"/>
          <w:lang w:val="en-US"/>
        </w:rPr>
        <w:t xml:space="preserve">se was reported from </w:t>
      </w:r>
      <w:proofErr w:type="spellStart"/>
      <w:r>
        <w:rPr>
          <w:sz w:val="22"/>
          <w:lang w:val="en-US"/>
        </w:rPr>
        <w:t>Mokolo</w:t>
      </w:r>
      <w:proofErr w:type="spellEnd"/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 the far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 xml:space="preserve">orth of the country. A further 58 cases were found in this region </w:t>
      </w:r>
      <w:r>
        <w:rPr>
          <w:sz w:val="22"/>
          <w:lang w:val="en-US"/>
        </w:rPr>
        <w:t>during</w:t>
      </w:r>
      <w:r w:rsidRPr="002C75B8">
        <w:rPr>
          <w:sz w:val="22"/>
          <w:lang w:val="en-US"/>
        </w:rPr>
        <w:t xml:space="preserve"> a survey </w:t>
      </w:r>
      <w:r>
        <w:rPr>
          <w:sz w:val="22"/>
          <w:lang w:val="en-US"/>
        </w:rPr>
        <w:t xml:space="preserve">held </w:t>
      </w:r>
      <w:r w:rsidRPr="002C75B8">
        <w:rPr>
          <w:sz w:val="22"/>
          <w:lang w:val="en-US"/>
        </w:rPr>
        <w:t>in 1974-1975</w:t>
      </w:r>
      <w:r>
        <w:rPr>
          <w:sz w:val="22"/>
          <w:lang w:val="en-US"/>
        </w:rPr>
        <w:t xml:space="preserve"> [2]. Between </w:t>
      </w:r>
      <w:r w:rsidRPr="002C75B8">
        <w:rPr>
          <w:sz w:val="22"/>
          <w:lang w:val="en-US"/>
        </w:rPr>
        <w:t xml:space="preserve">1976 and 1994, no data on leishmaniasis were reported.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In 1994</w:t>
      </w:r>
      <w:r w:rsidRPr="002C75B8">
        <w:rPr>
          <w:sz w:val="22"/>
          <w:lang w:val="en-US"/>
        </w:rPr>
        <w:t xml:space="preserve"> in a survey sample of 887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>from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the </w:t>
      </w:r>
      <w:proofErr w:type="spellStart"/>
      <w:r w:rsidRPr="002C75B8">
        <w:rPr>
          <w:sz w:val="22"/>
          <w:lang w:val="en-US"/>
        </w:rPr>
        <w:t>Mokolo</w:t>
      </w:r>
      <w:proofErr w:type="spellEnd"/>
      <w:r w:rsidRPr="002C75B8">
        <w:rPr>
          <w:sz w:val="22"/>
          <w:lang w:val="en-US"/>
        </w:rPr>
        <w:t xml:space="preserve"> region</w:t>
      </w:r>
      <w:r>
        <w:rPr>
          <w:sz w:val="22"/>
          <w:lang w:val="en-US"/>
        </w:rPr>
        <w:t xml:space="preserve">, </w:t>
      </w:r>
      <w:r w:rsidRPr="002C75B8">
        <w:rPr>
          <w:sz w:val="22"/>
          <w:lang w:val="en-US"/>
        </w:rPr>
        <w:t>162 pe</w:t>
      </w:r>
      <w:r>
        <w:rPr>
          <w:sz w:val="22"/>
          <w:lang w:val="en-US"/>
        </w:rPr>
        <w:t>ople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were found </w:t>
      </w:r>
      <w:r w:rsidRPr="002C75B8">
        <w:rPr>
          <w:sz w:val="22"/>
          <w:lang w:val="en-US"/>
        </w:rPr>
        <w:t xml:space="preserve">with </w:t>
      </w:r>
      <w:proofErr w:type="spellStart"/>
      <w:r w:rsidRPr="002C75B8">
        <w:rPr>
          <w:sz w:val="22"/>
          <w:lang w:val="en-US"/>
        </w:rPr>
        <w:t>leishmanian</w:t>
      </w:r>
      <w:proofErr w:type="spellEnd"/>
      <w:r w:rsidRPr="002C75B8">
        <w:rPr>
          <w:sz w:val="22"/>
          <w:lang w:val="en-US"/>
        </w:rPr>
        <w:t xml:space="preserve"> scars and 14 cases with active leishmaniasis. In a larger survey </w:t>
      </w:r>
      <w:r>
        <w:rPr>
          <w:sz w:val="22"/>
          <w:lang w:val="en-US"/>
        </w:rPr>
        <w:t>held among</w:t>
      </w:r>
      <w:r w:rsidRPr="002C75B8">
        <w:rPr>
          <w:sz w:val="22"/>
          <w:lang w:val="en-US"/>
        </w:rPr>
        <w:t xml:space="preserve"> 6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503 people</w:t>
      </w:r>
      <w:r>
        <w:rPr>
          <w:sz w:val="22"/>
          <w:lang w:val="en-US"/>
        </w:rPr>
        <w:t xml:space="preserve"> from</w:t>
      </w:r>
      <w:r w:rsidRPr="002C75B8">
        <w:rPr>
          <w:sz w:val="22"/>
          <w:lang w:val="en-US"/>
        </w:rPr>
        <w:t xml:space="preserve"> 1996</w:t>
      </w:r>
      <w:r>
        <w:rPr>
          <w:sz w:val="22"/>
          <w:lang w:val="en-US"/>
        </w:rPr>
        <w:t xml:space="preserve"> to </w:t>
      </w:r>
      <w:r w:rsidRPr="002C75B8">
        <w:rPr>
          <w:sz w:val="22"/>
          <w:lang w:val="en-US"/>
        </w:rPr>
        <w:t>1997</w:t>
      </w:r>
      <w:r>
        <w:rPr>
          <w:sz w:val="22"/>
          <w:lang w:val="en-US"/>
        </w:rPr>
        <w:t xml:space="preserve">, </w:t>
      </w:r>
      <w:r w:rsidRPr="002C75B8">
        <w:rPr>
          <w:sz w:val="22"/>
          <w:lang w:val="en-US"/>
        </w:rPr>
        <w:t xml:space="preserve">82 active cases and 40 persons with scars were identified. </w:t>
      </w:r>
      <w:proofErr w:type="spellStart"/>
      <w:r w:rsidRPr="002C75B8">
        <w:rPr>
          <w:sz w:val="22"/>
          <w:lang w:val="en-US"/>
        </w:rPr>
        <w:t>Mokolo</w:t>
      </w:r>
      <w:proofErr w:type="spellEnd"/>
      <w:r w:rsidRPr="002C75B8">
        <w:rPr>
          <w:sz w:val="22"/>
          <w:lang w:val="en-US"/>
        </w:rPr>
        <w:t xml:space="preserve"> is now thought to be the main endemic foc</w:t>
      </w:r>
      <w:r>
        <w:rPr>
          <w:sz w:val="22"/>
          <w:lang w:val="en-US"/>
        </w:rPr>
        <w:t>us</w:t>
      </w:r>
      <w:r w:rsidRPr="002C75B8">
        <w:rPr>
          <w:sz w:val="22"/>
          <w:lang w:val="en-US"/>
        </w:rPr>
        <w:t xml:space="preserve"> for CL in the country. 147 cases of CL were reported within the period Jan</w:t>
      </w:r>
      <w:r>
        <w:rPr>
          <w:sz w:val="22"/>
          <w:lang w:val="en-US"/>
        </w:rPr>
        <w:t>uary</w:t>
      </w:r>
      <w:r w:rsidRPr="002C75B8">
        <w:rPr>
          <w:sz w:val="22"/>
          <w:lang w:val="en-US"/>
        </w:rPr>
        <w:t xml:space="preserve"> 2007 to June 2009, 60% of which were younger than 15 years </w:t>
      </w:r>
      <w:r>
        <w:rPr>
          <w:sz w:val="22"/>
          <w:lang w:val="en-US"/>
        </w:rPr>
        <w:t xml:space="preserve">old </w:t>
      </w:r>
      <w:r w:rsidRPr="002C75B8">
        <w:rPr>
          <w:sz w:val="22"/>
          <w:lang w:val="en-US"/>
        </w:rPr>
        <w:t xml:space="preserve">and 52% </w:t>
      </w:r>
      <w:r>
        <w:rPr>
          <w:sz w:val="22"/>
          <w:lang w:val="en-US"/>
        </w:rPr>
        <w:t xml:space="preserve">were </w:t>
      </w:r>
      <w:r w:rsidRPr="002C75B8">
        <w:rPr>
          <w:sz w:val="22"/>
          <w:lang w:val="en-US"/>
        </w:rPr>
        <w:t>male. Underreporting is thought to be substantial</w:t>
      </w:r>
      <w:r>
        <w:rPr>
          <w:sz w:val="22"/>
          <w:lang w:val="en-US"/>
        </w:rPr>
        <w:t xml:space="preserve"> [3]</w:t>
      </w:r>
      <w:r w:rsidRPr="002C75B8">
        <w:rPr>
          <w:sz w:val="22"/>
          <w:lang w:val="en-US"/>
        </w:rPr>
        <w:t>.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Very little is known about VL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Cameroon</w:t>
          </w:r>
        </w:smartTag>
      </w:smartTag>
      <w:r w:rsidRPr="002C75B8">
        <w:rPr>
          <w:sz w:val="22"/>
          <w:lang w:val="en-US"/>
        </w:rPr>
        <w:t xml:space="preserve">. VL may be endemic in </w:t>
      </w:r>
      <w:proofErr w:type="spellStart"/>
      <w:r w:rsidRPr="002C75B8">
        <w:rPr>
          <w:sz w:val="22"/>
          <w:lang w:val="en-US"/>
        </w:rPr>
        <w:t>Kousseri</w:t>
      </w:r>
      <w:proofErr w:type="spellEnd"/>
      <w:r w:rsidRPr="002C75B8">
        <w:rPr>
          <w:sz w:val="22"/>
          <w:lang w:val="en-US"/>
        </w:rPr>
        <w:t xml:space="preserve"> region</w:t>
      </w:r>
      <w:r>
        <w:rPr>
          <w:sz w:val="22"/>
          <w:lang w:val="en-US"/>
        </w:rPr>
        <w:t xml:space="preserve"> in the</w:t>
      </w:r>
      <w:r w:rsidRPr="002C75B8">
        <w:rPr>
          <w:sz w:val="22"/>
          <w:lang w:val="en-US"/>
        </w:rPr>
        <w:t xml:space="preserve"> north </w:t>
      </w:r>
      <w:r>
        <w:rPr>
          <w:sz w:val="22"/>
          <w:lang w:val="en-US"/>
        </w:rPr>
        <w:t xml:space="preserve">of </w:t>
      </w:r>
      <w:r w:rsidRPr="002C75B8">
        <w:rPr>
          <w:sz w:val="22"/>
          <w:lang w:val="en-US"/>
        </w:rPr>
        <w:t xml:space="preserve">Cameroon. The first time a suspected case was found was in 1976. The first confirmed case was a child from the far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>orth of the country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 1986. Between 1987 and </w:t>
      </w:r>
      <w:smartTag w:uri="urn:schemas-microsoft-com:office:smarttags" w:element="metricconverter">
        <w:smartTagPr>
          <w:attr w:name="ProductID" w:val="1988, in"/>
        </w:smartTagPr>
        <w:r w:rsidRPr="002C75B8">
          <w:rPr>
            <w:sz w:val="22"/>
            <w:lang w:val="en-US"/>
          </w:rPr>
          <w:t>1988, in</w:t>
        </w:r>
      </w:smartTag>
      <w:r w:rsidRPr="002C75B8">
        <w:rPr>
          <w:sz w:val="22"/>
          <w:lang w:val="en-US"/>
        </w:rPr>
        <w:t xml:space="preserve"> a survey </w:t>
      </w:r>
      <w:r>
        <w:rPr>
          <w:sz w:val="22"/>
          <w:lang w:val="en-US"/>
        </w:rPr>
        <w:lastRenderedPageBreak/>
        <w:t>among</w:t>
      </w:r>
      <w:r w:rsidRPr="002C75B8">
        <w:rPr>
          <w:sz w:val="22"/>
          <w:lang w:val="en-US"/>
        </w:rPr>
        <w:t xml:space="preserve"> 120 </w:t>
      </w:r>
      <w:r>
        <w:rPr>
          <w:sz w:val="22"/>
          <w:lang w:val="en-US"/>
        </w:rPr>
        <w:t xml:space="preserve">persons in </w:t>
      </w:r>
      <w:proofErr w:type="spellStart"/>
      <w:r>
        <w:rPr>
          <w:sz w:val="22"/>
          <w:lang w:val="en-US"/>
        </w:rPr>
        <w:t>Kousseri</w:t>
      </w:r>
      <w:proofErr w:type="spellEnd"/>
      <w:r w:rsidRPr="002C75B8">
        <w:rPr>
          <w:sz w:val="22"/>
          <w:lang w:val="en-US"/>
        </w:rPr>
        <w:t xml:space="preserve">, 46 had clinical symptoms of VL and 9 of them were confirmed parasitologically and/or serologically </w:t>
      </w:r>
      <w:r>
        <w:rPr>
          <w:sz w:val="22"/>
          <w:lang w:val="en-US"/>
        </w:rPr>
        <w:t>[4]</w:t>
      </w:r>
      <w:r w:rsidRPr="002C75B8">
        <w:rPr>
          <w:color w:val="E36C0A"/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There are no reported cases of HIV-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co-infection.</w:t>
      </w: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DD09B2" w:rsidRPr="002C75B8" w:rsidRDefault="00DD09B2" w:rsidP="00DD09B2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D09B2" w:rsidRPr="002C75B8" w:rsidTr="00A7768B">
        <w:tc>
          <w:tcPr>
            <w:tcW w:w="2394" w:type="dxa"/>
            <w:vAlign w:val="center"/>
          </w:tcPr>
          <w:p w:rsidR="00DD09B2" w:rsidRPr="002C75B8" w:rsidRDefault="00DD09B2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DD09B2" w:rsidRPr="002C75B8" w:rsidRDefault="00DD09B2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DD09B2" w:rsidRPr="002C75B8" w:rsidRDefault="00DD09B2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DD09B2" w:rsidRPr="002C75B8" w:rsidRDefault="00DD09B2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DD09B2" w:rsidRPr="002C75B8" w:rsidRDefault="00DD09B2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DD09B2" w:rsidRPr="002C75B8" w:rsidRDefault="00DD09B2" w:rsidP="00A7768B">
            <w:pPr>
              <w:ind w:left="0" w:firstLine="0"/>
              <w:rPr>
                <w:b/>
                <w:bCs/>
                <w:sz w:val="22"/>
              </w:rPr>
            </w:pPr>
          </w:p>
          <w:p w:rsidR="00DD09B2" w:rsidRPr="002C75B8" w:rsidRDefault="00DD09B2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DD09B2" w:rsidRPr="002C75B8" w:rsidTr="00A7768B">
        <w:tc>
          <w:tcPr>
            <w:tcW w:w="2394" w:type="dxa"/>
            <w:vAlign w:val="center"/>
          </w:tcPr>
          <w:p w:rsidR="00DD09B2" w:rsidRDefault="00DD09B2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DD09B2" w:rsidRPr="002C75B8" w:rsidRDefault="00DD09B2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DD09B2" w:rsidRPr="002C75B8" w:rsidRDefault="00DD09B2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 ZCL</w:t>
            </w: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DD09B2" w:rsidRPr="002C75B8" w:rsidRDefault="00DD09B2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 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duboscqi</w:t>
            </w:r>
            <w:proofErr w:type="spellEnd"/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DD09B2" w:rsidRPr="002C75B8" w:rsidRDefault="00DD09B2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 </w:t>
            </w:r>
            <w:r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</w:t>
            </w: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nknown</w:t>
            </w:r>
          </w:p>
        </w:tc>
      </w:tr>
    </w:tbl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Cutaneous leishmaniasis</w:t>
      </w:r>
    </w:p>
    <w:p w:rsidR="00DD09B2" w:rsidRDefault="00DD09B2" w:rsidP="00DD09B2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107315</wp:posOffset>
            </wp:positionV>
            <wp:extent cx="3115945" cy="2204085"/>
            <wp:effectExtent l="19050" t="0" r="8255" b="0"/>
            <wp:wrapNone/>
            <wp:docPr id="5" name="Picture 5" descr="CM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C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107315</wp:posOffset>
            </wp:positionV>
            <wp:extent cx="3260725" cy="2305050"/>
            <wp:effectExtent l="19050" t="0" r="0" b="0"/>
            <wp:wrapNone/>
            <wp:docPr id="4" name="Picture 4" descr="CM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C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5B8">
        <w:rPr>
          <w:sz w:val="22"/>
          <w:lang w:val="en-US"/>
        </w:rPr>
        <w:t xml:space="preserve">   </w:t>
      </w: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Visceral leishmaniasis</w:t>
      </w: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314700" cy="2344420"/>
            <wp:effectExtent l="19050" t="0" r="0" b="0"/>
            <wp:docPr id="3" name="Picture 3" descr="CM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V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Cutaneous leishmaniasis trend</w:t>
      </w: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  <w:r w:rsidRPr="002F2F3C">
        <w:rPr>
          <w:sz w:val="22"/>
          <w:lang w:val="en-US"/>
        </w:rPr>
        <w:t>No reports, only data from surveys</w:t>
      </w:r>
    </w:p>
    <w:p w:rsidR="00DD09B2" w:rsidRPr="002F2F3C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DD09B2" w:rsidRPr="002C75B8" w:rsidRDefault="00DD09B2" w:rsidP="00DD09B2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DD09B2" w:rsidRPr="002C75B8" w:rsidRDefault="00DD09B2" w:rsidP="00DD09B2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>In June 2009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the Minister of Public Health reorganized the National Committee for Leprosy and </w:t>
      </w:r>
      <w:proofErr w:type="spellStart"/>
      <w:r w:rsidRPr="002C75B8">
        <w:rPr>
          <w:rFonts w:eastAsia="Times New Roman"/>
          <w:sz w:val="22"/>
          <w:lang w:val="en-US" w:eastAsia="es-ES"/>
        </w:rPr>
        <w:t>Buruli</w:t>
      </w:r>
      <w:proofErr w:type="spellEnd"/>
      <w:r w:rsidRPr="002C75B8">
        <w:rPr>
          <w:rFonts w:eastAsia="Times New Roman"/>
          <w:sz w:val="22"/>
          <w:lang w:val="en-US" w:eastAsia="es-ES"/>
        </w:rPr>
        <w:t xml:space="preserve"> ulcer </w:t>
      </w:r>
      <w:r w:rsidRPr="002F2F3C">
        <w:rPr>
          <w:rFonts w:eastAsia="Times New Roman"/>
          <w:sz w:val="22"/>
          <w:lang w:val="en-US" w:eastAsia="es-ES"/>
        </w:rPr>
        <w:t>Control (</w:t>
      </w:r>
      <w:r w:rsidRPr="002F2F3C">
        <w:rPr>
          <w:sz w:val="22"/>
          <w:lang w:val="en-US"/>
        </w:rPr>
        <w:t>CNLP2LUB)</w:t>
      </w:r>
      <w:r>
        <w:rPr>
          <w:rFonts w:eastAsia="Times New Roman"/>
          <w:sz w:val="22"/>
          <w:lang w:val="en-US" w:eastAsia="es-ES"/>
        </w:rPr>
        <w:t xml:space="preserve"> to include yaws and l</w:t>
      </w:r>
      <w:r w:rsidRPr="002F2F3C">
        <w:rPr>
          <w:rFonts w:eastAsia="Times New Roman"/>
          <w:sz w:val="22"/>
          <w:lang w:val="en-US" w:eastAsia="es-ES"/>
        </w:rPr>
        <w:t>eishmaniasis control. It is expected to be operational in 2010.</w:t>
      </w:r>
      <w:r>
        <w:rPr>
          <w:rFonts w:eastAsia="Times New Roman"/>
          <w:sz w:val="22"/>
          <w:lang w:val="en-US" w:eastAsia="es-ES"/>
        </w:rPr>
        <w:t xml:space="preserve"> </w:t>
      </w:r>
      <w:r w:rsidRPr="002F2F3C">
        <w:rPr>
          <w:rFonts w:eastAsia="Times New Roman"/>
          <w:sz w:val="22"/>
          <w:lang w:val="en-US" w:eastAsia="es-ES"/>
        </w:rPr>
        <w:t>The</w:t>
      </w:r>
      <w:r w:rsidRPr="002C75B8">
        <w:rPr>
          <w:rFonts w:eastAsia="Times New Roman"/>
          <w:sz w:val="22"/>
          <w:lang w:val="en-US" w:eastAsia="es-ES"/>
        </w:rPr>
        <w:t xml:space="preserve"> notification of leishmaniasis is not mandatory in the country. Case detection is passive. There is no leishmaniasis vector control program and no leishmaniasis reservoir control program. </w:t>
      </w: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DD09B2" w:rsidRPr="002C75B8" w:rsidRDefault="00DD09B2" w:rsidP="00DD09B2">
      <w:pPr>
        <w:ind w:left="0" w:firstLine="0"/>
        <w:rPr>
          <w:b/>
          <w:bCs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DD09B2" w:rsidRPr="002C75B8" w:rsidRDefault="00DD09B2" w:rsidP="00DD09B2">
      <w:pPr>
        <w:ind w:left="0" w:firstLine="0"/>
        <w:rPr>
          <w:bCs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CL</w:t>
      </w:r>
      <w:r>
        <w:rPr>
          <w:bCs/>
          <w:sz w:val="22"/>
          <w:lang w:val="en-US"/>
        </w:rPr>
        <w:t xml:space="preserve">: </w:t>
      </w:r>
      <w:r w:rsidRPr="002C75B8">
        <w:rPr>
          <w:bCs/>
          <w:sz w:val="22"/>
          <w:lang w:val="en-US"/>
        </w:rPr>
        <w:t>on clinical grounds, and confirmed parasitologically or serologically.</w:t>
      </w:r>
    </w:p>
    <w:p w:rsidR="00DD09B2" w:rsidRPr="002C75B8" w:rsidRDefault="00DD09B2" w:rsidP="00DD09B2">
      <w:pPr>
        <w:ind w:left="0" w:firstLine="0"/>
        <w:rPr>
          <w:bCs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DD09B2" w:rsidRPr="002C75B8" w:rsidRDefault="00DD09B2" w:rsidP="00DD09B2">
      <w:pPr>
        <w:ind w:left="0" w:firstLine="0"/>
        <w:rPr>
          <w:bCs/>
          <w:sz w:val="22"/>
          <w:lang w:val="en-US"/>
        </w:rPr>
      </w:pPr>
    </w:p>
    <w:p w:rsidR="00DD09B2" w:rsidRDefault="00DD09B2" w:rsidP="00DD09B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CL</w:t>
      </w:r>
      <w:r>
        <w:rPr>
          <w:bCs/>
          <w:sz w:val="22"/>
          <w:lang w:val="en-US"/>
        </w:rPr>
        <w:t xml:space="preserve">: </w:t>
      </w:r>
      <w:r w:rsidRPr="002C75B8">
        <w:rPr>
          <w:bCs/>
          <w:sz w:val="22"/>
          <w:lang w:val="en-US"/>
        </w:rPr>
        <w:t xml:space="preserve">a combination of </w:t>
      </w:r>
      <w:proofErr w:type="spellStart"/>
      <w:r w:rsidRPr="002C75B8">
        <w:rPr>
          <w:bCs/>
          <w:sz w:val="22"/>
          <w:lang w:val="en-US"/>
        </w:rPr>
        <w:t>allopurinol</w:t>
      </w:r>
      <w:proofErr w:type="spellEnd"/>
      <w:r w:rsidRPr="002C75B8">
        <w:rPr>
          <w:bCs/>
          <w:sz w:val="22"/>
          <w:lang w:val="en-US"/>
        </w:rPr>
        <w:t xml:space="preserve"> and </w:t>
      </w:r>
      <w:proofErr w:type="spellStart"/>
      <w:r w:rsidRPr="002C75B8">
        <w:rPr>
          <w:bCs/>
          <w:sz w:val="22"/>
          <w:lang w:val="en-US"/>
        </w:rPr>
        <w:t>metronidazole</w:t>
      </w:r>
      <w:proofErr w:type="spellEnd"/>
      <w:r>
        <w:rPr>
          <w:bCs/>
          <w:sz w:val="22"/>
          <w:lang w:val="en-US"/>
        </w:rPr>
        <w:t>,</w:t>
      </w:r>
      <w:r w:rsidRPr="002C75B8">
        <w:rPr>
          <w:bCs/>
          <w:sz w:val="22"/>
          <w:lang w:val="en-US"/>
        </w:rPr>
        <w:t xml:space="preserve"> and sometimes topical </w:t>
      </w:r>
      <w:proofErr w:type="spellStart"/>
      <w:r w:rsidRPr="002C75B8">
        <w:rPr>
          <w:bCs/>
          <w:sz w:val="22"/>
          <w:lang w:val="en-US"/>
        </w:rPr>
        <w:t>amphotericine</w:t>
      </w:r>
      <w:proofErr w:type="spellEnd"/>
      <w:r w:rsidRPr="002C75B8">
        <w:rPr>
          <w:bCs/>
          <w:sz w:val="22"/>
          <w:lang w:val="en-US"/>
        </w:rPr>
        <w:t xml:space="preserve"> B (</w:t>
      </w:r>
      <w:r>
        <w:rPr>
          <w:bCs/>
          <w:sz w:val="22"/>
          <w:lang w:val="en-US"/>
        </w:rPr>
        <w:t>if</w:t>
      </w:r>
      <w:r w:rsidRPr="002C75B8">
        <w:rPr>
          <w:bCs/>
          <w:sz w:val="22"/>
          <w:lang w:val="en-US"/>
        </w:rPr>
        <w:t xml:space="preserve"> available). In some cases</w:t>
      </w:r>
      <w:r>
        <w:rPr>
          <w:bCs/>
          <w:sz w:val="22"/>
          <w:lang w:val="en-US"/>
        </w:rPr>
        <w:t>,</w:t>
      </w:r>
      <w:r w:rsidRPr="002C75B8">
        <w:rPr>
          <w:bCs/>
          <w:sz w:val="22"/>
          <w:lang w:val="en-US"/>
        </w:rPr>
        <w:t xml:space="preserve"> these drugs were not effective. The response rate </w:t>
      </w:r>
      <w:r>
        <w:rPr>
          <w:bCs/>
          <w:sz w:val="22"/>
          <w:lang w:val="en-US"/>
        </w:rPr>
        <w:t xml:space="preserve">has </w:t>
      </w:r>
      <w:r w:rsidRPr="002C75B8">
        <w:rPr>
          <w:bCs/>
          <w:sz w:val="22"/>
          <w:lang w:val="en-US"/>
        </w:rPr>
        <w:t>not</w:t>
      </w:r>
      <w:r>
        <w:rPr>
          <w:bCs/>
          <w:sz w:val="22"/>
          <w:lang w:val="en-US"/>
        </w:rPr>
        <w:t xml:space="preserve"> been</w:t>
      </w:r>
      <w:r w:rsidRPr="002C75B8">
        <w:rPr>
          <w:bCs/>
          <w:sz w:val="22"/>
          <w:lang w:val="en-US"/>
        </w:rPr>
        <w:t xml:space="preserve"> recorded.</w:t>
      </w:r>
    </w:p>
    <w:p w:rsidR="00DD09B2" w:rsidRPr="002C75B8" w:rsidRDefault="00DD09B2" w:rsidP="00DD09B2">
      <w:pPr>
        <w:ind w:left="0" w:firstLine="0"/>
        <w:rPr>
          <w:bCs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bCs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Care for leishmaniasis is not provided for free. Patients have to pay for registration, consultation (1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5 USD), drugs (about 20 USD) and lab tests (3 USD). The leishmaniasis control program </w:t>
      </w:r>
      <w:r>
        <w:rPr>
          <w:sz w:val="22"/>
          <w:lang w:val="en-US"/>
        </w:rPr>
        <w:t>has</w:t>
      </w:r>
      <w:r w:rsidRPr="002C75B8">
        <w:rPr>
          <w:sz w:val="22"/>
          <w:lang w:val="en-US"/>
        </w:rPr>
        <w:t xml:space="preserve"> not </w:t>
      </w:r>
      <w:r>
        <w:rPr>
          <w:sz w:val="22"/>
          <w:lang w:val="en-US"/>
        </w:rPr>
        <w:t xml:space="preserve">been </w:t>
      </w:r>
      <w:r w:rsidRPr="002C75B8">
        <w:rPr>
          <w:sz w:val="22"/>
          <w:lang w:val="en-US"/>
        </w:rPr>
        <w:t>implemented</w:t>
      </w:r>
      <w:r>
        <w:rPr>
          <w:sz w:val="22"/>
          <w:lang w:val="en-US"/>
        </w:rPr>
        <w:t xml:space="preserve"> yet</w:t>
      </w:r>
      <w:r w:rsidRPr="002C75B8">
        <w:rPr>
          <w:sz w:val="22"/>
          <w:lang w:val="en-US"/>
        </w:rPr>
        <w:t xml:space="preserve"> due to a lack of funding. This means that there are no drugs for leishmaniasis at health facilities and hospitals and </w:t>
      </w:r>
      <w:r>
        <w:rPr>
          <w:sz w:val="22"/>
          <w:lang w:val="en-US"/>
        </w:rPr>
        <w:t xml:space="preserve">that there is </w:t>
      </w:r>
      <w:r w:rsidRPr="002C75B8">
        <w:rPr>
          <w:sz w:val="22"/>
          <w:lang w:val="en-US"/>
        </w:rPr>
        <w:t>a lack of trained human resources for diagnosis and treatment of leishmaniasis. Patients are often too poor to pay for the drugs themselves.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The private sector is not used. CL patients are diagnosed and treated in some of </w:t>
      </w:r>
      <w:proofErr w:type="spellStart"/>
      <w:r w:rsidRPr="002C75B8">
        <w:rPr>
          <w:sz w:val="22"/>
          <w:lang w:val="en-US"/>
        </w:rPr>
        <w:t>Moloko’s</w:t>
      </w:r>
      <w:proofErr w:type="spellEnd"/>
      <w:r w:rsidRPr="002C75B8">
        <w:rPr>
          <w:sz w:val="22"/>
          <w:lang w:val="en-US"/>
        </w:rPr>
        <w:t xml:space="preserve"> health centers or </w:t>
      </w:r>
      <w:r>
        <w:rPr>
          <w:sz w:val="22"/>
          <w:lang w:val="en-US"/>
        </w:rPr>
        <w:t xml:space="preserve">at </w:t>
      </w:r>
      <w:r w:rsidRPr="002C75B8">
        <w:rPr>
          <w:sz w:val="22"/>
          <w:lang w:val="en-US"/>
        </w:rPr>
        <w:t xml:space="preserve">the </w:t>
      </w:r>
      <w:proofErr w:type="spellStart"/>
      <w:r w:rsidRPr="002C75B8">
        <w:rPr>
          <w:sz w:val="22"/>
          <w:lang w:val="en-US"/>
        </w:rPr>
        <w:t>Moloko</w:t>
      </w:r>
      <w:proofErr w:type="spellEnd"/>
      <w:r w:rsidRPr="002C75B8">
        <w:rPr>
          <w:sz w:val="22"/>
          <w:lang w:val="en-US"/>
        </w:rPr>
        <w:t xml:space="preserve"> district hospital. Some patients are treated by ALES (Aide aux </w:t>
      </w:r>
      <w:proofErr w:type="spellStart"/>
      <w:r w:rsidRPr="002C75B8">
        <w:rPr>
          <w:sz w:val="22"/>
          <w:lang w:val="en-US"/>
        </w:rPr>
        <w:t>Lépreux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Emmaüs</w:t>
      </w:r>
      <w:proofErr w:type="spellEnd"/>
      <w:r w:rsidRPr="002C75B8">
        <w:rPr>
          <w:sz w:val="22"/>
          <w:lang w:val="en-US"/>
        </w:rPr>
        <w:t>-Suisse). VL is only diagnosed and treated in the University teaching hospital.</w:t>
      </w: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DD09B2" w:rsidRPr="002C75B8" w:rsidRDefault="00DD09B2" w:rsidP="00DD09B2">
      <w:pPr>
        <w:ind w:left="0" w:firstLine="0"/>
        <w:rPr>
          <w:sz w:val="22"/>
          <w:lang w:val="en-GB"/>
        </w:rPr>
      </w:pP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  <w:proofErr w:type="spellStart"/>
      <w:r w:rsidRPr="002C75B8">
        <w:rPr>
          <w:sz w:val="22"/>
          <w:lang w:val="en-GB"/>
        </w:rPr>
        <w:t>Metronidazole</w:t>
      </w:r>
      <w:proofErr w:type="spellEnd"/>
      <w:r w:rsidRPr="002C75B8">
        <w:rPr>
          <w:sz w:val="22"/>
          <w:lang w:val="en-GB"/>
        </w:rPr>
        <w:t xml:space="preserve"> is included in the National Essential Drug List. No drugs for leishmaniasis are included. </w:t>
      </w:r>
      <w:proofErr w:type="spellStart"/>
      <w:r w:rsidRPr="002C75B8">
        <w:rPr>
          <w:sz w:val="22"/>
          <w:lang w:val="en-GB"/>
        </w:rPr>
        <w:t>Metronidazole</w:t>
      </w:r>
      <w:proofErr w:type="spellEnd"/>
      <w:r w:rsidRPr="002C75B8">
        <w:rPr>
          <w:sz w:val="22"/>
          <w:lang w:val="en-GB"/>
        </w:rPr>
        <w:t xml:space="preserve"> and </w:t>
      </w:r>
      <w:proofErr w:type="spellStart"/>
      <w:r w:rsidRPr="002C75B8">
        <w:rPr>
          <w:sz w:val="22"/>
          <w:lang w:val="en-GB"/>
        </w:rPr>
        <w:t>allopurinol</w:t>
      </w:r>
      <w:proofErr w:type="spellEnd"/>
      <w:r w:rsidRPr="002C75B8">
        <w:rPr>
          <w:sz w:val="22"/>
          <w:lang w:val="en-GB"/>
        </w:rPr>
        <w:t xml:space="preserve"> are available in pharmacies and unregulated drug markets. No drugs for leishmaniasis are registered. </w:t>
      </w:r>
    </w:p>
    <w:p w:rsidR="00DD09B2" w:rsidRPr="002C75B8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Default="00DD09B2" w:rsidP="00DD09B2">
      <w:pPr>
        <w:ind w:left="0" w:firstLine="0"/>
        <w:rPr>
          <w:b/>
          <w:sz w:val="22"/>
          <w:lang w:val="en-US"/>
        </w:rPr>
      </w:pPr>
    </w:p>
    <w:p w:rsidR="00DD09B2" w:rsidRPr="002C75B8" w:rsidRDefault="00DD09B2" w:rsidP="00DD09B2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lastRenderedPageBreak/>
        <w:t>SOURCES OF INFORMATION</w:t>
      </w:r>
    </w:p>
    <w:p w:rsidR="00DD09B2" w:rsidRPr="002C75B8" w:rsidRDefault="00DD09B2" w:rsidP="00DD09B2">
      <w:pPr>
        <w:ind w:left="0" w:firstLine="0"/>
        <w:rPr>
          <w:color w:val="E36C0A"/>
          <w:sz w:val="22"/>
          <w:lang w:val="en-US"/>
        </w:rPr>
      </w:pPr>
    </w:p>
    <w:p w:rsidR="00DD09B2" w:rsidRPr="002F2F3C" w:rsidRDefault="00DD09B2" w:rsidP="00DD09B2">
      <w:pPr>
        <w:numPr>
          <w:ilvl w:val="0"/>
          <w:numId w:val="5"/>
        </w:numPr>
        <w:rPr>
          <w:sz w:val="22"/>
          <w:lang w:val="en-US"/>
        </w:rPr>
      </w:pPr>
      <w:r w:rsidRPr="003E38BF">
        <w:rPr>
          <w:sz w:val="23"/>
          <w:szCs w:val="23"/>
          <w:lang w:val="en-GB"/>
        </w:rPr>
        <w:t xml:space="preserve">Dr. Ernest </w:t>
      </w:r>
      <w:proofErr w:type="spellStart"/>
      <w:r w:rsidRPr="003E38BF">
        <w:rPr>
          <w:sz w:val="23"/>
          <w:szCs w:val="23"/>
          <w:lang w:val="en-GB"/>
        </w:rPr>
        <w:t>Njih</w:t>
      </w:r>
      <w:proofErr w:type="spellEnd"/>
      <w:r w:rsidRPr="003E38BF">
        <w:rPr>
          <w:sz w:val="23"/>
          <w:szCs w:val="23"/>
          <w:lang w:val="en-GB"/>
        </w:rPr>
        <w:t xml:space="preserve"> </w:t>
      </w:r>
      <w:proofErr w:type="spellStart"/>
      <w:r w:rsidRPr="003E38BF">
        <w:rPr>
          <w:sz w:val="23"/>
          <w:szCs w:val="23"/>
          <w:lang w:val="en-GB"/>
        </w:rPr>
        <w:t>Tabah</w:t>
      </w:r>
      <w:proofErr w:type="spellEnd"/>
      <w:r w:rsidRPr="003E38BF">
        <w:rPr>
          <w:sz w:val="23"/>
          <w:szCs w:val="23"/>
          <w:lang w:val="en-GB"/>
        </w:rPr>
        <w:t>, Ministry of Health</w:t>
      </w:r>
      <w:r>
        <w:rPr>
          <w:sz w:val="23"/>
          <w:szCs w:val="23"/>
          <w:lang w:val="en-GB"/>
        </w:rPr>
        <w:t>.</w:t>
      </w:r>
      <w:r w:rsidRPr="003E38BF">
        <w:rPr>
          <w:sz w:val="22"/>
          <w:lang w:val="en-GB"/>
        </w:rPr>
        <w:t xml:space="preserve"> </w:t>
      </w:r>
      <w:r w:rsidRPr="003E38BF">
        <w:rPr>
          <w:i/>
          <w:iCs/>
          <w:sz w:val="22"/>
          <w:lang w:val="en-GB"/>
        </w:rPr>
        <w:t xml:space="preserve">Consultative </w:t>
      </w:r>
      <w:proofErr w:type="gramStart"/>
      <w:r w:rsidRPr="003E38BF">
        <w:rPr>
          <w:i/>
          <w:iCs/>
          <w:sz w:val="22"/>
          <w:lang w:val="en-GB"/>
        </w:rPr>
        <w:t>Meeting  on</w:t>
      </w:r>
      <w:proofErr w:type="gramEnd"/>
      <w:r w:rsidRPr="003E38BF">
        <w:rPr>
          <w:i/>
          <w:iCs/>
          <w:sz w:val="22"/>
          <w:lang w:val="en-GB"/>
        </w:rPr>
        <w:t xml:space="preserve"> The Control of Leishmaniasis in the African Region WHO/AFRO </w:t>
      </w:r>
      <w:smartTag w:uri="urn:schemas-microsoft-com:office:smarttags" w:element="place">
        <w:smartTag w:uri="urn:schemas-microsoft-com:office:smarttags" w:element="City">
          <w:r w:rsidRPr="003E38BF">
            <w:rPr>
              <w:i/>
              <w:iCs/>
              <w:sz w:val="22"/>
              <w:lang w:val="en-GB"/>
            </w:rPr>
            <w:t>Addis Ababa</w:t>
          </w:r>
        </w:smartTag>
      </w:smartTag>
      <w:r w:rsidRPr="003E38BF">
        <w:rPr>
          <w:i/>
          <w:iCs/>
          <w:sz w:val="22"/>
          <w:lang w:val="en-GB"/>
        </w:rPr>
        <w:t>, 23-25 Feb 2010</w:t>
      </w:r>
      <w:r>
        <w:rPr>
          <w:i/>
          <w:iCs/>
          <w:sz w:val="22"/>
          <w:lang w:val="en-GB"/>
        </w:rPr>
        <w:t>.</w:t>
      </w:r>
    </w:p>
    <w:p w:rsidR="00DD09B2" w:rsidRDefault="00DD09B2" w:rsidP="00DD09B2">
      <w:pPr>
        <w:ind w:left="0" w:firstLine="0"/>
        <w:rPr>
          <w:sz w:val="22"/>
          <w:lang w:val="en-US"/>
        </w:rPr>
      </w:pPr>
    </w:p>
    <w:p w:rsidR="00DD09B2" w:rsidRPr="002F2F3C" w:rsidRDefault="00DD09B2" w:rsidP="00DD09B2">
      <w:pPr>
        <w:ind w:left="0" w:firstLine="0"/>
        <w:rPr>
          <w:sz w:val="22"/>
          <w:lang w:val="en-US"/>
        </w:rPr>
      </w:pPr>
    </w:p>
    <w:p w:rsidR="00DD09B2" w:rsidRPr="002F2F3C" w:rsidRDefault="00DD09B2" w:rsidP="00DD09B2">
      <w:pPr>
        <w:ind w:left="0" w:firstLine="0"/>
        <w:rPr>
          <w:sz w:val="22"/>
          <w:lang w:val="fr-FR"/>
        </w:rPr>
      </w:pPr>
      <w:r w:rsidRPr="002F2F3C">
        <w:rPr>
          <w:sz w:val="22"/>
          <w:lang w:val="fr-FR"/>
        </w:rPr>
        <w:t>1. Hervé (1937)</w:t>
      </w:r>
      <w:r>
        <w:rPr>
          <w:sz w:val="22"/>
          <w:lang w:val="fr-FR"/>
        </w:rPr>
        <w:t>.</w:t>
      </w:r>
      <w:r w:rsidRPr="002F2F3C">
        <w:rPr>
          <w:sz w:val="22"/>
          <w:lang w:val="fr-FR"/>
        </w:rPr>
        <w:t xml:space="preserve"> Note sur la leishmaniose cutanée au Cameroun. Ann. Méd. Pharm. Colon. </w:t>
      </w:r>
      <w:r w:rsidRPr="00A839D3">
        <w:rPr>
          <w:sz w:val="22"/>
          <w:lang w:val="fr-FR"/>
        </w:rPr>
        <w:t>35:</w:t>
      </w:r>
      <w:r w:rsidRPr="002F2F3C">
        <w:rPr>
          <w:b/>
          <w:bCs/>
          <w:sz w:val="22"/>
          <w:lang w:val="fr-FR"/>
        </w:rPr>
        <w:t xml:space="preserve"> </w:t>
      </w:r>
      <w:r w:rsidRPr="002F2F3C">
        <w:rPr>
          <w:sz w:val="22"/>
          <w:lang w:val="fr-FR"/>
        </w:rPr>
        <w:t xml:space="preserve">928-934. </w:t>
      </w:r>
    </w:p>
    <w:p w:rsidR="00DD09B2" w:rsidRPr="002F2F3C" w:rsidRDefault="00DD09B2" w:rsidP="00DD09B2">
      <w:pPr>
        <w:ind w:left="0" w:firstLine="0"/>
        <w:rPr>
          <w:sz w:val="22"/>
          <w:lang w:val="fr-FR"/>
        </w:rPr>
      </w:pPr>
    </w:p>
    <w:p w:rsidR="00DD09B2" w:rsidRPr="00B37375" w:rsidRDefault="00DD09B2" w:rsidP="00DD09B2">
      <w:pPr>
        <w:ind w:left="0" w:firstLine="0"/>
        <w:rPr>
          <w:sz w:val="22"/>
          <w:lang w:val="fr-FR"/>
        </w:rPr>
      </w:pPr>
      <w:r w:rsidRPr="002F2F3C">
        <w:rPr>
          <w:sz w:val="22"/>
          <w:lang w:val="fr-FR"/>
        </w:rPr>
        <w:t xml:space="preserve">2. </w:t>
      </w:r>
      <w:hyperlink r:id="rId9" w:history="1">
        <w:proofErr w:type="spellStart"/>
        <w:r w:rsidRPr="002F2F3C">
          <w:rPr>
            <w:sz w:val="22"/>
            <w:lang w:val="fr-FR"/>
          </w:rPr>
          <w:t>Djibrilla</w:t>
        </w:r>
        <w:proofErr w:type="spellEnd"/>
        <w:r w:rsidRPr="002F2F3C">
          <w:rPr>
            <w:sz w:val="22"/>
            <w:lang w:val="fr-FR"/>
          </w:rPr>
          <w:t xml:space="preserve"> </w:t>
        </w:r>
        <w:proofErr w:type="spellStart"/>
        <w:r w:rsidRPr="002F2F3C">
          <w:rPr>
            <w:sz w:val="22"/>
            <w:lang w:val="fr-FR"/>
          </w:rPr>
          <w:t>Kaou</w:t>
        </w:r>
        <w:proofErr w:type="spellEnd"/>
        <w:r w:rsidRPr="002F2F3C">
          <w:rPr>
            <w:sz w:val="22"/>
            <w:lang w:val="fr-FR"/>
          </w:rPr>
          <w:t xml:space="preserve"> B</w:t>
        </w:r>
      </w:hyperlink>
      <w:r w:rsidRPr="002F2F3C">
        <w:rPr>
          <w:sz w:val="22"/>
          <w:lang w:val="fr-FR"/>
        </w:rPr>
        <w:t xml:space="preserve">, </w:t>
      </w:r>
      <w:hyperlink r:id="rId10" w:history="1">
        <w:r w:rsidRPr="002F2F3C">
          <w:rPr>
            <w:sz w:val="22"/>
            <w:lang w:val="fr-FR"/>
          </w:rPr>
          <w:t>Ripert C</w:t>
        </w:r>
      </w:hyperlink>
      <w:r w:rsidRPr="002F2F3C">
        <w:rPr>
          <w:sz w:val="22"/>
          <w:lang w:val="fr-FR"/>
        </w:rPr>
        <w:t xml:space="preserve">, </w:t>
      </w:r>
      <w:hyperlink r:id="rId11" w:history="1">
        <w:r w:rsidRPr="002F2F3C">
          <w:rPr>
            <w:sz w:val="22"/>
            <w:lang w:val="fr-FR"/>
          </w:rPr>
          <w:t>Ravisse P</w:t>
        </w:r>
      </w:hyperlink>
      <w:r w:rsidRPr="002F2F3C">
        <w:rPr>
          <w:sz w:val="22"/>
          <w:lang w:val="fr-FR"/>
        </w:rPr>
        <w:t xml:space="preserve">, </w:t>
      </w:r>
      <w:hyperlink r:id="rId12" w:history="1">
        <w:r w:rsidRPr="002F2F3C">
          <w:rPr>
            <w:sz w:val="22"/>
            <w:lang w:val="fr-FR"/>
          </w:rPr>
          <w:t>Durand B</w:t>
        </w:r>
      </w:hyperlink>
      <w:r w:rsidRPr="002F2F3C">
        <w:rPr>
          <w:sz w:val="22"/>
          <w:lang w:val="fr-FR"/>
        </w:rPr>
        <w:t xml:space="preserve">, </w:t>
      </w:r>
      <w:hyperlink r:id="rId13" w:history="1">
        <w:r w:rsidRPr="002F2F3C">
          <w:rPr>
            <w:sz w:val="22"/>
            <w:lang w:val="fr-FR"/>
          </w:rPr>
          <w:t>Carrie J</w:t>
        </w:r>
      </w:hyperlink>
      <w:r>
        <w:rPr>
          <w:sz w:val="22"/>
          <w:lang w:val="en-US"/>
        </w:rPr>
        <w:t xml:space="preserve"> (1979)</w:t>
      </w:r>
      <w:r w:rsidRPr="002F2F3C">
        <w:rPr>
          <w:sz w:val="22"/>
          <w:lang w:val="fr-FR"/>
        </w:rPr>
        <w:t xml:space="preserve">. </w:t>
      </w:r>
      <w:proofErr w:type="gramStart"/>
      <w:r w:rsidRPr="00B37375">
        <w:rPr>
          <w:sz w:val="22"/>
          <w:lang w:val="en-GB"/>
        </w:rPr>
        <w:t xml:space="preserve">Epidemiologic study of the focus of cutaneous leishmaniasis in </w:t>
      </w:r>
      <w:proofErr w:type="spellStart"/>
      <w:r w:rsidRPr="00B37375">
        <w:rPr>
          <w:sz w:val="22"/>
          <w:lang w:val="en-GB"/>
        </w:rPr>
        <w:t>Mokolo</w:t>
      </w:r>
      <w:proofErr w:type="spellEnd"/>
      <w:r w:rsidRPr="00B37375">
        <w:rPr>
          <w:sz w:val="22"/>
          <w:lang w:val="en-GB"/>
        </w:rPr>
        <w:t xml:space="preserve"> (</w:t>
      </w:r>
      <w:smartTag w:uri="urn:schemas-microsoft-com:office:smarttags" w:element="place">
        <w:r w:rsidRPr="00B37375">
          <w:rPr>
            <w:sz w:val="22"/>
            <w:lang w:val="en-GB"/>
          </w:rPr>
          <w:t>North Cameroon</w:t>
        </w:r>
      </w:smartTag>
      <w:r w:rsidRPr="00B37375">
        <w:rPr>
          <w:sz w:val="22"/>
          <w:lang w:val="en-GB"/>
        </w:rPr>
        <w:t>).</w:t>
      </w:r>
      <w:proofErr w:type="gramEnd"/>
      <w:r w:rsidRPr="00B37375">
        <w:rPr>
          <w:sz w:val="22"/>
          <w:lang w:val="en-GB"/>
        </w:rPr>
        <w:t xml:space="preserve"> </w:t>
      </w:r>
      <w:hyperlink r:id="rId14" w:tooltip="Bulletin de la Société de pathologie exotique et de ses filiales." w:history="1">
        <w:r w:rsidRPr="00B37375">
          <w:rPr>
            <w:sz w:val="22"/>
            <w:lang w:val="fr-FR"/>
          </w:rPr>
          <w:t xml:space="preserve">Bull Soc </w:t>
        </w:r>
        <w:proofErr w:type="spellStart"/>
        <w:r w:rsidRPr="00B37375">
          <w:rPr>
            <w:sz w:val="22"/>
            <w:lang w:val="fr-FR"/>
          </w:rPr>
          <w:t>Pathol</w:t>
        </w:r>
        <w:proofErr w:type="spellEnd"/>
        <w:r w:rsidRPr="00B37375">
          <w:rPr>
            <w:sz w:val="22"/>
            <w:lang w:val="fr-FR"/>
          </w:rPr>
          <w:t xml:space="preserve"> </w:t>
        </w:r>
        <w:proofErr w:type="spellStart"/>
        <w:r w:rsidRPr="00B37375">
          <w:rPr>
            <w:sz w:val="22"/>
            <w:lang w:val="fr-FR"/>
          </w:rPr>
          <w:t>Exot</w:t>
        </w:r>
        <w:proofErr w:type="spellEnd"/>
        <w:r w:rsidRPr="00B37375">
          <w:rPr>
            <w:sz w:val="22"/>
            <w:lang w:val="fr-FR"/>
          </w:rPr>
          <w:t xml:space="preserve"> Filiales.</w:t>
        </w:r>
      </w:hyperlink>
      <w:r w:rsidRPr="00B37375">
        <w:rPr>
          <w:sz w:val="22"/>
          <w:lang w:val="fr-FR"/>
        </w:rPr>
        <w:t xml:space="preserve">72(5-6):442-50. </w:t>
      </w:r>
    </w:p>
    <w:p w:rsidR="00DD09B2" w:rsidRPr="00B37375" w:rsidRDefault="00DD09B2" w:rsidP="00DD09B2">
      <w:pPr>
        <w:ind w:left="0" w:firstLine="0"/>
        <w:rPr>
          <w:sz w:val="22"/>
          <w:lang w:val="fr-FR"/>
        </w:rPr>
      </w:pPr>
    </w:p>
    <w:p w:rsidR="00DD09B2" w:rsidRDefault="00DD09B2" w:rsidP="00DD09B2">
      <w:pPr>
        <w:ind w:left="0" w:firstLine="0"/>
        <w:rPr>
          <w:sz w:val="22"/>
          <w:lang w:val="fr-FR"/>
        </w:rPr>
      </w:pPr>
      <w:r w:rsidRPr="002F2F3C">
        <w:rPr>
          <w:sz w:val="22"/>
          <w:lang w:val="fr-FR"/>
        </w:rPr>
        <w:t xml:space="preserve">3. </w:t>
      </w:r>
      <w:proofErr w:type="spellStart"/>
      <w:r w:rsidRPr="002F2F3C">
        <w:rPr>
          <w:sz w:val="22"/>
          <w:lang w:val="fr-FR"/>
        </w:rPr>
        <w:t>Dondji</w:t>
      </w:r>
      <w:proofErr w:type="spellEnd"/>
      <w:r w:rsidRPr="002F2F3C">
        <w:rPr>
          <w:sz w:val="22"/>
          <w:lang w:val="fr-FR"/>
        </w:rPr>
        <w:t xml:space="preserve"> B</w:t>
      </w:r>
      <w:r>
        <w:rPr>
          <w:sz w:val="22"/>
          <w:lang w:val="fr-FR"/>
        </w:rPr>
        <w:t xml:space="preserve"> (2001)</w:t>
      </w:r>
      <w:r w:rsidRPr="002F2F3C">
        <w:rPr>
          <w:sz w:val="22"/>
          <w:lang w:val="fr-FR"/>
        </w:rPr>
        <w:t xml:space="preserve">. Leishmanioses et </w:t>
      </w:r>
      <w:proofErr w:type="spellStart"/>
      <w:r w:rsidRPr="002F2F3C">
        <w:rPr>
          <w:sz w:val="22"/>
          <w:lang w:val="fr-FR"/>
        </w:rPr>
        <w:t>phlebotomes</w:t>
      </w:r>
      <w:proofErr w:type="spellEnd"/>
      <w:r w:rsidRPr="002F2F3C">
        <w:rPr>
          <w:sz w:val="22"/>
          <w:lang w:val="fr-FR"/>
        </w:rPr>
        <w:t xml:space="preserve"> du Cameroun: le point sur les </w:t>
      </w:r>
      <w:proofErr w:type="spellStart"/>
      <w:r w:rsidRPr="002F2F3C">
        <w:rPr>
          <w:sz w:val="22"/>
          <w:lang w:val="fr-FR"/>
        </w:rPr>
        <w:t>donnees</w:t>
      </w:r>
      <w:proofErr w:type="spellEnd"/>
      <w:r w:rsidRPr="002F2F3C">
        <w:rPr>
          <w:sz w:val="22"/>
          <w:lang w:val="fr-FR"/>
        </w:rPr>
        <w:t xml:space="preserve"> actuelles. Bull Soc </w:t>
      </w:r>
      <w:proofErr w:type="spellStart"/>
      <w:r w:rsidRPr="002F2F3C">
        <w:rPr>
          <w:sz w:val="22"/>
          <w:lang w:val="fr-FR"/>
        </w:rPr>
        <w:t>Pathol</w:t>
      </w:r>
      <w:proofErr w:type="spellEnd"/>
      <w:r w:rsidRPr="002F2F3C">
        <w:rPr>
          <w:sz w:val="22"/>
          <w:lang w:val="fr-FR"/>
        </w:rPr>
        <w:t xml:space="preserve"> </w:t>
      </w:r>
      <w:proofErr w:type="spellStart"/>
      <w:r w:rsidRPr="002F2F3C">
        <w:rPr>
          <w:sz w:val="22"/>
          <w:lang w:val="fr-FR"/>
        </w:rPr>
        <w:t>Exot</w:t>
      </w:r>
      <w:proofErr w:type="spellEnd"/>
      <w:r>
        <w:rPr>
          <w:sz w:val="22"/>
          <w:lang w:val="fr-FR"/>
        </w:rPr>
        <w:t xml:space="preserve"> 94(5) :418-420.</w:t>
      </w:r>
    </w:p>
    <w:p w:rsidR="00DD09B2" w:rsidRPr="00B37375" w:rsidRDefault="00DD09B2" w:rsidP="00DD09B2">
      <w:pPr>
        <w:ind w:left="0" w:firstLine="0"/>
        <w:rPr>
          <w:sz w:val="22"/>
          <w:lang w:val="fr-FR"/>
        </w:rPr>
      </w:pPr>
    </w:p>
    <w:p w:rsidR="00DD09B2" w:rsidRPr="002F2F3C" w:rsidRDefault="00DD09B2" w:rsidP="00DD09B2">
      <w:pPr>
        <w:ind w:left="0" w:firstLine="0"/>
        <w:rPr>
          <w:sz w:val="22"/>
          <w:lang w:val="fr-FR"/>
        </w:rPr>
      </w:pPr>
      <w:r w:rsidRPr="00B37375">
        <w:rPr>
          <w:sz w:val="22"/>
          <w:lang w:val="fr-FR"/>
        </w:rPr>
        <w:t xml:space="preserve">4. </w:t>
      </w:r>
      <w:proofErr w:type="spellStart"/>
      <w:r w:rsidRPr="00B37375">
        <w:rPr>
          <w:sz w:val="22"/>
          <w:lang w:val="fr-FR"/>
        </w:rPr>
        <w:t>Kaptue</w:t>
      </w:r>
      <w:proofErr w:type="spellEnd"/>
      <w:r w:rsidRPr="00B37375">
        <w:rPr>
          <w:sz w:val="22"/>
          <w:lang w:val="fr-FR"/>
        </w:rPr>
        <w:t xml:space="preserve"> L, </w:t>
      </w:r>
      <w:proofErr w:type="spellStart"/>
      <w:r w:rsidRPr="00B37375">
        <w:rPr>
          <w:sz w:val="22"/>
          <w:lang w:val="fr-FR"/>
        </w:rPr>
        <w:t>Zekeng</w:t>
      </w:r>
      <w:proofErr w:type="spellEnd"/>
      <w:r w:rsidRPr="00B37375">
        <w:rPr>
          <w:sz w:val="22"/>
          <w:lang w:val="fr-FR"/>
        </w:rPr>
        <w:t xml:space="preserve"> L, </w:t>
      </w:r>
      <w:proofErr w:type="spellStart"/>
      <w:r w:rsidRPr="00B37375">
        <w:rPr>
          <w:sz w:val="22"/>
          <w:lang w:val="fr-FR"/>
        </w:rPr>
        <w:t>Fomekong</w:t>
      </w:r>
      <w:proofErr w:type="spellEnd"/>
      <w:r w:rsidRPr="00B37375">
        <w:rPr>
          <w:sz w:val="22"/>
          <w:lang w:val="fr-FR"/>
        </w:rPr>
        <w:t xml:space="preserve"> E, </w:t>
      </w:r>
      <w:proofErr w:type="spellStart"/>
      <w:r w:rsidRPr="00B37375">
        <w:rPr>
          <w:sz w:val="22"/>
          <w:lang w:val="fr-FR"/>
        </w:rPr>
        <w:t>Nsangou</w:t>
      </w:r>
      <w:proofErr w:type="spellEnd"/>
      <w:r w:rsidRPr="00B37375">
        <w:rPr>
          <w:sz w:val="22"/>
          <w:lang w:val="fr-FR"/>
        </w:rPr>
        <w:t xml:space="preserve"> A, </w:t>
      </w:r>
      <w:proofErr w:type="spellStart"/>
      <w:r w:rsidRPr="00B37375">
        <w:rPr>
          <w:sz w:val="22"/>
          <w:lang w:val="fr-FR"/>
        </w:rPr>
        <w:t>Tagu</w:t>
      </w:r>
      <w:proofErr w:type="spellEnd"/>
      <w:r w:rsidRPr="00B37375">
        <w:rPr>
          <w:sz w:val="22"/>
          <w:lang w:val="fr-FR"/>
        </w:rPr>
        <w:t xml:space="preserve"> JP</w:t>
      </w:r>
      <w:r>
        <w:rPr>
          <w:sz w:val="22"/>
          <w:lang w:val="fr-FR"/>
        </w:rPr>
        <w:t xml:space="preserve"> Sanofi (1992)</w:t>
      </w:r>
      <w:r w:rsidRPr="00B37375">
        <w:rPr>
          <w:sz w:val="22"/>
          <w:lang w:val="fr-FR"/>
        </w:rPr>
        <w:t xml:space="preserve">. La leishmaniose viscérale au Cameroun. </w:t>
      </w:r>
      <w:r w:rsidRPr="002F2F3C">
        <w:rPr>
          <w:sz w:val="22"/>
          <w:lang w:val="fr-FR"/>
        </w:rPr>
        <w:t xml:space="preserve">A propos de quelques observations et d’une prospection clinique dans la région de </w:t>
      </w:r>
      <w:proofErr w:type="spellStart"/>
      <w:r w:rsidRPr="002F2F3C">
        <w:rPr>
          <w:sz w:val="22"/>
          <w:lang w:val="fr-FR"/>
        </w:rPr>
        <w:t>Kousseri</w:t>
      </w:r>
      <w:proofErr w:type="spellEnd"/>
      <w:r w:rsidRPr="002F2F3C">
        <w:rPr>
          <w:sz w:val="22"/>
          <w:lang w:val="fr-FR"/>
        </w:rPr>
        <w:t xml:space="preserve">, extrême-nord Camerounais. Bull. Soc. </w:t>
      </w:r>
      <w:proofErr w:type="spellStart"/>
      <w:r w:rsidRPr="002F2F3C">
        <w:rPr>
          <w:sz w:val="22"/>
          <w:lang w:val="fr-FR"/>
        </w:rPr>
        <w:t>Pathol</w:t>
      </w:r>
      <w:proofErr w:type="spellEnd"/>
      <w:r w:rsidRPr="002F2F3C">
        <w:rPr>
          <w:sz w:val="22"/>
          <w:lang w:val="fr-FR"/>
        </w:rPr>
        <w:t xml:space="preserve">. </w:t>
      </w:r>
      <w:proofErr w:type="spellStart"/>
      <w:r w:rsidRPr="002F2F3C">
        <w:rPr>
          <w:sz w:val="22"/>
          <w:lang w:val="fr-FR"/>
        </w:rPr>
        <w:t>Exot</w:t>
      </w:r>
      <w:proofErr w:type="spellEnd"/>
      <w:r>
        <w:rPr>
          <w:sz w:val="22"/>
          <w:lang w:val="fr-FR"/>
        </w:rPr>
        <w:t xml:space="preserve"> </w:t>
      </w:r>
      <w:r w:rsidRPr="002F2F3C">
        <w:rPr>
          <w:bCs/>
          <w:sz w:val="22"/>
          <w:lang w:val="fr-FR"/>
        </w:rPr>
        <w:t>85</w:t>
      </w:r>
      <w:r w:rsidRPr="002F2F3C">
        <w:rPr>
          <w:b/>
          <w:bCs/>
          <w:sz w:val="22"/>
          <w:lang w:val="fr-FR"/>
        </w:rPr>
        <w:t>:</w:t>
      </w:r>
      <w:r w:rsidRPr="002F2F3C">
        <w:rPr>
          <w:sz w:val="22"/>
          <w:lang w:val="fr-FR"/>
        </w:rPr>
        <w:t xml:space="preserve">156-158. </w:t>
      </w:r>
    </w:p>
    <w:p w:rsidR="00DD09B2" w:rsidRPr="002C75B8" w:rsidRDefault="00DD09B2" w:rsidP="00DD09B2">
      <w:pPr>
        <w:ind w:left="0" w:firstLine="0"/>
        <w:rPr>
          <w:color w:val="E36C0A"/>
          <w:sz w:val="22"/>
          <w:lang w:val="fr-FR"/>
        </w:rPr>
      </w:pPr>
    </w:p>
    <w:p w:rsidR="002F7C1A" w:rsidRDefault="002F7C1A" w:rsidP="00DD09B2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A2"/>
    <w:multiLevelType w:val="hybridMultilevel"/>
    <w:tmpl w:val="B972B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09B2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09B2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2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DD09B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B2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Carrie%20J%22%5BAuthor%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Durand%20B%22%5BAuthor%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Ravisse%20P%22%5BAuthor%5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%22Ripert%20C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Djibrilla%20Kaou%20B%22%5BAuthor%5D" TargetMode="External"/><Relationship Id="rId14" Type="http://schemas.openxmlformats.org/officeDocument/2006/relationships/hyperlink" Target="javascript:AL_get(this,%20'jour',%20'Bull%20Soc%20Pathol%20Exot%20Filiales.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2012-04-01T19:53:00Z</dcterms:created>
  <dcterms:modified xsi:type="dcterms:W3CDTF">2012-04-01T19:57:00Z</dcterms:modified>
</cp:coreProperties>
</file>