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0A" w:rsidRPr="00B37375" w:rsidRDefault="009F430A" w:rsidP="009F430A">
      <w:pPr>
        <w:ind w:left="0" w:firstLine="0"/>
        <w:rPr>
          <w:b/>
          <w:sz w:val="22"/>
          <w:u w:val="single"/>
          <w:lang w:val="en-GB"/>
        </w:rPr>
      </w:pPr>
      <w:smartTag w:uri="urn:schemas-microsoft-com:office:smarttags" w:element="place">
        <w:smartTag w:uri="urn:schemas-microsoft-com:office:smarttags" w:element="country-region">
          <w:r w:rsidRPr="00B37375">
            <w:rPr>
              <w:b/>
              <w:sz w:val="22"/>
              <w:u w:val="single"/>
              <w:lang w:val="en-GB"/>
            </w:rPr>
            <w:t>BULGARIA</w:t>
          </w:r>
        </w:smartTag>
      </w:smartTag>
      <w:r w:rsidRPr="00B37375">
        <w:rPr>
          <w:b/>
          <w:sz w:val="22"/>
          <w:u w:val="single"/>
          <w:lang w:val="en-GB"/>
        </w:rPr>
        <w:t xml:space="preserve"> </w:t>
      </w:r>
    </w:p>
    <w:p w:rsidR="009F430A" w:rsidRPr="00B37375" w:rsidRDefault="009F430A" w:rsidP="009F430A">
      <w:pPr>
        <w:ind w:left="0" w:firstLine="0"/>
        <w:rPr>
          <w:sz w:val="22"/>
          <w:lang w:val="en-GB"/>
        </w:rPr>
      </w:pPr>
    </w:p>
    <w:p w:rsidR="009F430A" w:rsidRPr="002C75B8" w:rsidRDefault="009F430A" w:rsidP="009F430A">
      <w:pPr>
        <w:ind w:left="0" w:firstLine="0"/>
        <w:rPr>
          <w:sz w:val="22"/>
        </w:rPr>
      </w:pPr>
      <w:r>
        <w:rPr>
          <w:noProof/>
          <w:sz w:val="22"/>
          <w:lang w:val="en-US"/>
        </w:rPr>
        <w:drawing>
          <wp:inline distT="0" distB="0" distL="0" distR="0">
            <wp:extent cx="2644140" cy="2026920"/>
            <wp:effectExtent l="19050" t="0" r="3810" b="0"/>
            <wp:docPr id="1" name="Imagen 21" descr="BGWOR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" descr="BGWORL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140" cy="202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30A" w:rsidRPr="002C75B8" w:rsidRDefault="009F430A" w:rsidP="009F430A">
      <w:pPr>
        <w:ind w:left="0" w:firstLine="0"/>
        <w:rPr>
          <w:sz w:val="22"/>
        </w:rPr>
      </w:pPr>
    </w:p>
    <w:p w:rsidR="009F430A" w:rsidRPr="002C75B8" w:rsidRDefault="009F430A" w:rsidP="009F430A">
      <w:pPr>
        <w:ind w:left="0" w:firstLine="0"/>
        <w:rPr>
          <w:sz w:val="22"/>
          <w:lang w:val="en-GB"/>
        </w:rPr>
      </w:pPr>
      <w:r w:rsidRPr="002C75B8">
        <w:rPr>
          <w:b/>
          <w:bCs/>
          <w:sz w:val="22"/>
          <w:lang w:val="en-GB"/>
        </w:rPr>
        <w:t>BASIC COUNTRY DATA</w:t>
      </w:r>
    </w:p>
    <w:p w:rsidR="009F430A" w:rsidRPr="002C75B8" w:rsidRDefault="009F430A" w:rsidP="009F430A">
      <w:pPr>
        <w:ind w:left="0" w:firstLine="0"/>
        <w:rPr>
          <w:sz w:val="22"/>
          <w:lang w:val="en-GB"/>
        </w:rPr>
      </w:pPr>
    </w:p>
    <w:p w:rsidR="009F430A" w:rsidRPr="002C75B8" w:rsidRDefault="009F430A" w:rsidP="009F430A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>Total Population: 7</w:t>
      </w:r>
      <w:r>
        <w:rPr>
          <w:sz w:val="22"/>
          <w:lang w:val="en-US"/>
        </w:rPr>
        <w:t>,543,325</w:t>
      </w:r>
      <w:r w:rsidRPr="002C75B8">
        <w:rPr>
          <w:sz w:val="22"/>
          <w:lang w:val="en-US"/>
        </w:rPr>
        <w:t xml:space="preserve"> </w:t>
      </w:r>
    </w:p>
    <w:p w:rsidR="009F430A" w:rsidRPr="002C75B8" w:rsidRDefault="009F430A" w:rsidP="009F430A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 xml:space="preserve">Population 0-14 years: 14% </w:t>
      </w:r>
    </w:p>
    <w:p w:rsidR="009F430A" w:rsidRPr="002C75B8" w:rsidRDefault="009F430A" w:rsidP="009F430A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 xml:space="preserve">Rural population: </w:t>
      </w:r>
      <w:r>
        <w:rPr>
          <w:sz w:val="22"/>
          <w:lang w:val="en-US"/>
        </w:rPr>
        <w:t>28</w:t>
      </w:r>
      <w:r w:rsidRPr="002C75B8">
        <w:rPr>
          <w:sz w:val="22"/>
          <w:lang w:val="en-US"/>
        </w:rPr>
        <w:t xml:space="preserve">% </w:t>
      </w:r>
    </w:p>
    <w:p w:rsidR="009F430A" w:rsidRPr="002C75B8" w:rsidRDefault="009F430A" w:rsidP="009F430A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>Population living under USD 1</w:t>
      </w:r>
      <w:r>
        <w:rPr>
          <w:sz w:val="22"/>
          <w:lang w:val="en-US"/>
        </w:rPr>
        <w:t>.</w:t>
      </w:r>
      <w:r w:rsidRPr="002C75B8">
        <w:rPr>
          <w:sz w:val="22"/>
          <w:lang w:val="en-US"/>
        </w:rPr>
        <w:t xml:space="preserve">25 a day: </w:t>
      </w:r>
      <w:r>
        <w:rPr>
          <w:sz w:val="22"/>
          <w:lang w:val="en-US"/>
        </w:rPr>
        <w:t>1%</w:t>
      </w:r>
    </w:p>
    <w:p w:rsidR="009F430A" w:rsidRPr="002C75B8" w:rsidRDefault="009F430A" w:rsidP="009F430A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>Population living under the national poverty line: no data</w:t>
      </w:r>
    </w:p>
    <w:p w:rsidR="009F430A" w:rsidRPr="002C75B8" w:rsidRDefault="009F430A" w:rsidP="009F430A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 xml:space="preserve">Income status: Upper middle income economy </w:t>
      </w:r>
    </w:p>
    <w:p w:rsidR="009F430A" w:rsidRPr="002C75B8" w:rsidRDefault="009F430A" w:rsidP="009F430A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 xml:space="preserve">Ranking: High human development </w:t>
      </w:r>
      <w:r>
        <w:rPr>
          <w:sz w:val="22"/>
          <w:lang w:val="en-US"/>
        </w:rPr>
        <w:t>(ranking 55)</w:t>
      </w:r>
    </w:p>
    <w:p w:rsidR="009F430A" w:rsidRPr="002C75B8" w:rsidRDefault="009F430A" w:rsidP="009F430A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 xml:space="preserve">Per capita total expenditure on health at average exchange rate (US dollar): </w:t>
      </w:r>
      <w:r>
        <w:rPr>
          <w:sz w:val="22"/>
          <w:lang w:val="en-US"/>
        </w:rPr>
        <w:t>413</w:t>
      </w:r>
    </w:p>
    <w:p w:rsidR="009F430A" w:rsidRPr="002C75B8" w:rsidRDefault="009F430A" w:rsidP="009F430A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 xml:space="preserve">Life expectancy at birth (years): 73 </w:t>
      </w:r>
    </w:p>
    <w:p w:rsidR="009F430A" w:rsidRPr="002C75B8" w:rsidRDefault="009F430A" w:rsidP="009F430A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>Health</w:t>
      </w:r>
      <w:r>
        <w:rPr>
          <w:sz w:val="22"/>
          <w:lang w:val="en-US"/>
        </w:rPr>
        <w:t>y</w:t>
      </w:r>
      <w:r w:rsidRPr="002C75B8">
        <w:rPr>
          <w:sz w:val="22"/>
          <w:lang w:val="en-US"/>
        </w:rPr>
        <w:t xml:space="preserve"> life expectancy at birth (years): 65</w:t>
      </w:r>
    </w:p>
    <w:p w:rsidR="009F430A" w:rsidRPr="002C75B8" w:rsidRDefault="009F430A" w:rsidP="009F430A">
      <w:pPr>
        <w:ind w:left="0" w:firstLine="0"/>
        <w:rPr>
          <w:sz w:val="22"/>
          <w:lang w:val="en-US"/>
        </w:rPr>
      </w:pPr>
    </w:p>
    <w:p w:rsidR="009F430A" w:rsidRPr="002C75B8" w:rsidRDefault="009F430A" w:rsidP="009F430A">
      <w:pPr>
        <w:ind w:left="0" w:firstLine="0"/>
        <w:rPr>
          <w:sz w:val="22"/>
          <w:lang w:val="en-US"/>
        </w:rPr>
      </w:pPr>
    </w:p>
    <w:p w:rsidR="009F430A" w:rsidRPr="002C75B8" w:rsidRDefault="009F430A" w:rsidP="009F430A">
      <w:pPr>
        <w:ind w:left="0" w:firstLine="0"/>
        <w:rPr>
          <w:sz w:val="22"/>
          <w:lang w:val="en-GB"/>
        </w:rPr>
      </w:pPr>
      <w:r w:rsidRPr="002C75B8">
        <w:rPr>
          <w:b/>
          <w:bCs/>
          <w:sz w:val="22"/>
          <w:lang w:val="en-GB"/>
        </w:rPr>
        <w:t>BACKGROUND INFORMATION</w:t>
      </w:r>
    </w:p>
    <w:p w:rsidR="009F430A" w:rsidRPr="002C75B8" w:rsidRDefault="009F430A" w:rsidP="009F430A">
      <w:pPr>
        <w:ind w:left="0" w:firstLine="0"/>
        <w:rPr>
          <w:sz w:val="22"/>
          <w:lang w:val="en-US"/>
        </w:rPr>
      </w:pPr>
    </w:p>
    <w:p w:rsidR="009F430A" w:rsidRDefault="009F430A" w:rsidP="009F430A">
      <w:pPr>
        <w:ind w:left="0" w:firstLine="0"/>
        <w:rPr>
          <w:sz w:val="22"/>
          <w:lang w:val="en-GB"/>
        </w:rPr>
      </w:pPr>
      <w:r w:rsidRPr="002C75B8">
        <w:rPr>
          <w:sz w:val="22"/>
          <w:lang w:val="en-US"/>
        </w:rPr>
        <w:t xml:space="preserve">The first imported case of VL in </w:t>
      </w:r>
      <w:smartTag w:uri="urn:schemas-microsoft-com:office:smarttags" w:element="country-region">
        <w:smartTag w:uri="urn:schemas-microsoft-com:office:smarttags" w:element="place">
          <w:r w:rsidRPr="002C75B8">
            <w:rPr>
              <w:sz w:val="22"/>
              <w:lang w:val="en-US"/>
            </w:rPr>
            <w:t>Bulgaria</w:t>
          </w:r>
        </w:smartTag>
      </w:smartTag>
      <w:r w:rsidRPr="002C75B8">
        <w:rPr>
          <w:sz w:val="22"/>
          <w:lang w:val="en-US"/>
        </w:rPr>
        <w:t xml:space="preserve"> was described in 1921 and the first </w:t>
      </w:r>
      <w:proofErr w:type="spellStart"/>
      <w:r>
        <w:rPr>
          <w:sz w:val="22"/>
          <w:lang w:val="en-US"/>
        </w:rPr>
        <w:t>autochtonous</w:t>
      </w:r>
      <w:proofErr w:type="spellEnd"/>
      <w:r w:rsidRPr="002C75B8">
        <w:rPr>
          <w:sz w:val="22"/>
          <w:lang w:val="en-US"/>
        </w:rPr>
        <w:t xml:space="preserve"> case of the disease was observed in 19</w:t>
      </w:r>
      <w:r w:rsidRPr="002C75B8">
        <w:rPr>
          <w:sz w:val="22"/>
          <w:lang w:val="hr-HR"/>
        </w:rPr>
        <w:t>3</w:t>
      </w:r>
      <w:r w:rsidRPr="002C75B8">
        <w:rPr>
          <w:sz w:val="22"/>
          <w:lang w:val="en-US"/>
        </w:rPr>
        <w:t>2</w:t>
      </w:r>
      <w:r>
        <w:rPr>
          <w:sz w:val="22"/>
          <w:lang w:val="en-US"/>
        </w:rPr>
        <w:t xml:space="preserve"> [1]</w:t>
      </w:r>
      <w:r w:rsidRPr="002C75B8">
        <w:rPr>
          <w:sz w:val="22"/>
          <w:lang w:val="en-US"/>
        </w:rPr>
        <w:t xml:space="preserve">. </w:t>
      </w:r>
      <w:r>
        <w:rPr>
          <w:sz w:val="22"/>
          <w:lang w:val="en-US"/>
        </w:rPr>
        <w:t>F</w:t>
      </w:r>
      <w:r w:rsidRPr="002C75B8">
        <w:rPr>
          <w:sz w:val="22"/>
          <w:lang w:val="en-US"/>
        </w:rPr>
        <w:t>rom 1937 to 1953</w:t>
      </w:r>
      <w:r>
        <w:rPr>
          <w:sz w:val="22"/>
          <w:lang w:val="en-US"/>
        </w:rPr>
        <w:t xml:space="preserve">, </w:t>
      </w:r>
      <w:r w:rsidRPr="002C75B8">
        <w:rPr>
          <w:sz w:val="22"/>
          <w:lang w:val="bg-BG"/>
        </w:rPr>
        <w:t xml:space="preserve">57 </w:t>
      </w:r>
      <w:r w:rsidRPr="002C75B8">
        <w:rPr>
          <w:sz w:val="22"/>
          <w:lang w:val="en-GB"/>
        </w:rPr>
        <w:t>autocht</w:t>
      </w:r>
      <w:r>
        <w:rPr>
          <w:sz w:val="22"/>
          <w:lang w:val="en-GB"/>
        </w:rPr>
        <w:t>h</w:t>
      </w:r>
      <w:r w:rsidRPr="002C75B8">
        <w:rPr>
          <w:sz w:val="22"/>
          <w:lang w:val="en-GB"/>
        </w:rPr>
        <w:t xml:space="preserve">onous </w:t>
      </w:r>
      <w:r w:rsidRPr="002C75B8">
        <w:rPr>
          <w:sz w:val="22"/>
          <w:lang w:val="en-US"/>
        </w:rPr>
        <w:t>cases of VL were reported</w:t>
      </w:r>
      <w:r w:rsidRPr="00EF6EC8">
        <w:rPr>
          <w:sz w:val="22"/>
          <w:lang w:val="en-US"/>
        </w:rPr>
        <w:t xml:space="preserve">, 50 </w:t>
      </w:r>
      <w:r w:rsidRPr="00EF6EC8">
        <w:rPr>
          <w:sz w:val="22"/>
          <w:lang w:val="en-GB"/>
        </w:rPr>
        <w:t xml:space="preserve">of which </w:t>
      </w:r>
      <w:r w:rsidRPr="00EF6EC8">
        <w:rPr>
          <w:sz w:val="22"/>
          <w:lang w:val="bg-BG"/>
        </w:rPr>
        <w:t>(8</w:t>
      </w:r>
      <w:r w:rsidRPr="00EF6EC8">
        <w:rPr>
          <w:sz w:val="22"/>
          <w:lang w:val="en-GB"/>
        </w:rPr>
        <w:t>8</w:t>
      </w:r>
      <w:r w:rsidRPr="00EF6EC8">
        <w:rPr>
          <w:sz w:val="22"/>
          <w:lang w:val="bg-BG"/>
        </w:rPr>
        <w:t xml:space="preserve">%) </w:t>
      </w:r>
      <w:r w:rsidRPr="00EF6EC8">
        <w:rPr>
          <w:sz w:val="22"/>
          <w:lang w:val="en-GB"/>
        </w:rPr>
        <w:t xml:space="preserve">were in </w:t>
      </w:r>
      <w:r w:rsidRPr="00EF6EC8">
        <w:rPr>
          <w:sz w:val="22"/>
          <w:lang w:val="en-US"/>
        </w:rPr>
        <w:t xml:space="preserve">children. No data are available on VL between 1953 and 1988. 110 patients with VL have been registered from 1988 until </w:t>
      </w:r>
      <w:r w:rsidRPr="00EF6EC8">
        <w:rPr>
          <w:sz w:val="22"/>
          <w:lang w:val="bg-BG"/>
        </w:rPr>
        <w:t>200</w:t>
      </w:r>
      <w:r w:rsidRPr="00EF6EC8">
        <w:rPr>
          <w:sz w:val="22"/>
          <w:lang w:val="en-US"/>
        </w:rPr>
        <w:t xml:space="preserve">8, 53% of which were children. It is now specific to Bulgaria that cases occur at all ages and there is no predominance of VL among children. 92 patients were from southern </w:t>
      </w:r>
      <w:smartTag w:uri="urn:schemas-microsoft-com:office:smarttags" w:element="country-region">
        <w:r w:rsidRPr="00EF6EC8">
          <w:rPr>
            <w:sz w:val="22"/>
            <w:lang w:val="en-US"/>
          </w:rPr>
          <w:t>Bulgaria</w:t>
        </w:r>
      </w:smartTag>
      <w:r w:rsidRPr="00EF6EC8">
        <w:rPr>
          <w:sz w:val="22"/>
          <w:lang w:val="en-US"/>
        </w:rPr>
        <w:t xml:space="preserve">, the </w:t>
      </w:r>
      <w:proofErr w:type="spellStart"/>
      <w:r w:rsidRPr="00EF6EC8">
        <w:rPr>
          <w:sz w:val="22"/>
          <w:lang w:val="en-US"/>
        </w:rPr>
        <w:t>Thrakian</w:t>
      </w:r>
      <w:proofErr w:type="spellEnd"/>
      <w:r w:rsidRPr="00EF6EC8">
        <w:rPr>
          <w:sz w:val="22"/>
          <w:lang w:val="en-US"/>
        </w:rPr>
        <w:t xml:space="preserve"> </w:t>
      </w:r>
      <w:r w:rsidRPr="00EF6EC8">
        <w:rPr>
          <w:sz w:val="22"/>
          <w:lang w:val="bg-BG"/>
        </w:rPr>
        <w:t>Lowland</w:t>
      </w:r>
      <w:r w:rsidRPr="00EF6EC8">
        <w:rPr>
          <w:sz w:val="22"/>
          <w:lang w:val="en-GB"/>
        </w:rPr>
        <w:t>s</w:t>
      </w:r>
      <w:r w:rsidRPr="00EF6EC8">
        <w:rPr>
          <w:sz w:val="22"/>
          <w:lang w:val="en-US"/>
        </w:rPr>
        <w:t xml:space="preserve"> and the </w:t>
      </w:r>
      <w:proofErr w:type="gramStart"/>
      <w:smartTag w:uri="urn:schemas-microsoft-com:office:smarttags" w:element="place">
        <w:smartTag w:uri="urn:schemas-microsoft-com:office:smarttags" w:element="PlaceType">
          <w:r w:rsidRPr="00EF6EC8">
            <w:rPr>
              <w:sz w:val="22"/>
              <w:lang w:val="en-US"/>
            </w:rPr>
            <w:t>valley</w:t>
          </w:r>
        </w:smartTag>
        <w:r w:rsidRPr="00EF6EC8">
          <w:rPr>
            <w:sz w:val="22"/>
            <w:lang w:val="en-US"/>
          </w:rPr>
          <w:t xml:space="preserve"> of </w:t>
        </w:r>
        <w:smartTag w:uri="urn:schemas-microsoft-com:office:smarttags" w:element="PlaceName">
          <w:r w:rsidRPr="00EF6EC8">
            <w:rPr>
              <w:sz w:val="22"/>
              <w:lang w:val="en-US"/>
            </w:rPr>
            <w:t>Struma</w:t>
          </w:r>
        </w:smartTag>
      </w:smartTag>
      <w:r w:rsidRPr="002C75B8">
        <w:rPr>
          <w:sz w:val="22"/>
          <w:lang w:val="en-US"/>
        </w:rPr>
        <w:t xml:space="preserve"> river</w:t>
      </w:r>
      <w:proofErr w:type="gramEnd"/>
      <w:r w:rsidRPr="002C75B8">
        <w:rPr>
          <w:sz w:val="22"/>
          <w:lang w:val="en-US"/>
        </w:rPr>
        <w:t>. However</w:t>
      </w:r>
      <w:r>
        <w:rPr>
          <w:sz w:val="22"/>
          <w:lang w:val="en-US"/>
        </w:rPr>
        <w:t>,</w:t>
      </w:r>
      <w:r w:rsidRPr="002C75B8">
        <w:rPr>
          <w:sz w:val="22"/>
          <w:lang w:val="en-US"/>
        </w:rPr>
        <w:t xml:space="preserve"> currently</w:t>
      </w:r>
      <w:r>
        <w:rPr>
          <w:sz w:val="22"/>
          <w:lang w:val="en-US"/>
        </w:rPr>
        <w:t>,</w:t>
      </w:r>
      <w:r w:rsidRPr="002C75B8">
        <w:rPr>
          <w:sz w:val="22"/>
          <w:lang w:val="en-US"/>
        </w:rPr>
        <w:t xml:space="preserve"> the most highly endemic region is the </w:t>
      </w:r>
      <w:smartTag w:uri="urn:schemas-microsoft-com:office:smarttags" w:element="place">
        <w:smartTag w:uri="urn:schemas-microsoft-com:office:smarttags" w:element="PlaceType">
          <w:r w:rsidRPr="002C75B8">
            <w:rPr>
              <w:sz w:val="22"/>
              <w:lang w:val="en-US"/>
            </w:rPr>
            <w:t>municipality</w:t>
          </w:r>
        </w:smartTag>
        <w:r w:rsidRPr="002C75B8">
          <w:rPr>
            <w:sz w:val="22"/>
            <w:lang w:val="en-US"/>
          </w:rPr>
          <w:t xml:space="preserve"> of </w:t>
        </w:r>
        <w:proofErr w:type="spellStart"/>
        <w:smartTag w:uri="urn:schemas-microsoft-com:office:smarttags" w:element="PlaceName">
          <w:r w:rsidRPr="002C75B8">
            <w:rPr>
              <w:sz w:val="22"/>
              <w:lang w:val="en-US"/>
            </w:rPr>
            <w:t>Petrich</w:t>
          </w:r>
        </w:smartTag>
      </w:smartTag>
      <w:proofErr w:type="spellEnd"/>
      <w:r>
        <w:rPr>
          <w:sz w:val="22"/>
          <w:lang w:val="en-US"/>
        </w:rPr>
        <w:t>;</w:t>
      </w:r>
      <w:r w:rsidRPr="002C75B8">
        <w:rPr>
          <w:sz w:val="22"/>
          <w:lang w:val="en-US"/>
        </w:rPr>
        <w:t xml:space="preserve"> most cases observed during the last years are from this region </w:t>
      </w:r>
      <w:r w:rsidRPr="002C75B8">
        <w:rPr>
          <w:sz w:val="22"/>
          <w:lang w:val="bg-BG"/>
        </w:rPr>
        <w:t>(1</w:t>
      </w:r>
      <w:r w:rsidRPr="002C75B8">
        <w:rPr>
          <w:sz w:val="22"/>
          <w:lang w:val="en-US"/>
        </w:rPr>
        <w:t xml:space="preserve">6 cases </w:t>
      </w:r>
      <w:r w:rsidRPr="002C75B8">
        <w:rPr>
          <w:sz w:val="22"/>
          <w:lang w:val="en-GB"/>
        </w:rPr>
        <w:t xml:space="preserve">between </w:t>
      </w:r>
      <w:r w:rsidRPr="002C75B8">
        <w:rPr>
          <w:sz w:val="22"/>
          <w:lang w:val="bg-BG"/>
        </w:rPr>
        <w:t>2004</w:t>
      </w:r>
      <w:r w:rsidRPr="002C75B8">
        <w:rPr>
          <w:sz w:val="22"/>
          <w:lang w:val="en-GB"/>
        </w:rPr>
        <w:t xml:space="preserve"> and </w:t>
      </w:r>
      <w:r w:rsidRPr="002C75B8">
        <w:rPr>
          <w:sz w:val="22"/>
          <w:lang w:val="bg-BG"/>
        </w:rPr>
        <w:t>200</w:t>
      </w:r>
      <w:r w:rsidRPr="002C75B8">
        <w:rPr>
          <w:sz w:val="22"/>
          <w:lang w:val="en-US"/>
        </w:rPr>
        <w:t>8</w:t>
      </w:r>
      <w:r w:rsidRPr="002C75B8">
        <w:rPr>
          <w:sz w:val="22"/>
          <w:lang w:val="bg-BG"/>
        </w:rPr>
        <w:t xml:space="preserve">). </w:t>
      </w:r>
    </w:p>
    <w:p w:rsidR="009F430A" w:rsidRPr="00D65B19" w:rsidRDefault="009F430A" w:rsidP="009F430A">
      <w:pPr>
        <w:ind w:left="0" w:firstLine="0"/>
        <w:rPr>
          <w:sz w:val="22"/>
          <w:lang w:val="en-GB"/>
        </w:rPr>
      </w:pPr>
    </w:p>
    <w:p w:rsidR="009F430A" w:rsidRDefault="009F430A" w:rsidP="009F430A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 xml:space="preserve">The first investigations of canine VL were performed in southwestern </w:t>
      </w:r>
      <w:smartTag w:uri="urn:schemas-microsoft-com:office:smarttags" w:element="country-region">
        <w:smartTag w:uri="urn:schemas-microsoft-com:office:smarttags" w:element="place">
          <w:r w:rsidRPr="002C75B8">
            <w:rPr>
              <w:sz w:val="22"/>
              <w:lang w:val="en-US"/>
            </w:rPr>
            <w:t>Bulgaria</w:t>
          </w:r>
        </w:smartTag>
      </w:smartTag>
      <w:r>
        <w:rPr>
          <w:sz w:val="22"/>
          <w:lang w:val="en-US"/>
        </w:rPr>
        <w:t xml:space="preserve"> </w:t>
      </w:r>
      <w:r w:rsidRPr="002C75B8">
        <w:rPr>
          <w:sz w:val="22"/>
          <w:lang w:val="en-US"/>
        </w:rPr>
        <w:t xml:space="preserve">in </w:t>
      </w:r>
      <w:r w:rsidRPr="002C75B8">
        <w:rPr>
          <w:sz w:val="22"/>
          <w:lang w:val="bg-BG"/>
        </w:rPr>
        <w:t>1941</w:t>
      </w:r>
      <w:r w:rsidRPr="002C75B8">
        <w:rPr>
          <w:sz w:val="22"/>
          <w:lang w:val="en-US"/>
        </w:rPr>
        <w:t xml:space="preserve">. More recently, serology examinations of </w:t>
      </w:r>
      <w:r w:rsidRPr="002C75B8">
        <w:rPr>
          <w:sz w:val="22"/>
          <w:lang w:val="bg-BG"/>
        </w:rPr>
        <w:t xml:space="preserve">172 </w:t>
      </w:r>
      <w:r w:rsidRPr="002C75B8">
        <w:rPr>
          <w:sz w:val="22"/>
          <w:lang w:val="en-US"/>
        </w:rPr>
        <w:t xml:space="preserve">dogs at the southern border found a </w:t>
      </w:r>
      <w:proofErr w:type="spellStart"/>
      <w:r w:rsidRPr="002C75B8">
        <w:rPr>
          <w:sz w:val="22"/>
          <w:lang w:val="en-US"/>
        </w:rPr>
        <w:t>seropositivity</w:t>
      </w:r>
      <w:proofErr w:type="spellEnd"/>
      <w:r w:rsidRPr="002C75B8">
        <w:rPr>
          <w:sz w:val="22"/>
          <w:lang w:val="en-US"/>
        </w:rPr>
        <w:t xml:space="preserve"> rate of 10%, but no active infections. Two infected dogs were found for the first time in 2006 </w:t>
      </w:r>
      <w:r>
        <w:rPr>
          <w:sz w:val="22"/>
          <w:lang w:val="en-US"/>
        </w:rPr>
        <w:t>[2].</w:t>
      </w:r>
    </w:p>
    <w:p w:rsidR="009F430A" w:rsidRPr="002C75B8" w:rsidRDefault="009F430A" w:rsidP="009F430A">
      <w:pPr>
        <w:ind w:left="0" w:firstLine="0"/>
        <w:rPr>
          <w:sz w:val="22"/>
          <w:lang w:val="en-US"/>
        </w:rPr>
      </w:pPr>
    </w:p>
    <w:p w:rsidR="009F430A" w:rsidRDefault="009F430A" w:rsidP="009F430A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 xml:space="preserve">In </w:t>
      </w:r>
      <w:r w:rsidRPr="002C75B8">
        <w:rPr>
          <w:sz w:val="22"/>
          <w:lang w:val="bg-BG"/>
        </w:rPr>
        <w:t>2002</w:t>
      </w:r>
      <w:r w:rsidRPr="00DF3C86">
        <w:rPr>
          <w:sz w:val="22"/>
          <w:lang w:val="en-GB"/>
        </w:rPr>
        <w:t>,</w:t>
      </w:r>
      <w:r w:rsidRPr="002C75B8">
        <w:rPr>
          <w:sz w:val="22"/>
          <w:lang w:val="bg-BG"/>
        </w:rPr>
        <w:t xml:space="preserve"> </w:t>
      </w:r>
      <w:r w:rsidRPr="002C75B8">
        <w:rPr>
          <w:sz w:val="22"/>
          <w:lang w:val="en-US"/>
        </w:rPr>
        <w:t xml:space="preserve">the first case of visceral </w:t>
      </w:r>
      <w:r w:rsidRPr="002C75B8">
        <w:rPr>
          <w:i/>
          <w:iCs/>
          <w:sz w:val="22"/>
          <w:lang w:val="en-US"/>
        </w:rPr>
        <w:t>Leishmania</w:t>
      </w:r>
      <w:r w:rsidRPr="002C75B8">
        <w:rPr>
          <w:sz w:val="22"/>
          <w:lang w:val="en-US"/>
        </w:rPr>
        <w:t>/HIV co</w:t>
      </w:r>
      <w:r>
        <w:rPr>
          <w:sz w:val="22"/>
          <w:lang w:val="en-US"/>
        </w:rPr>
        <w:t>-</w:t>
      </w:r>
      <w:r w:rsidRPr="002C75B8">
        <w:rPr>
          <w:sz w:val="22"/>
          <w:lang w:val="en-US"/>
        </w:rPr>
        <w:t>infection was reported</w:t>
      </w:r>
      <w:r>
        <w:rPr>
          <w:sz w:val="22"/>
          <w:lang w:val="en-US"/>
        </w:rPr>
        <w:t xml:space="preserve"> [3]</w:t>
      </w:r>
      <w:r w:rsidRPr="002C75B8">
        <w:rPr>
          <w:sz w:val="22"/>
          <w:lang w:val="en-US"/>
        </w:rPr>
        <w:t>.</w:t>
      </w:r>
      <w:r>
        <w:rPr>
          <w:sz w:val="22"/>
          <w:lang w:val="en-US"/>
        </w:rPr>
        <w:t xml:space="preserve"> </w:t>
      </w:r>
    </w:p>
    <w:p w:rsidR="009F430A" w:rsidRDefault="009F430A" w:rsidP="009F430A">
      <w:pPr>
        <w:ind w:left="0" w:firstLine="0"/>
        <w:rPr>
          <w:color w:val="984806"/>
          <w:sz w:val="22"/>
          <w:lang w:val="en-GB"/>
        </w:rPr>
      </w:pPr>
    </w:p>
    <w:p w:rsidR="009F430A" w:rsidRDefault="009F430A" w:rsidP="009F430A">
      <w:pPr>
        <w:ind w:left="0" w:firstLine="0"/>
        <w:rPr>
          <w:color w:val="984806"/>
          <w:sz w:val="22"/>
          <w:lang w:val="en-GB"/>
        </w:rPr>
      </w:pPr>
    </w:p>
    <w:p w:rsidR="009F430A" w:rsidRPr="002C75B8" w:rsidRDefault="009F430A" w:rsidP="009F430A">
      <w:pPr>
        <w:ind w:left="0" w:firstLine="0"/>
        <w:rPr>
          <w:color w:val="984806"/>
          <w:sz w:val="22"/>
          <w:lang w:val="en-US"/>
        </w:rPr>
      </w:pPr>
    </w:p>
    <w:p w:rsidR="009F430A" w:rsidRDefault="009F430A" w:rsidP="009F430A">
      <w:pPr>
        <w:ind w:left="0" w:firstLine="0"/>
        <w:rPr>
          <w:b/>
          <w:bCs/>
          <w:sz w:val="22"/>
          <w:lang w:val="it-IT"/>
        </w:rPr>
      </w:pPr>
    </w:p>
    <w:p w:rsidR="009F430A" w:rsidRPr="002C75B8" w:rsidRDefault="009F430A" w:rsidP="009F430A">
      <w:pPr>
        <w:ind w:left="0" w:firstLine="0"/>
        <w:rPr>
          <w:sz w:val="22"/>
        </w:rPr>
      </w:pPr>
      <w:r w:rsidRPr="002C75B8">
        <w:rPr>
          <w:b/>
          <w:bCs/>
          <w:sz w:val="22"/>
          <w:lang w:val="it-IT"/>
        </w:rPr>
        <w:lastRenderedPageBreak/>
        <w:t xml:space="preserve">PARASITOLOGICAL INFORMATION </w:t>
      </w:r>
    </w:p>
    <w:p w:rsidR="009F430A" w:rsidRPr="002C75B8" w:rsidRDefault="009F430A" w:rsidP="009F430A">
      <w:pPr>
        <w:ind w:left="0" w:firstLine="0"/>
        <w:rPr>
          <w:sz w:val="22"/>
          <w:lang w:val="en-US"/>
        </w:rPr>
      </w:pPr>
    </w:p>
    <w:tbl>
      <w:tblPr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10"/>
        <w:gridCol w:w="1459"/>
        <w:gridCol w:w="3073"/>
        <w:gridCol w:w="2078"/>
      </w:tblGrid>
      <w:tr w:rsidR="009F430A" w:rsidRPr="002C75B8" w:rsidTr="00A7768B">
        <w:trPr>
          <w:trHeight w:val="440"/>
        </w:trPr>
        <w:tc>
          <w:tcPr>
            <w:tcW w:w="2210" w:type="dxa"/>
          </w:tcPr>
          <w:p w:rsidR="009F430A" w:rsidRPr="002C75B8" w:rsidRDefault="009F430A" w:rsidP="00A7768B">
            <w:pPr>
              <w:ind w:left="0" w:firstLine="0"/>
              <w:jc w:val="center"/>
              <w:textAlignment w:val="center"/>
              <w:rPr>
                <w:rFonts w:eastAsia="Times New Roman"/>
                <w:sz w:val="22"/>
                <w:lang w:eastAsia="es-CO"/>
              </w:rPr>
            </w:pPr>
            <w:r w:rsidRPr="002C75B8">
              <w:rPr>
                <w:rFonts w:eastAsia="Times New Roman"/>
                <w:b/>
                <w:bCs/>
                <w:i/>
                <w:iCs/>
                <w:kern w:val="24"/>
                <w:sz w:val="22"/>
                <w:lang w:eastAsia="es-CO"/>
              </w:rPr>
              <w:t xml:space="preserve">Leishmania </w:t>
            </w:r>
            <w:proofErr w:type="spellStart"/>
            <w:r w:rsidRPr="002C75B8">
              <w:rPr>
                <w:rFonts w:eastAsia="Times New Roman"/>
                <w:b/>
                <w:bCs/>
                <w:kern w:val="24"/>
                <w:sz w:val="22"/>
                <w:lang w:eastAsia="es-CO"/>
              </w:rPr>
              <w:t>species</w:t>
            </w:r>
            <w:proofErr w:type="spellEnd"/>
            <w:r w:rsidRPr="002C75B8">
              <w:rPr>
                <w:rFonts w:eastAsia="Times New Roman"/>
                <w:b/>
                <w:bCs/>
                <w:kern w:val="24"/>
                <w:sz w:val="22"/>
                <w:lang w:eastAsia="es-CO"/>
              </w:rPr>
              <w:t xml:space="preserve"> </w:t>
            </w:r>
          </w:p>
        </w:tc>
        <w:tc>
          <w:tcPr>
            <w:tcW w:w="1459" w:type="dxa"/>
          </w:tcPr>
          <w:p w:rsidR="009F430A" w:rsidRPr="002C75B8" w:rsidRDefault="009F430A" w:rsidP="00A7768B">
            <w:pPr>
              <w:ind w:left="0" w:firstLine="0"/>
              <w:jc w:val="center"/>
              <w:textAlignment w:val="center"/>
              <w:rPr>
                <w:rFonts w:eastAsia="Times New Roman"/>
                <w:sz w:val="22"/>
                <w:lang w:eastAsia="es-CO"/>
              </w:rPr>
            </w:pPr>
            <w:proofErr w:type="spellStart"/>
            <w:r w:rsidRPr="002C75B8">
              <w:rPr>
                <w:rFonts w:eastAsia="Times New Roman"/>
                <w:b/>
                <w:bCs/>
                <w:kern w:val="24"/>
                <w:sz w:val="22"/>
                <w:lang w:eastAsia="es-CO"/>
              </w:rPr>
              <w:t>Clinical</w:t>
            </w:r>
            <w:proofErr w:type="spellEnd"/>
            <w:r w:rsidRPr="002C75B8">
              <w:rPr>
                <w:rFonts w:eastAsia="Times New Roman"/>
                <w:b/>
                <w:bCs/>
                <w:kern w:val="24"/>
                <w:sz w:val="22"/>
                <w:lang w:eastAsia="es-CO"/>
              </w:rPr>
              <w:t xml:space="preserve"> </w:t>
            </w:r>
            <w:proofErr w:type="spellStart"/>
            <w:r w:rsidRPr="002C75B8">
              <w:rPr>
                <w:rFonts w:eastAsia="Times New Roman"/>
                <w:b/>
                <w:bCs/>
                <w:kern w:val="24"/>
                <w:sz w:val="22"/>
                <w:lang w:eastAsia="es-CO"/>
              </w:rPr>
              <w:t>form</w:t>
            </w:r>
            <w:proofErr w:type="spellEnd"/>
          </w:p>
        </w:tc>
        <w:tc>
          <w:tcPr>
            <w:tcW w:w="3073" w:type="dxa"/>
          </w:tcPr>
          <w:p w:rsidR="009F430A" w:rsidRPr="002C75B8" w:rsidRDefault="009F430A" w:rsidP="00A7768B">
            <w:pPr>
              <w:ind w:left="0" w:firstLine="0"/>
              <w:jc w:val="center"/>
              <w:textAlignment w:val="center"/>
              <w:rPr>
                <w:rFonts w:eastAsia="Times New Roman"/>
                <w:sz w:val="22"/>
                <w:lang w:eastAsia="es-CO"/>
              </w:rPr>
            </w:pPr>
            <w:r w:rsidRPr="002C75B8">
              <w:rPr>
                <w:rFonts w:eastAsia="Times New Roman"/>
                <w:b/>
                <w:bCs/>
                <w:kern w:val="24"/>
                <w:sz w:val="22"/>
                <w:lang w:eastAsia="es-CO"/>
              </w:rPr>
              <w:t xml:space="preserve">Vector </w:t>
            </w:r>
            <w:proofErr w:type="spellStart"/>
            <w:r w:rsidRPr="002C75B8">
              <w:rPr>
                <w:rFonts w:eastAsia="Times New Roman"/>
                <w:b/>
                <w:bCs/>
                <w:kern w:val="24"/>
                <w:sz w:val="22"/>
                <w:lang w:eastAsia="es-CO"/>
              </w:rPr>
              <w:t>species</w:t>
            </w:r>
            <w:proofErr w:type="spellEnd"/>
          </w:p>
        </w:tc>
        <w:tc>
          <w:tcPr>
            <w:tcW w:w="2078" w:type="dxa"/>
          </w:tcPr>
          <w:p w:rsidR="009F430A" w:rsidRPr="002C75B8" w:rsidRDefault="009F430A" w:rsidP="00A7768B">
            <w:pPr>
              <w:ind w:left="0" w:firstLine="0"/>
              <w:jc w:val="center"/>
              <w:textAlignment w:val="center"/>
              <w:rPr>
                <w:rFonts w:eastAsia="Times New Roman"/>
                <w:sz w:val="22"/>
                <w:lang w:eastAsia="es-CO"/>
              </w:rPr>
            </w:pPr>
            <w:proofErr w:type="spellStart"/>
            <w:r w:rsidRPr="002C75B8">
              <w:rPr>
                <w:rFonts w:eastAsia="Times New Roman"/>
                <w:b/>
                <w:bCs/>
                <w:kern w:val="24"/>
                <w:sz w:val="22"/>
                <w:lang w:eastAsia="es-CO"/>
              </w:rPr>
              <w:t>Reservoirs</w:t>
            </w:r>
            <w:proofErr w:type="spellEnd"/>
          </w:p>
        </w:tc>
      </w:tr>
      <w:tr w:rsidR="009F430A" w:rsidRPr="002C75B8" w:rsidTr="00A7768B">
        <w:trPr>
          <w:trHeight w:val="358"/>
        </w:trPr>
        <w:tc>
          <w:tcPr>
            <w:tcW w:w="2210" w:type="dxa"/>
          </w:tcPr>
          <w:p w:rsidR="009F430A" w:rsidRPr="002C75B8" w:rsidRDefault="009F430A" w:rsidP="00A7768B">
            <w:pPr>
              <w:spacing w:line="313" w:lineRule="atLeast"/>
              <w:ind w:left="0" w:firstLine="0"/>
              <w:jc w:val="left"/>
              <w:textAlignment w:val="bottom"/>
              <w:rPr>
                <w:rFonts w:eastAsia="Times New Roman"/>
                <w:sz w:val="22"/>
                <w:lang w:eastAsia="es-CO"/>
              </w:rPr>
            </w:pPr>
            <w:r w:rsidRPr="002C75B8">
              <w:rPr>
                <w:rFonts w:eastAsia="Times New Roman"/>
                <w:i/>
                <w:iCs/>
                <w:kern w:val="24"/>
                <w:sz w:val="22"/>
                <w:lang w:val="en-US" w:eastAsia="es-CO"/>
              </w:rPr>
              <w:t xml:space="preserve">     L. infantum </w:t>
            </w:r>
          </w:p>
        </w:tc>
        <w:tc>
          <w:tcPr>
            <w:tcW w:w="1459" w:type="dxa"/>
          </w:tcPr>
          <w:p w:rsidR="009F430A" w:rsidRPr="002C75B8" w:rsidRDefault="009F430A" w:rsidP="00A7768B">
            <w:pPr>
              <w:spacing w:line="313" w:lineRule="atLeast"/>
              <w:ind w:left="0" w:firstLine="0"/>
              <w:jc w:val="left"/>
              <w:textAlignment w:val="bottom"/>
              <w:rPr>
                <w:rFonts w:eastAsia="Times New Roman"/>
                <w:sz w:val="22"/>
                <w:lang w:eastAsia="es-CO"/>
              </w:rPr>
            </w:pPr>
            <w:r w:rsidRPr="002C75B8">
              <w:rPr>
                <w:rFonts w:eastAsia="Times New Roman"/>
                <w:kern w:val="24"/>
                <w:sz w:val="22"/>
                <w:lang w:val="en-US" w:eastAsia="es-CO"/>
              </w:rPr>
              <w:t xml:space="preserve">     ZVL, CL</w:t>
            </w:r>
          </w:p>
        </w:tc>
        <w:tc>
          <w:tcPr>
            <w:tcW w:w="3073" w:type="dxa"/>
          </w:tcPr>
          <w:p w:rsidR="009F430A" w:rsidRPr="002C75B8" w:rsidRDefault="009F430A" w:rsidP="00A7768B">
            <w:pPr>
              <w:spacing w:line="313" w:lineRule="atLeast"/>
              <w:ind w:left="0" w:firstLine="0"/>
              <w:jc w:val="left"/>
              <w:textAlignment w:val="bottom"/>
              <w:rPr>
                <w:rFonts w:eastAsia="Times New Roman"/>
                <w:sz w:val="22"/>
                <w:lang w:eastAsia="es-CO"/>
              </w:rPr>
            </w:pPr>
            <w:r w:rsidRPr="002C75B8">
              <w:rPr>
                <w:rFonts w:eastAsia="Times New Roman"/>
                <w:i/>
                <w:iCs/>
                <w:kern w:val="24"/>
                <w:sz w:val="22"/>
                <w:lang w:val="en-US" w:eastAsia="es-CO"/>
              </w:rPr>
              <w:t xml:space="preserve">    </w:t>
            </w:r>
            <w:r w:rsidRPr="002C75B8">
              <w:rPr>
                <w:rFonts w:eastAsia="Times New Roman"/>
                <w:kern w:val="24"/>
                <w:sz w:val="22"/>
                <w:lang w:val="en-US" w:eastAsia="es-CO"/>
              </w:rPr>
              <w:t>Unknown</w:t>
            </w:r>
          </w:p>
        </w:tc>
        <w:tc>
          <w:tcPr>
            <w:tcW w:w="2078" w:type="dxa"/>
          </w:tcPr>
          <w:p w:rsidR="009F430A" w:rsidRPr="002F4104" w:rsidRDefault="009F430A" w:rsidP="00A7768B">
            <w:pPr>
              <w:spacing w:line="313" w:lineRule="atLeast"/>
              <w:ind w:left="0" w:firstLine="0"/>
              <w:jc w:val="left"/>
              <w:textAlignment w:val="bottom"/>
              <w:rPr>
                <w:rFonts w:eastAsia="Times New Roman"/>
                <w:i/>
                <w:iCs/>
                <w:sz w:val="22"/>
                <w:lang w:eastAsia="es-CO"/>
              </w:rPr>
            </w:pPr>
            <w:r w:rsidRPr="002C75B8">
              <w:rPr>
                <w:rFonts w:eastAsia="Times New Roman"/>
                <w:i/>
                <w:iCs/>
                <w:kern w:val="24"/>
                <w:sz w:val="22"/>
                <w:lang w:val="en-US" w:eastAsia="es-CO"/>
              </w:rPr>
              <w:t xml:space="preserve">    </w:t>
            </w:r>
            <w:r w:rsidRPr="002C75B8">
              <w:rPr>
                <w:rFonts w:eastAsia="Times New Roman"/>
                <w:kern w:val="24"/>
                <w:sz w:val="22"/>
                <w:lang w:val="en-US" w:eastAsia="es-CO"/>
              </w:rPr>
              <w:t xml:space="preserve"> </w:t>
            </w:r>
            <w:proofErr w:type="spellStart"/>
            <w:r w:rsidRPr="002F4104">
              <w:rPr>
                <w:rFonts w:eastAsia="Times New Roman"/>
                <w:i/>
                <w:iCs/>
                <w:kern w:val="24"/>
                <w:sz w:val="22"/>
                <w:lang w:val="en-US" w:eastAsia="es-CO"/>
              </w:rPr>
              <w:t>Canis</w:t>
            </w:r>
            <w:proofErr w:type="spellEnd"/>
            <w:r w:rsidRPr="002F4104">
              <w:rPr>
                <w:rFonts w:eastAsia="Times New Roman"/>
                <w:i/>
                <w:iCs/>
                <w:kern w:val="24"/>
                <w:sz w:val="22"/>
                <w:lang w:val="en-US" w:eastAsia="es-CO"/>
              </w:rPr>
              <w:t xml:space="preserve"> </w:t>
            </w:r>
            <w:proofErr w:type="spellStart"/>
            <w:r w:rsidRPr="002F4104">
              <w:rPr>
                <w:rFonts w:eastAsia="Times New Roman"/>
                <w:i/>
                <w:iCs/>
                <w:kern w:val="24"/>
                <w:sz w:val="22"/>
                <w:lang w:val="en-US" w:eastAsia="es-CO"/>
              </w:rPr>
              <w:t>familiaris</w:t>
            </w:r>
            <w:proofErr w:type="spellEnd"/>
          </w:p>
        </w:tc>
      </w:tr>
    </w:tbl>
    <w:p w:rsidR="009F430A" w:rsidRPr="002C75B8" w:rsidRDefault="009F430A" w:rsidP="009F430A">
      <w:pPr>
        <w:ind w:left="0" w:firstLine="0"/>
        <w:rPr>
          <w:sz w:val="22"/>
          <w:lang w:val="en-US"/>
        </w:rPr>
      </w:pPr>
    </w:p>
    <w:p w:rsidR="009F430A" w:rsidRPr="002C75B8" w:rsidRDefault="009F430A" w:rsidP="009F430A">
      <w:pPr>
        <w:ind w:left="0" w:firstLine="0"/>
        <w:rPr>
          <w:sz w:val="22"/>
          <w:lang w:val="en-US"/>
        </w:rPr>
      </w:pPr>
    </w:p>
    <w:p w:rsidR="009F430A" w:rsidRPr="002C75B8" w:rsidRDefault="009F430A" w:rsidP="009F430A">
      <w:pPr>
        <w:ind w:left="0" w:firstLine="0"/>
        <w:rPr>
          <w:sz w:val="22"/>
          <w:lang w:val="en-US"/>
        </w:rPr>
      </w:pPr>
    </w:p>
    <w:p w:rsidR="009F430A" w:rsidRPr="002C75B8" w:rsidRDefault="009F430A" w:rsidP="009F430A">
      <w:pPr>
        <w:ind w:left="0" w:firstLine="0"/>
        <w:rPr>
          <w:b/>
          <w:bCs/>
          <w:sz w:val="22"/>
        </w:rPr>
      </w:pPr>
      <w:r w:rsidRPr="002C75B8">
        <w:rPr>
          <w:b/>
          <w:bCs/>
          <w:sz w:val="22"/>
        </w:rPr>
        <w:t>MAPS AND TRENDS</w:t>
      </w:r>
    </w:p>
    <w:p w:rsidR="009F430A" w:rsidRPr="002C75B8" w:rsidRDefault="009F430A" w:rsidP="009F430A">
      <w:pPr>
        <w:ind w:left="0" w:firstLine="0"/>
        <w:rPr>
          <w:sz w:val="22"/>
          <w:lang w:val="en-US"/>
        </w:rPr>
      </w:pPr>
    </w:p>
    <w:p w:rsidR="009F430A" w:rsidRPr="002C75B8" w:rsidRDefault="009F430A" w:rsidP="009F430A">
      <w:pPr>
        <w:ind w:left="0" w:firstLine="0"/>
        <w:rPr>
          <w:b/>
          <w:bCs/>
          <w:sz w:val="22"/>
        </w:rPr>
      </w:pPr>
      <w:r w:rsidRPr="002C75B8">
        <w:rPr>
          <w:b/>
          <w:bCs/>
          <w:sz w:val="22"/>
        </w:rPr>
        <w:t>Visceral leishmaniasis</w:t>
      </w:r>
    </w:p>
    <w:p w:rsidR="009F430A" w:rsidRPr="002C75B8" w:rsidRDefault="009F430A" w:rsidP="009F430A">
      <w:pPr>
        <w:ind w:left="0" w:firstLine="0"/>
        <w:rPr>
          <w:sz w:val="22"/>
          <w:lang w:val="en-US"/>
        </w:rPr>
      </w:pPr>
      <w:r>
        <w:rPr>
          <w:noProof/>
          <w:sz w:val="22"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-184150</wp:posOffset>
            </wp:positionH>
            <wp:positionV relativeFrom="paragraph">
              <wp:posOffset>102870</wp:posOffset>
            </wp:positionV>
            <wp:extent cx="3111500" cy="2200275"/>
            <wp:effectExtent l="19050" t="0" r="0" b="0"/>
            <wp:wrapNone/>
            <wp:docPr id="3" name="Picture 3" descr="BGVLmo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GVLmod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0" cy="2200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2"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318770</wp:posOffset>
            </wp:positionV>
            <wp:extent cx="3015615" cy="2131060"/>
            <wp:effectExtent l="19050" t="0" r="0" b="0"/>
            <wp:wrapNone/>
            <wp:docPr id="4" name="Picture 4" descr="BGVLIRm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GVLIRmo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5615" cy="2131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430A" w:rsidRDefault="009F430A" w:rsidP="009F430A">
      <w:pPr>
        <w:ind w:left="0" w:firstLine="0"/>
        <w:rPr>
          <w:noProof/>
          <w:sz w:val="22"/>
          <w:lang w:eastAsia="es-CO"/>
        </w:rPr>
      </w:pPr>
    </w:p>
    <w:p w:rsidR="009F430A" w:rsidRDefault="009F430A" w:rsidP="009F430A">
      <w:pPr>
        <w:ind w:left="0" w:firstLine="0"/>
        <w:rPr>
          <w:noProof/>
          <w:sz w:val="22"/>
          <w:lang w:eastAsia="es-CO"/>
        </w:rPr>
      </w:pPr>
    </w:p>
    <w:p w:rsidR="009F430A" w:rsidRDefault="009F430A" w:rsidP="009F430A">
      <w:pPr>
        <w:ind w:left="0" w:firstLine="0"/>
        <w:rPr>
          <w:noProof/>
          <w:sz w:val="22"/>
          <w:lang w:eastAsia="es-CO"/>
        </w:rPr>
      </w:pPr>
    </w:p>
    <w:p w:rsidR="009F430A" w:rsidRDefault="009F430A" w:rsidP="009F430A">
      <w:pPr>
        <w:ind w:left="0" w:firstLine="0"/>
        <w:rPr>
          <w:noProof/>
          <w:sz w:val="22"/>
          <w:lang w:eastAsia="es-CO"/>
        </w:rPr>
      </w:pPr>
    </w:p>
    <w:p w:rsidR="009F430A" w:rsidRDefault="009F430A" w:rsidP="009F430A">
      <w:pPr>
        <w:ind w:left="0" w:firstLine="0"/>
        <w:rPr>
          <w:noProof/>
          <w:sz w:val="22"/>
          <w:lang w:eastAsia="es-CO"/>
        </w:rPr>
      </w:pPr>
    </w:p>
    <w:p w:rsidR="009F430A" w:rsidRDefault="009F430A" w:rsidP="009F430A">
      <w:pPr>
        <w:ind w:left="0" w:firstLine="0"/>
        <w:rPr>
          <w:noProof/>
          <w:sz w:val="22"/>
          <w:lang w:eastAsia="es-CO"/>
        </w:rPr>
      </w:pPr>
    </w:p>
    <w:p w:rsidR="009F430A" w:rsidRDefault="009F430A" w:rsidP="009F430A">
      <w:pPr>
        <w:ind w:left="0" w:firstLine="0"/>
        <w:rPr>
          <w:noProof/>
          <w:sz w:val="22"/>
          <w:lang w:eastAsia="es-CO"/>
        </w:rPr>
      </w:pPr>
    </w:p>
    <w:p w:rsidR="009F430A" w:rsidRDefault="009F430A" w:rsidP="009F430A">
      <w:pPr>
        <w:ind w:left="0" w:firstLine="0"/>
        <w:rPr>
          <w:noProof/>
          <w:sz w:val="22"/>
          <w:lang w:eastAsia="es-CO"/>
        </w:rPr>
      </w:pPr>
    </w:p>
    <w:p w:rsidR="009F430A" w:rsidRDefault="009F430A" w:rsidP="009F430A">
      <w:pPr>
        <w:ind w:left="0" w:firstLine="0"/>
        <w:rPr>
          <w:noProof/>
          <w:sz w:val="22"/>
          <w:lang w:eastAsia="es-CO"/>
        </w:rPr>
      </w:pPr>
    </w:p>
    <w:p w:rsidR="009F430A" w:rsidRDefault="009F430A" w:rsidP="009F430A">
      <w:pPr>
        <w:ind w:left="0" w:firstLine="0"/>
        <w:rPr>
          <w:noProof/>
          <w:sz w:val="22"/>
          <w:lang w:eastAsia="es-CO"/>
        </w:rPr>
      </w:pPr>
    </w:p>
    <w:p w:rsidR="009F430A" w:rsidRDefault="009F430A" w:rsidP="009F430A">
      <w:pPr>
        <w:ind w:left="0" w:firstLine="0"/>
        <w:rPr>
          <w:noProof/>
          <w:sz w:val="22"/>
          <w:lang w:eastAsia="es-CO"/>
        </w:rPr>
      </w:pPr>
    </w:p>
    <w:p w:rsidR="009F430A" w:rsidRDefault="009F430A" w:rsidP="009F430A">
      <w:pPr>
        <w:ind w:left="0" w:firstLine="0"/>
        <w:rPr>
          <w:noProof/>
          <w:sz w:val="22"/>
          <w:lang w:eastAsia="es-CO"/>
        </w:rPr>
      </w:pPr>
    </w:p>
    <w:p w:rsidR="009F430A" w:rsidRDefault="009F430A" w:rsidP="009F430A">
      <w:pPr>
        <w:ind w:left="0" w:firstLine="0"/>
        <w:rPr>
          <w:noProof/>
          <w:sz w:val="22"/>
          <w:lang w:eastAsia="es-CO"/>
        </w:rPr>
      </w:pPr>
    </w:p>
    <w:p w:rsidR="009F430A" w:rsidRDefault="009F430A" w:rsidP="009F430A">
      <w:pPr>
        <w:ind w:left="0" w:firstLine="0"/>
        <w:rPr>
          <w:noProof/>
          <w:sz w:val="22"/>
          <w:lang w:eastAsia="es-CO"/>
        </w:rPr>
      </w:pPr>
    </w:p>
    <w:p w:rsidR="009F430A" w:rsidRDefault="009F430A" w:rsidP="009F430A">
      <w:pPr>
        <w:ind w:left="0" w:firstLine="0"/>
        <w:rPr>
          <w:b/>
          <w:bCs/>
          <w:sz w:val="22"/>
          <w:lang w:val="en-US"/>
        </w:rPr>
      </w:pPr>
      <w:r w:rsidRPr="002C75B8">
        <w:rPr>
          <w:b/>
          <w:bCs/>
          <w:sz w:val="22"/>
          <w:lang w:val="en-US"/>
        </w:rPr>
        <w:t>Visceral leishmaniasi</w:t>
      </w:r>
      <w:r>
        <w:rPr>
          <w:b/>
          <w:bCs/>
          <w:sz w:val="22"/>
          <w:lang w:val="en-US"/>
        </w:rPr>
        <w:t>s trend</w:t>
      </w:r>
    </w:p>
    <w:p w:rsidR="009F430A" w:rsidRDefault="009F430A" w:rsidP="009F430A">
      <w:pPr>
        <w:ind w:left="0" w:firstLine="0"/>
        <w:rPr>
          <w:b/>
          <w:bCs/>
          <w:sz w:val="22"/>
          <w:lang w:val="en-US"/>
        </w:rPr>
      </w:pPr>
      <w:r>
        <w:rPr>
          <w:noProof/>
          <w:sz w:val="22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149225</wp:posOffset>
            </wp:positionV>
            <wp:extent cx="6572885" cy="2404745"/>
            <wp:effectExtent l="0" t="0" r="0" b="0"/>
            <wp:wrapNone/>
            <wp:docPr id="2" name="Objec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9F430A" w:rsidRPr="002C75B8" w:rsidRDefault="009F430A" w:rsidP="009F430A">
      <w:pPr>
        <w:ind w:left="0" w:firstLine="0"/>
        <w:rPr>
          <w:b/>
          <w:bCs/>
          <w:sz w:val="22"/>
          <w:lang w:val="en-US"/>
        </w:rPr>
      </w:pPr>
    </w:p>
    <w:p w:rsidR="009F430A" w:rsidRPr="002C75B8" w:rsidRDefault="009F430A" w:rsidP="009F430A">
      <w:pPr>
        <w:ind w:left="0" w:firstLine="0"/>
        <w:rPr>
          <w:b/>
          <w:bCs/>
          <w:sz w:val="22"/>
          <w:lang w:val="en-US"/>
        </w:rPr>
      </w:pPr>
    </w:p>
    <w:p w:rsidR="009F430A" w:rsidRDefault="009F430A" w:rsidP="009F430A">
      <w:pPr>
        <w:ind w:left="0" w:firstLine="0"/>
        <w:rPr>
          <w:noProof/>
          <w:sz w:val="22"/>
          <w:lang w:eastAsia="es-CO"/>
        </w:rPr>
      </w:pPr>
    </w:p>
    <w:p w:rsidR="009F430A" w:rsidRDefault="009F430A" w:rsidP="009F430A">
      <w:pPr>
        <w:ind w:left="0" w:firstLine="0"/>
        <w:rPr>
          <w:noProof/>
          <w:sz w:val="22"/>
          <w:lang w:eastAsia="es-CO"/>
        </w:rPr>
      </w:pPr>
    </w:p>
    <w:p w:rsidR="009F430A" w:rsidRDefault="009F430A" w:rsidP="009F430A">
      <w:pPr>
        <w:ind w:left="0" w:firstLine="0"/>
        <w:rPr>
          <w:noProof/>
          <w:sz w:val="22"/>
          <w:lang w:eastAsia="es-CO"/>
        </w:rPr>
      </w:pPr>
    </w:p>
    <w:p w:rsidR="009F430A" w:rsidRDefault="009F430A" w:rsidP="009F430A">
      <w:pPr>
        <w:ind w:left="0" w:firstLine="0"/>
        <w:rPr>
          <w:noProof/>
          <w:sz w:val="22"/>
          <w:lang w:eastAsia="es-CO"/>
        </w:rPr>
      </w:pPr>
    </w:p>
    <w:p w:rsidR="009F430A" w:rsidRDefault="009F430A" w:rsidP="009F430A">
      <w:pPr>
        <w:ind w:left="0" w:firstLine="0"/>
        <w:rPr>
          <w:noProof/>
          <w:sz w:val="22"/>
          <w:lang w:eastAsia="es-CO"/>
        </w:rPr>
      </w:pPr>
    </w:p>
    <w:p w:rsidR="009F430A" w:rsidRDefault="009F430A" w:rsidP="009F430A">
      <w:pPr>
        <w:ind w:left="0" w:firstLine="0"/>
        <w:rPr>
          <w:noProof/>
          <w:sz w:val="22"/>
          <w:lang w:eastAsia="es-CO"/>
        </w:rPr>
      </w:pPr>
    </w:p>
    <w:p w:rsidR="009F430A" w:rsidRDefault="009F430A" w:rsidP="009F430A">
      <w:pPr>
        <w:ind w:left="0" w:firstLine="0"/>
        <w:rPr>
          <w:noProof/>
          <w:sz w:val="22"/>
          <w:lang w:eastAsia="es-CO"/>
        </w:rPr>
      </w:pPr>
    </w:p>
    <w:p w:rsidR="009F430A" w:rsidRDefault="009F430A" w:rsidP="009F430A">
      <w:pPr>
        <w:ind w:left="0" w:firstLine="0"/>
        <w:rPr>
          <w:noProof/>
          <w:sz w:val="22"/>
          <w:lang w:eastAsia="es-CO"/>
        </w:rPr>
      </w:pPr>
    </w:p>
    <w:p w:rsidR="009F430A" w:rsidRDefault="009F430A" w:rsidP="009F430A">
      <w:pPr>
        <w:ind w:left="0" w:firstLine="0"/>
        <w:rPr>
          <w:noProof/>
          <w:sz w:val="22"/>
          <w:lang w:eastAsia="es-CO"/>
        </w:rPr>
      </w:pPr>
    </w:p>
    <w:p w:rsidR="009F430A" w:rsidRDefault="009F430A" w:rsidP="009F430A">
      <w:pPr>
        <w:ind w:left="0" w:firstLine="0"/>
        <w:rPr>
          <w:noProof/>
          <w:sz w:val="22"/>
          <w:lang w:eastAsia="es-CO"/>
        </w:rPr>
      </w:pPr>
    </w:p>
    <w:p w:rsidR="009F430A" w:rsidRDefault="009F430A" w:rsidP="009F430A">
      <w:pPr>
        <w:ind w:left="0" w:firstLine="0"/>
        <w:rPr>
          <w:noProof/>
          <w:sz w:val="22"/>
          <w:lang w:eastAsia="es-CO"/>
        </w:rPr>
      </w:pPr>
    </w:p>
    <w:p w:rsidR="009F430A" w:rsidRPr="002C75B8" w:rsidRDefault="009F430A" w:rsidP="009F430A">
      <w:pPr>
        <w:ind w:left="0" w:firstLine="0"/>
        <w:rPr>
          <w:sz w:val="22"/>
          <w:lang w:val="en-US"/>
        </w:rPr>
      </w:pPr>
    </w:p>
    <w:p w:rsidR="009F430A" w:rsidRPr="002C75B8" w:rsidRDefault="009F430A" w:rsidP="009F430A">
      <w:pPr>
        <w:ind w:left="0" w:firstLine="0"/>
        <w:rPr>
          <w:sz w:val="22"/>
          <w:lang w:val="en-US"/>
        </w:rPr>
      </w:pPr>
    </w:p>
    <w:p w:rsidR="009F430A" w:rsidRPr="002C75B8" w:rsidRDefault="009F430A" w:rsidP="009F430A">
      <w:pPr>
        <w:ind w:left="0" w:firstLine="0"/>
        <w:rPr>
          <w:b/>
          <w:bCs/>
          <w:sz w:val="22"/>
          <w:lang w:val="es-ES"/>
        </w:rPr>
      </w:pPr>
    </w:p>
    <w:p w:rsidR="009F430A" w:rsidRDefault="009F430A" w:rsidP="009F430A">
      <w:pPr>
        <w:ind w:left="0" w:firstLine="0"/>
        <w:rPr>
          <w:b/>
          <w:bCs/>
          <w:sz w:val="22"/>
          <w:lang w:val="en-GB"/>
        </w:rPr>
      </w:pPr>
    </w:p>
    <w:p w:rsidR="009F430A" w:rsidRDefault="009F430A" w:rsidP="009F430A">
      <w:pPr>
        <w:ind w:left="0" w:firstLine="0"/>
        <w:rPr>
          <w:b/>
          <w:bCs/>
          <w:sz w:val="22"/>
          <w:lang w:val="en-GB"/>
        </w:rPr>
      </w:pPr>
    </w:p>
    <w:p w:rsidR="009F430A" w:rsidRDefault="009F430A" w:rsidP="009F430A">
      <w:pPr>
        <w:ind w:left="0" w:firstLine="0"/>
        <w:rPr>
          <w:b/>
          <w:bCs/>
          <w:sz w:val="22"/>
          <w:lang w:val="en-GB"/>
        </w:rPr>
      </w:pPr>
    </w:p>
    <w:p w:rsidR="009F430A" w:rsidRDefault="009F430A" w:rsidP="009F430A">
      <w:pPr>
        <w:ind w:left="0" w:firstLine="0"/>
        <w:rPr>
          <w:b/>
          <w:bCs/>
          <w:sz w:val="22"/>
          <w:lang w:val="en-GB"/>
        </w:rPr>
      </w:pPr>
    </w:p>
    <w:p w:rsidR="009F430A" w:rsidRDefault="009F430A" w:rsidP="009F430A">
      <w:pPr>
        <w:ind w:left="0" w:firstLine="0"/>
        <w:rPr>
          <w:b/>
          <w:bCs/>
          <w:sz w:val="22"/>
          <w:lang w:val="en-GB"/>
        </w:rPr>
      </w:pPr>
    </w:p>
    <w:p w:rsidR="009F430A" w:rsidRDefault="009F430A" w:rsidP="009F430A">
      <w:pPr>
        <w:ind w:left="0" w:firstLine="0"/>
        <w:rPr>
          <w:b/>
          <w:bCs/>
          <w:sz w:val="22"/>
          <w:lang w:val="en-GB"/>
        </w:rPr>
      </w:pPr>
    </w:p>
    <w:p w:rsidR="009F430A" w:rsidRPr="002C75B8" w:rsidRDefault="009F430A" w:rsidP="009F430A">
      <w:pPr>
        <w:ind w:left="0" w:firstLine="0"/>
        <w:rPr>
          <w:sz w:val="22"/>
          <w:lang w:val="en-GB"/>
        </w:rPr>
      </w:pPr>
      <w:r w:rsidRPr="002C75B8">
        <w:rPr>
          <w:b/>
          <w:bCs/>
          <w:sz w:val="22"/>
          <w:lang w:val="en-GB"/>
        </w:rPr>
        <w:lastRenderedPageBreak/>
        <w:t>CONTROL</w:t>
      </w:r>
    </w:p>
    <w:p w:rsidR="009F430A" w:rsidRDefault="009F430A" w:rsidP="009F430A">
      <w:pPr>
        <w:ind w:left="0" w:firstLine="0"/>
        <w:rPr>
          <w:sz w:val="22"/>
          <w:lang w:val="en-GB"/>
        </w:rPr>
      </w:pPr>
    </w:p>
    <w:p w:rsidR="009F430A" w:rsidRPr="002C75B8" w:rsidRDefault="009F430A" w:rsidP="009F430A">
      <w:pPr>
        <w:ind w:left="0" w:firstLine="0"/>
        <w:rPr>
          <w:sz w:val="22"/>
          <w:lang w:val="en-US"/>
        </w:rPr>
      </w:pPr>
      <w:r w:rsidRPr="002C75B8">
        <w:rPr>
          <w:sz w:val="22"/>
          <w:lang w:val="en-GB"/>
        </w:rPr>
        <w:t xml:space="preserve">The notification of leishmaniasis is mandatory in the country. There is no </w:t>
      </w:r>
      <w:r w:rsidRPr="002C75B8">
        <w:rPr>
          <w:sz w:val="22"/>
          <w:lang w:val="en-US"/>
        </w:rPr>
        <w:t xml:space="preserve">national </w:t>
      </w:r>
      <w:r>
        <w:rPr>
          <w:sz w:val="22"/>
          <w:lang w:val="en-US"/>
        </w:rPr>
        <w:t>l</w:t>
      </w:r>
      <w:r w:rsidRPr="002C75B8">
        <w:rPr>
          <w:sz w:val="22"/>
          <w:lang w:val="en-US"/>
        </w:rPr>
        <w:t xml:space="preserve">eishmaniasis control program. Active human case detection is not regularly performed. There is no leishmaniasis vector control program and no </w:t>
      </w:r>
      <w:proofErr w:type="spellStart"/>
      <w:r w:rsidRPr="002C75B8">
        <w:rPr>
          <w:sz w:val="22"/>
          <w:lang w:val="en-US"/>
        </w:rPr>
        <w:t>bednet</w:t>
      </w:r>
      <w:proofErr w:type="spellEnd"/>
      <w:r w:rsidRPr="002C75B8">
        <w:rPr>
          <w:sz w:val="22"/>
          <w:lang w:val="en-US"/>
        </w:rPr>
        <w:t xml:space="preserve"> distribution program. There is a leishmaniasis reservoir control program. Serological surveys of dogs are not regularly performed and positive dogs are not sacrificed.</w:t>
      </w:r>
    </w:p>
    <w:p w:rsidR="009F430A" w:rsidRDefault="009F430A" w:rsidP="009F430A">
      <w:pPr>
        <w:ind w:left="0" w:firstLine="0"/>
        <w:rPr>
          <w:sz w:val="22"/>
          <w:lang w:val="en-US"/>
        </w:rPr>
      </w:pPr>
    </w:p>
    <w:p w:rsidR="009F430A" w:rsidRPr="002C75B8" w:rsidRDefault="009F430A" w:rsidP="009F430A">
      <w:pPr>
        <w:ind w:left="0" w:firstLine="0"/>
        <w:rPr>
          <w:sz w:val="22"/>
          <w:lang w:val="en-US"/>
        </w:rPr>
      </w:pPr>
    </w:p>
    <w:p w:rsidR="009F430A" w:rsidRPr="002C75B8" w:rsidRDefault="009F430A" w:rsidP="009F430A">
      <w:pPr>
        <w:ind w:left="0" w:firstLine="0"/>
        <w:rPr>
          <w:sz w:val="22"/>
          <w:lang w:val="en-GB"/>
        </w:rPr>
      </w:pPr>
      <w:r w:rsidRPr="002C75B8">
        <w:rPr>
          <w:b/>
          <w:bCs/>
          <w:sz w:val="22"/>
          <w:lang w:val="en-GB"/>
        </w:rPr>
        <w:t xml:space="preserve">DIAGNOSIS, TREATMENT </w:t>
      </w:r>
    </w:p>
    <w:p w:rsidR="009F430A" w:rsidRPr="002C75B8" w:rsidRDefault="009F430A" w:rsidP="009F430A">
      <w:pPr>
        <w:ind w:left="0" w:firstLine="0"/>
        <w:rPr>
          <w:sz w:val="22"/>
          <w:lang w:val="en-US"/>
        </w:rPr>
      </w:pPr>
    </w:p>
    <w:p w:rsidR="009F430A" w:rsidRDefault="009F430A" w:rsidP="009F430A">
      <w:pPr>
        <w:ind w:left="0" w:firstLine="0"/>
        <w:rPr>
          <w:sz w:val="22"/>
          <w:lang w:val="en-GB"/>
        </w:rPr>
      </w:pPr>
      <w:r w:rsidRPr="002C75B8">
        <w:rPr>
          <w:b/>
          <w:bCs/>
          <w:sz w:val="22"/>
          <w:lang w:val="en-GB"/>
        </w:rPr>
        <w:t>Diagnosis</w:t>
      </w:r>
    </w:p>
    <w:p w:rsidR="009F430A" w:rsidRPr="002C75B8" w:rsidRDefault="009F430A" w:rsidP="009F430A">
      <w:pPr>
        <w:ind w:left="0" w:firstLine="0"/>
        <w:rPr>
          <w:sz w:val="22"/>
          <w:lang w:val="en-GB"/>
        </w:rPr>
      </w:pPr>
      <w:r>
        <w:rPr>
          <w:sz w:val="22"/>
          <w:lang w:val="en-GB"/>
        </w:rPr>
        <w:t xml:space="preserve">VL: </w:t>
      </w:r>
      <w:r w:rsidRPr="002C75B8">
        <w:rPr>
          <w:sz w:val="22"/>
          <w:lang w:val="en-GB"/>
        </w:rPr>
        <w:t>c</w:t>
      </w:r>
      <w:proofErr w:type="spellStart"/>
      <w:r w:rsidRPr="002C75B8">
        <w:rPr>
          <w:sz w:val="22"/>
          <w:lang w:val="en-US"/>
        </w:rPr>
        <w:t>onfirmation</w:t>
      </w:r>
      <w:proofErr w:type="spellEnd"/>
      <w:r w:rsidRPr="002C75B8">
        <w:rPr>
          <w:sz w:val="22"/>
          <w:lang w:val="en-US"/>
        </w:rPr>
        <w:t xml:space="preserve"> by microscopic examination of bone marrow aspirate </w:t>
      </w:r>
      <w:r w:rsidRPr="002C75B8">
        <w:rPr>
          <w:sz w:val="22"/>
          <w:lang w:val="en-GB"/>
        </w:rPr>
        <w:t xml:space="preserve">or </w:t>
      </w:r>
      <w:r w:rsidRPr="002C75B8">
        <w:rPr>
          <w:sz w:val="22"/>
          <w:lang w:val="bg-BG"/>
        </w:rPr>
        <w:t>ELISA</w:t>
      </w:r>
      <w:r w:rsidRPr="00DF3C86">
        <w:rPr>
          <w:sz w:val="22"/>
          <w:lang w:val="en-GB"/>
        </w:rPr>
        <w:t>.</w:t>
      </w:r>
      <w:r w:rsidRPr="002C75B8">
        <w:rPr>
          <w:sz w:val="22"/>
          <w:lang w:val="en-GB"/>
        </w:rPr>
        <w:t xml:space="preserve"> </w:t>
      </w:r>
    </w:p>
    <w:p w:rsidR="009F430A" w:rsidRPr="002C75B8" w:rsidRDefault="009F430A" w:rsidP="009F430A">
      <w:pPr>
        <w:ind w:left="0" w:firstLine="0"/>
        <w:rPr>
          <w:sz w:val="22"/>
          <w:lang w:val="en-US"/>
        </w:rPr>
      </w:pPr>
    </w:p>
    <w:p w:rsidR="009F430A" w:rsidRDefault="009F430A" w:rsidP="009F430A">
      <w:pPr>
        <w:ind w:left="0" w:firstLine="0"/>
        <w:rPr>
          <w:sz w:val="22"/>
          <w:lang w:val="en-GB"/>
        </w:rPr>
      </w:pPr>
      <w:r w:rsidRPr="002C75B8">
        <w:rPr>
          <w:b/>
          <w:bCs/>
          <w:sz w:val="22"/>
          <w:lang w:val="en-GB"/>
        </w:rPr>
        <w:t>Treatment</w:t>
      </w:r>
    </w:p>
    <w:p w:rsidR="009F430A" w:rsidRPr="002C75B8" w:rsidRDefault="009F430A" w:rsidP="009F430A">
      <w:pPr>
        <w:ind w:left="0" w:firstLine="0"/>
        <w:rPr>
          <w:sz w:val="22"/>
          <w:lang w:val="en-GB"/>
        </w:rPr>
      </w:pPr>
      <w:r>
        <w:rPr>
          <w:sz w:val="22"/>
          <w:lang w:val="en-GB"/>
        </w:rPr>
        <w:t xml:space="preserve">VL: </w:t>
      </w:r>
      <w:r w:rsidRPr="002C75B8">
        <w:rPr>
          <w:sz w:val="22"/>
          <w:lang w:val="en-GB"/>
        </w:rPr>
        <w:t>a</w:t>
      </w:r>
      <w:r w:rsidRPr="002C75B8">
        <w:rPr>
          <w:sz w:val="22"/>
          <w:lang w:val="bg-BG"/>
        </w:rPr>
        <w:t>ntimonial</w:t>
      </w:r>
      <w:r w:rsidRPr="002C75B8">
        <w:rPr>
          <w:sz w:val="22"/>
          <w:lang w:val="en-US"/>
        </w:rPr>
        <w:t xml:space="preserve">s (Glucantime) 20 mg </w:t>
      </w:r>
      <w:proofErr w:type="spellStart"/>
      <w:r w:rsidRPr="002C75B8">
        <w:rPr>
          <w:sz w:val="22"/>
          <w:lang w:val="en-US"/>
        </w:rPr>
        <w:t>Sb</w:t>
      </w:r>
      <w:r w:rsidRPr="002C75B8">
        <w:rPr>
          <w:sz w:val="22"/>
          <w:vertAlign w:val="superscript"/>
          <w:lang w:val="en-US"/>
        </w:rPr>
        <w:t>v</w:t>
      </w:r>
      <w:proofErr w:type="spellEnd"/>
      <w:r w:rsidRPr="002C75B8">
        <w:rPr>
          <w:sz w:val="22"/>
          <w:lang w:val="en-US"/>
        </w:rPr>
        <w:t>/kg/day for 20 - 28 days.</w:t>
      </w:r>
      <w:r w:rsidRPr="002C75B8">
        <w:rPr>
          <w:sz w:val="22"/>
          <w:lang w:val="en-GB"/>
        </w:rPr>
        <w:t xml:space="preserve"> </w:t>
      </w:r>
    </w:p>
    <w:p w:rsidR="009F430A" w:rsidRPr="002C75B8" w:rsidRDefault="009F430A" w:rsidP="009F430A">
      <w:pPr>
        <w:ind w:left="0" w:firstLine="0"/>
        <w:rPr>
          <w:sz w:val="22"/>
          <w:lang w:val="en-GB"/>
        </w:rPr>
      </w:pPr>
    </w:p>
    <w:p w:rsidR="009F430A" w:rsidRPr="002C75B8" w:rsidRDefault="009F430A" w:rsidP="009F430A">
      <w:pPr>
        <w:ind w:left="0" w:firstLine="0"/>
        <w:rPr>
          <w:b/>
          <w:bCs/>
          <w:sz w:val="22"/>
          <w:lang w:val="en-GB"/>
        </w:rPr>
      </w:pPr>
    </w:p>
    <w:p w:rsidR="009F430A" w:rsidRPr="002C75B8" w:rsidRDefault="009F430A" w:rsidP="009F430A">
      <w:pPr>
        <w:ind w:left="0" w:firstLine="0"/>
        <w:rPr>
          <w:b/>
          <w:bCs/>
          <w:sz w:val="22"/>
          <w:lang w:val="en-GB"/>
        </w:rPr>
      </w:pPr>
      <w:r w:rsidRPr="002C75B8">
        <w:rPr>
          <w:b/>
          <w:bCs/>
          <w:sz w:val="22"/>
          <w:lang w:val="en-GB"/>
        </w:rPr>
        <w:t>ACCESS TO CARE</w:t>
      </w:r>
    </w:p>
    <w:p w:rsidR="009F430A" w:rsidRPr="002C75B8" w:rsidRDefault="009F430A" w:rsidP="009F430A">
      <w:pPr>
        <w:ind w:left="0" w:firstLine="0"/>
        <w:rPr>
          <w:sz w:val="22"/>
          <w:lang w:val="en-GB"/>
        </w:rPr>
      </w:pPr>
    </w:p>
    <w:p w:rsidR="009F430A" w:rsidRDefault="009F430A" w:rsidP="009F430A">
      <w:pPr>
        <w:ind w:left="0" w:firstLine="0"/>
        <w:rPr>
          <w:sz w:val="22"/>
          <w:lang w:val="en-GB"/>
        </w:rPr>
      </w:pPr>
      <w:r w:rsidRPr="002C75B8">
        <w:rPr>
          <w:sz w:val="22"/>
          <w:lang w:val="en-GB"/>
        </w:rPr>
        <w:t>Care for leishmaniasis is provided for free in Bulgaria</w:t>
      </w:r>
      <w:r>
        <w:rPr>
          <w:sz w:val="22"/>
          <w:lang w:val="en-GB"/>
        </w:rPr>
        <w:t>,</w:t>
      </w:r>
      <w:r w:rsidRPr="002C75B8">
        <w:rPr>
          <w:sz w:val="22"/>
          <w:lang w:val="en-GB"/>
        </w:rPr>
        <w:t xml:space="preserve"> but patients have to pay for the drugs (meglumine a</w:t>
      </w:r>
      <w:r>
        <w:rPr>
          <w:sz w:val="22"/>
          <w:lang w:val="en-GB"/>
        </w:rPr>
        <w:t xml:space="preserve">ntimoniate (Glucantime, </w:t>
      </w:r>
      <w:proofErr w:type="spellStart"/>
      <w:r>
        <w:rPr>
          <w:sz w:val="22"/>
          <w:lang w:val="en-GB"/>
        </w:rPr>
        <w:t>Sanofi</w:t>
      </w:r>
      <w:proofErr w:type="spellEnd"/>
      <w:r w:rsidRPr="002C75B8">
        <w:rPr>
          <w:sz w:val="22"/>
          <w:lang w:val="en-GB"/>
        </w:rPr>
        <w:t>) themselves as these are not provided by the government. Cases can only be diagnosed and treated in one specialized hospital</w:t>
      </w:r>
      <w:r>
        <w:rPr>
          <w:sz w:val="22"/>
          <w:lang w:val="en-GB"/>
        </w:rPr>
        <w:t>.</w:t>
      </w:r>
      <w:r w:rsidRPr="002C75B8">
        <w:rPr>
          <w:sz w:val="22"/>
          <w:lang w:val="en-GB"/>
        </w:rPr>
        <w:t xml:space="preserve"> The drugs are unaffordable for poor patients. They seek substandard private care or care </w:t>
      </w:r>
      <w:r>
        <w:rPr>
          <w:sz w:val="22"/>
          <w:lang w:val="en-GB"/>
        </w:rPr>
        <w:t>by</w:t>
      </w:r>
      <w:r w:rsidRPr="002C75B8">
        <w:rPr>
          <w:sz w:val="22"/>
          <w:lang w:val="en-GB"/>
        </w:rPr>
        <w:t xml:space="preserve"> traditional healers before reporting to the health facilities. </w:t>
      </w:r>
    </w:p>
    <w:p w:rsidR="009F430A" w:rsidRPr="002C75B8" w:rsidRDefault="009F430A" w:rsidP="009F430A">
      <w:pPr>
        <w:ind w:left="0" w:firstLine="0"/>
        <w:rPr>
          <w:sz w:val="22"/>
          <w:lang w:val="en-US"/>
        </w:rPr>
      </w:pPr>
    </w:p>
    <w:p w:rsidR="009F430A" w:rsidRDefault="009F430A" w:rsidP="009F430A">
      <w:pPr>
        <w:ind w:left="0" w:firstLine="0"/>
        <w:rPr>
          <w:sz w:val="22"/>
          <w:lang w:val="en-US"/>
        </w:rPr>
      </w:pPr>
      <w:r>
        <w:rPr>
          <w:sz w:val="22"/>
          <w:lang w:val="en-GB"/>
        </w:rPr>
        <w:t>F</w:t>
      </w:r>
      <w:r w:rsidRPr="002C75B8">
        <w:rPr>
          <w:sz w:val="22"/>
          <w:lang w:val="en-GB"/>
        </w:rPr>
        <w:t xml:space="preserve">rom </w:t>
      </w:r>
      <w:r w:rsidRPr="002C75B8">
        <w:rPr>
          <w:sz w:val="22"/>
          <w:lang w:val="en-US"/>
        </w:rPr>
        <w:t>1988 to 2008</w:t>
      </w:r>
      <w:r>
        <w:rPr>
          <w:sz w:val="22"/>
          <w:lang w:val="en-US"/>
        </w:rPr>
        <w:t>,</w:t>
      </w:r>
      <w:r w:rsidRPr="002C75B8">
        <w:rPr>
          <w:sz w:val="22"/>
          <w:lang w:val="en-US"/>
        </w:rPr>
        <w:t xml:space="preserve"> 1</w:t>
      </w:r>
      <w:r w:rsidRPr="002C75B8">
        <w:rPr>
          <w:sz w:val="22"/>
          <w:lang w:val="bg-BG"/>
        </w:rPr>
        <w:t>7 (1</w:t>
      </w:r>
      <w:r w:rsidRPr="002C75B8">
        <w:rPr>
          <w:sz w:val="22"/>
          <w:lang w:val="en-US"/>
        </w:rPr>
        <w:t>6</w:t>
      </w:r>
      <w:r w:rsidRPr="002C75B8">
        <w:rPr>
          <w:sz w:val="22"/>
          <w:lang w:val="bg-BG"/>
        </w:rPr>
        <w:t xml:space="preserve">%) </w:t>
      </w:r>
      <w:r w:rsidRPr="002C75B8">
        <w:rPr>
          <w:sz w:val="22"/>
          <w:lang w:val="en-US"/>
        </w:rPr>
        <w:t>patients died from VL due to late diagnosis and treatment</w:t>
      </w:r>
      <w:r>
        <w:rPr>
          <w:sz w:val="22"/>
          <w:lang w:val="en-US"/>
        </w:rPr>
        <w:t>, and d</w:t>
      </w:r>
      <w:proofErr w:type="spellStart"/>
      <w:r w:rsidRPr="002C75B8">
        <w:rPr>
          <w:sz w:val="22"/>
          <w:lang w:val="en-GB"/>
        </w:rPr>
        <w:t>ue</w:t>
      </w:r>
      <w:proofErr w:type="spellEnd"/>
      <w:r w:rsidRPr="002C75B8">
        <w:rPr>
          <w:sz w:val="22"/>
          <w:lang w:val="en-GB"/>
        </w:rPr>
        <w:t xml:space="preserve"> to a lack of awareness of the disease</w:t>
      </w:r>
      <w:r w:rsidRPr="002C75B8">
        <w:rPr>
          <w:sz w:val="22"/>
          <w:lang w:val="en-US"/>
        </w:rPr>
        <w:t xml:space="preserve">. The period between disease and diagnosis of VL varied between 1 month and a year. </w:t>
      </w:r>
    </w:p>
    <w:p w:rsidR="009F430A" w:rsidRPr="002C75B8" w:rsidRDefault="009F430A" w:rsidP="009F430A">
      <w:pPr>
        <w:ind w:left="0" w:firstLine="0"/>
        <w:rPr>
          <w:sz w:val="22"/>
          <w:lang w:val="en-US"/>
        </w:rPr>
      </w:pPr>
    </w:p>
    <w:p w:rsidR="009F430A" w:rsidRPr="002C75B8" w:rsidRDefault="009F430A" w:rsidP="009F430A">
      <w:pPr>
        <w:ind w:left="0" w:firstLine="0"/>
        <w:rPr>
          <w:sz w:val="22"/>
          <w:lang w:val="en-US"/>
        </w:rPr>
      </w:pPr>
    </w:p>
    <w:p w:rsidR="009F430A" w:rsidRPr="002C75B8" w:rsidRDefault="009F430A" w:rsidP="009F430A">
      <w:pPr>
        <w:ind w:left="0" w:firstLine="0"/>
        <w:rPr>
          <w:sz w:val="22"/>
          <w:lang w:val="en-GB"/>
        </w:rPr>
      </w:pPr>
      <w:r w:rsidRPr="002C75B8">
        <w:rPr>
          <w:b/>
          <w:bCs/>
          <w:sz w:val="22"/>
          <w:lang w:val="en-GB"/>
        </w:rPr>
        <w:t>ACCESS TO DRUGS</w:t>
      </w:r>
    </w:p>
    <w:p w:rsidR="009F430A" w:rsidRPr="002C75B8" w:rsidRDefault="009F430A" w:rsidP="009F430A">
      <w:pPr>
        <w:ind w:left="0" w:firstLine="0"/>
        <w:rPr>
          <w:sz w:val="22"/>
          <w:lang w:val="en-US"/>
        </w:rPr>
      </w:pPr>
    </w:p>
    <w:p w:rsidR="009F430A" w:rsidRDefault="009F430A" w:rsidP="009F430A">
      <w:pPr>
        <w:ind w:left="0" w:firstLine="0"/>
        <w:rPr>
          <w:sz w:val="22"/>
          <w:lang w:val="en-GB"/>
        </w:rPr>
      </w:pPr>
      <w:r w:rsidRPr="002C75B8">
        <w:rPr>
          <w:sz w:val="22"/>
          <w:lang w:val="en-US"/>
        </w:rPr>
        <w:t xml:space="preserve">There are no officially registered drugs for leishmaniasis in </w:t>
      </w:r>
      <w:smartTag w:uri="urn:schemas-microsoft-com:office:smarttags" w:element="place">
        <w:smartTag w:uri="urn:schemas-microsoft-com:office:smarttags" w:element="country-region">
          <w:r w:rsidRPr="002C75B8">
            <w:rPr>
              <w:sz w:val="22"/>
              <w:lang w:val="en-US"/>
            </w:rPr>
            <w:t>Bulgaria</w:t>
          </w:r>
        </w:smartTag>
      </w:smartTag>
      <w:r w:rsidRPr="002C75B8">
        <w:rPr>
          <w:sz w:val="22"/>
          <w:lang w:val="en-US"/>
        </w:rPr>
        <w:t xml:space="preserve"> and none are </w:t>
      </w:r>
      <w:r w:rsidRPr="002C75B8">
        <w:rPr>
          <w:sz w:val="22"/>
          <w:lang w:val="en-GB"/>
        </w:rPr>
        <w:t xml:space="preserve">included in the National Essential Drug List. They are not available </w:t>
      </w:r>
      <w:r>
        <w:rPr>
          <w:sz w:val="22"/>
          <w:lang w:val="en-GB"/>
        </w:rPr>
        <w:t>at</w:t>
      </w:r>
      <w:r w:rsidRPr="002C75B8">
        <w:rPr>
          <w:sz w:val="22"/>
          <w:lang w:val="en-GB"/>
        </w:rPr>
        <w:t xml:space="preserve"> pharmacies or drug markets. No antimonials are registered in </w:t>
      </w:r>
      <w:smartTag w:uri="urn:schemas-microsoft-com:office:smarttags" w:element="place">
        <w:smartTag w:uri="urn:schemas-microsoft-com:office:smarttags" w:element="country-region">
          <w:r w:rsidRPr="002C75B8">
            <w:rPr>
              <w:sz w:val="22"/>
              <w:lang w:val="en-GB"/>
            </w:rPr>
            <w:t>Bulgaria</w:t>
          </w:r>
        </w:smartTag>
      </w:smartTag>
      <w:r w:rsidRPr="002C75B8">
        <w:rPr>
          <w:sz w:val="22"/>
          <w:lang w:val="en-GB"/>
        </w:rPr>
        <w:t xml:space="preserve">. </w:t>
      </w:r>
    </w:p>
    <w:p w:rsidR="009F430A" w:rsidRPr="002C75B8" w:rsidRDefault="009F430A" w:rsidP="009F430A">
      <w:pPr>
        <w:ind w:left="0" w:firstLine="0"/>
        <w:rPr>
          <w:sz w:val="22"/>
          <w:lang w:val="en-US"/>
        </w:rPr>
      </w:pPr>
    </w:p>
    <w:p w:rsidR="009F430A" w:rsidRPr="002C75B8" w:rsidRDefault="009F430A" w:rsidP="009F430A">
      <w:pPr>
        <w:ind w:left="0" w:firstLine="0"/>
        <w:rPr>
          <w:sz w:val="22"/>
          <w:lang w:val="en-US"/>
        </w:rPr>
      </w:pPr>
    </w:p>
    <w:p w:rsidR="009F430A" w:rsidRPr="002C75B8" w:rsidRDefault="009F430A" w:rsidP="009F430A">
      <w:pPr>
        <w:ind w:left="0" w:firstLine="0"/>
        <w:rPr>
          <w:sz w:val="22"/>
          <w:lang w:val="en-GB"/>
        </w:rPr>
      </w:pPr>
      <w:r w:rsidRPr="002C75B8">
        <w:rPr>
          <w:b/>
          <w:bCs/>
          <w:sz w:val="22"/>
          <w:lang w:val="en-GB"/>
        </w:rPr>
        <w:t>SOURCES OF INFORMATION</w:t>
      </w:r>
    </w:p>
    <w:p w:rsidR="009F430A" w:rsidRPr="002C75B8" w:rsidRDefault="009F430A" w:rsidP="009F430A">
      <w:pPr>
        <w:ind w:left="0" w:firstLine="0"/>
        <w:rPr>
          <w:sz w:val="22"/>
          <w:lang w:val="en-US"/>
        </w:rPr>
      </w:pPr>
    </w:p>
    <w:p w:rsidR="009F430A" w:rsidRPr="002159B8" w:rsidRDefault="009F430A" w:rsidP="009F430A">
      <w:pPr>
        <w:numPr>
          <w:ilvl w:val="0"/>
          <w:numId w:val="5"/>
        </w:numPr>
        <w:autoSpaceDE w:val="0"/>
        <w:autoSpaceDN w:val="0"/>
        <w:adjustRightInd w:val="0"/>
        <w:rPr>
          <w:i/>
          <w:iCs/>
          <w:sz w:val="22"/>
          <w:lang w:val="en-GB"/>
        </w:rPr>
      </w:pPr>
      <w:r>
        <w:rPr>
          <w:sz w:val="22"/>
          <w:lang w:val="en-US"/>
        </w:rPr>
        <w:t>Drs</w:t>
      </w:r>
      <w:r w:rsidRPr="00AE5AB7">
        <w:rPr>
          <w:color w:val="FF0000"/>
          <w:sz w:val="22"/>
          <w:lang w:val="en-US"/>
        </w:rPr>
        <w:t xml:space="preserve"> </w:t>
      </w:r>
      <w:r>
        <w:rPr>
          <w:sz w:val="22"/>
          <w:lang w:val="en-US"/>
        </w:rPr>
        <w:t xml:space="preserve">Tatiana </w:t>
      </w:r>
      <w:proofErr w:type="spellStart"/>
      <w:r>
        <w:rPr>
          <w:sz w:val="22"/>
          <w:lang w:val="en-US"/>
        </w:rPr>
        <w:t>Tcherveniakova</w:t>
      </w:r>
      <w:proofErr w:type="spellEnd"/>
      <w:r w:rsidRPr="002C75B8">
        <w:rPr>
          <w:sz w:val="22"/>
          <w:lang w:val="en-US"/>
        </w:rPr>
        <w:t xml:space="preserve"> and Nina </w:t>
      </w:r>
      <w:proofErr w:type="spellStart"/>
      <w:r w:rsidRPr="002C75B8">
        <w:rPr>
          <w:sz w:val="22"/>
          <w:lang w:val="en-US"/>
        </w:rPr>
        <w:t>Yancheva</w:t>
      </w:r>
      <w:proofErr w:type="spellEnd"/>
      <w:r w:rsidRPr="002C75B8">
        <w:rPr>
          <w:sz w:val="22"/>
          <w:lang w:val="en-US"/>
        </w:rPr>
        <w:t>, Specialized Hospital for Infectious and Parasitic Diseases</w:t>
      </w:r>
      <w:r>
        <w:rPr>
          <w:sz w:val="22"/>
          <w:lang w:val="en-US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2C75B8">
            <w:rPr>
              <w:sz w:val="22"/>
              <w:lang w:val="en-US"/>
            </w:rPr>
            <w:t>Sofia</w:t>
          </w:r>
        </w:smartTag>
      </w:smartTag>
      <w:r>
        <w:rPr>
          <w:sz w:val="22"/>
          <w:lang w:val="en-US"/>
        </w:rPr>
        <w:t xml:space="preserve">. </w:t>
      </w:r>
      <w:r>
        <w:rPr>
          <w:i/>
          <w:iCs/>
          <w:sz w:val="22"/>
          <w:lang w:val="en-GB"/>
        </w:rPr>
        <w:t>A WHO e</w:t>
      </w:r>
      <w:r w:rsidRPr="00302FD4">
        <w:rPr>
          <w:i/>
          <w:iCs/>
          <w:sz w:val="22"/>
          <w:lang w:val="en-GB"/>
        </w:rPr>
        <w:t xml:space="preserve">xploratory meeting on Leishmaniasis in the Balkan Countries. </w:t>
      </w:r>
      <w:smartTag w:uri="urn:schemas-microsoft-com:office:smarttags" w:element="place">
        <w:smartTag w:uri="urn:schemas-microsoft-com:office:smarttags" w:element="City">
          <w:r w:rsidRPr="00302FD4">
            <w:rPr>
              <w:i/>
              <w:iCs/>
              <w:sz w:val="22"/>
              <w:lang w:val="en-GB"/>
            </w:rPr>
            <w:t>Dubrovnik</w:t>
          </w:r>
        </w:smartTag>
        <w:r w:rsidRPr="00302FD4">
          <w:rPr>
            <w:i/>
            <w:iCs/>
            <w:sz w:val="22"/>
            <w:lang w:val="en-GB"/>
          </w:rPr>
          <w:t xml:space="preserve">, </w:t>
        </w:r>
        <w:smartTag w:uri="urn:schemas-microsoft-com:office:smarttags" w:element="country-region">
          <w:r w:rsidRPr="00302FD4">
            <w:rPr>
              <w:i/>
              <w:iCs/>
              <w:sz w:val="22"/>
              <w:lang w:val="en-GB"/>
            </w:rPr>
            <w:t>Croatia</w:t>
          </w:r>
        </w:smartTag>
      </w:smartTag>
      <w:r w:rsidRPr="00302FD4">
        <w:rPr>
          <w:i/>
          <w:iCs/>
          <w:sz w:val="22"/>
          <w:lang w:val="en-GB"/>
        </w:rPr>
        <w:t xml:space="preserve">, 10-12 </w:t>
      </w:r>
      <w:proofErr w:type="spellStart"/>
      <w:r w:rsidRPr="00302FD4">
        <w:rPr>
          <w:i/>
          <w:iCs/>
          <w:sz w:val="22"/>
          <w:lang w:val="en-GB"/>
        </w:rPr>
        <w:t>Fe</w:t>
      </w:r>
      <w:r>
        <w:rPr>
          <w:i/>
          <w:iCs/>
          <w:sz w:val="22"/>
          <w:lang w:val="en-GB"/>
        </w:rPr>
        <w:t>ruary</w:t>
      </w:r>
      <w:proofErr w:type="spellEnd"/>
      <w:r w:rsidRPr="00302FD4">
        <w:rPr>
          <w:i/>
          <w:iCs/>
          <w:sz w:val="22"/>
          <w:lang w:val="en-GB"/>
        </w:rPr>
        <w:t xml:space="preserve"> 2010</w:t>
      </w:r>
      <w:r>
        <w:rPr>
          <w:i/>
          <w:iCs/>
          <w:sz w:val="22"/>
          <w:lang w:val="en-GB"/>
        </w:rPr>
        <w:t>.</w:t>
      </w:r>
    </w:p>
    <w:p w:rsidR="009F430A" w:rsidRPr="002C75B8" w:rsidRDefault="009F430A" w:rsidP="009F430A">
      <w:pPr>
        <w:ind w:left="0" w:firstLine="0"/>
        <w:rPr>
          <w:sz w:val="22"/>
          <w:lang w:val="en-US"/>
        </w:rPr>
      </w:pPr>
    </w:p>
    <w:p w:rsidR="009F430A" w:rsidRPr="002C75B8" w:rsidRDefault="009F430A" w:rsidP="009F430A">
      <w:pPr>
        <w:ind w:left="0" w:firstLine="0"/>
        <w:rPr>
          <w:color w:val="984806"/>
          <w:sz w:val="22"/>
          <w:lang w:val="en-US"/>
        </w:rPr>
      </w:pPr>
    </w:p>
    <w:p w:rsidR="009F430A" w:rsidRPr="00DD678E" w:rsidRDefault="009F430A" w:rsidP="009F430A">
      <w:pPr>
        <w:ind w:left="0" w:firstLine="0"/>
        <w:rPr>
          <w:color w:val="000000"/>
          <w:sz w:val="22"/>
          <w:lang w:val="en-US"/>
        </w:rPr>
      </w:pPr>
    </w:p>
    <w:p w:rsidR="009F430A" w:rsidRPr="00DD678E" w:rsidRDefault="009F430A" w:rsidP="009F430A">
      <w:pPr>
        <w:ind w:left="0" w:firstLine="0"/>
        <w:rPr>
          <w:color w:val="000000"/>
          <w:sz w:val="22"/>
          <w:lang w:val="en-US"/>
        </w:rPr>
      </w:pPr>
      <w:r w:rsidRPr="00DD678E">
        <w:rPr>
          <w:bCs/>
          <w:color w:val="000000"/>
          <w:sz w:val="22"/>
          <w:lang w:val="en-US"/>
        </w:rPr>
        <w:t xml:space="preserve">1. </w:t>
      </w:r>
      <w:proofErr w:type="spellStart"/>
      <w:r w:rsidRPr="00DD678E">
        <w:rPr>
          <w:bCs/>
          <w:color w:val="000000"/>
          <w:sz w:val="22"/>
          <w:lang w:val="en-US"/>
        </w:rPr>
        <w:t>Chakarova</w:t>
      </w:r>
      <w:proofErr w:type="spellEnd"/>
      <w:r w:rsidRPr="00DD678E">
        <w:rPr>
          <w:bCs/>
          <w:color w:val="000000"/>
          <w:sz w:val="22"/>
          <w:lang w:val="en-US"/>
        </w:rPr>
        <w:t xml:space="preserve"> B, </w:t>
      </w:r>
      <w:proofErr w:type="spellStart"/>
      <w:r w:rsidRPr="00DD678E">
        <w:rPr>
          <w:bCs/>
          <w:color w:val="000000"/>
          <w:sz w:val="22"/>
          <w:lang w:val="en-US"/>
        </w:rPr>
        <w:t>Tsachev</w:t>
      </w:r>
      <w:proofErr w:type="spellEnd"/>
      <w:r w:rsidRPr="00DD678E">
        <w:rPr>
          <w:bCs/>
          <w:color w:val="000000"/>
          <w:sz w:val="22"/>
          <w:lang w:val="en-US"/>
        </w:rPr>
        <w:t xml:space="preserve"> I, </w:t>
      </w:r>
      <w:proofErr w:type="spellStart"/>
      <w:r w:rsidRPr="00DD678E">
        <w:rPr>
          <w:bCs/>
          <w:color w:val="000000"/>
          <w:sz w:val="22"/>
          <w:lang w:val="en-US"/>
        </w:rPr>
        <w:t>Filipov</w:t>
      </w:r>
      <w:proofErr w:type="spellEnd"/>
      <w:r w:rsidRPr="00DD678E">
        <w:rPr>
          <w:bCs/>
          <w:color w:val="000000"/>
          <w:sz w:val="22"/>
          <w:lang w:val="en-US"/>
        </w:rPr>
        <w:t xml:space="preserve"> G </w:t>
      </w:r>
      <w:proofErr w:type="spellStart"/>
      <w:r w:rsidRPr="00DD678E">
        <w:rPr>
          <w:bCs/>
          <w:color w:val="000000"/>
          <w:sz w:val="22"/>
          <w:lang w:val="en-US"/>
        </w:rPr>
        <w:t>Filipova</w:t>
      </w:r>
      <w:proofErr w:type="spellEnd"/>
      <w:r w:rsidRPr="00DD678E">
        <w:rPr>
          <w:bCs/>
          <w:color w:val="000000"/>
          <w:sz w:val="22"/>
          <w:lang w:val="en-US"/>
        </w:rPr>
        <w:t xml:space="preserve"> V, </w:t>
      </w:r>
      <w:proofErr w:type="spellStart"/>
      <w:r w:rsidRPr="00DD678E">
        <w:rPr>
          <w:bCs/>
          <w:color w:val="000000"/>
          <w:sz w:val="22"/>
          <w:lang w:val="en-US"/>
        </w:rPr>
        <w:t>Chakarov</w:t>
      </w:r>
      <w:proofErr w:type="spellEnd"/>
      <w:r w:rsidRPr="00DD678E">
        <w:rPr>
          <w:bCs/>
          <w:color w:val="000000"/>
          <w:sz w:val="22"/>
          <w:lang w:val="en-US"/>
        </w:rPr>
        <w:t xml:space="preserve"> S </w:t>
      </w:r>
      <w:r>
        <w:rPr>
          <w:bCs/>
          <w:color w:val="000000"/>
          <w:sz w:val="22"/>
          <w:lang w:val="en-US"/>
        </w:rPr>
        <w:t>et al (2005)</w:t>
      </w:r>
      <w:r w:rsidRPr="00DD678E">
        <w:rPr>
          <w:bCs/>
          <w:color w:val="000000"/>
          <w:sz w:val="22"/>
          <w:lang w:val="en-US"/>
        </w:rPr>
        <w:t xml:space="preserve">. </w:t>
      </w:r>
      <w:proofErr w:type="gramStart"/>
      <w:r w:rsidRPr="00DD678E">
        <w:rPr>
          <w:bCs/>
          <w:color w:val="000000"/>
          <w:sz w:val="22"/>
          <w:lang w:val="en-US"/>
        </w:rPr>
        <w:t xml:space="preserve">New cases of leishmaniasis </w:t>
      </w:r>
      <w:proofErr w:type="spellStart"/>
      <w:r w:rsidRPr="00DD678E">
        <w:rPr>
          <w:bCs/>
          <w:color w:val="000000"/>
          <w:sz w:val="22"/>
          <w:lang w:val="en-US"/>
        </w:rPr>
        <w:t>visceralis</w:t>
      </w:r>
      <w:proofErr w:type="spellEnd"/>
      <w:r w:rsidRPr="00DD678E">
        <w:rPr>
          <w:bCs/>
          <w:color w:val="000000"/>
          <w:sz w:val="22"/>
          <w:lang w:val="en-US"/>
        </w:rPr>
        <w:t xml:space="preserve"> in southeast Bulgaria</w:t>
      </w:r>
      <w:r>
        <w:rPr>
          <w:bCs/>
          <w:color w:val="000000"/>
          <w:sz w:val="22"/>
          <w:lang w:val="en-US"/>
        </w:rPr>
        <w:t>.</w:t>
      </w:r>
      <w:proofErr w:type="gramEnd"/>
      <w:r w:rsidRPr="00DD678E">
        <w:rPr>
          <w:bCs/>
          <w:color w:val="000000"/>
          <w:sz w:val="22"/>
          <w:lang w:val="en-US"/>
        </w:rPr>
        <w:t xml:space="preserve"> </w:t>
      </w:r>
      <w:proofErr w:type="spellStart"/>
      <w:r w:rsidRPr="00DD678E">
        <w:rPr>
          <w:bCs/>
          <w:color w:val="000000"/>
          <w:sz w:val="22"/>
          <w:lang w:val="en-US"/>
        </w:rPr>
        <w:t>Trakia</w:t>
      </w:r>
      <w:proofErr w:type="spellEnd"/>
      <w:r w:rsidRPr="00DD678E">
        <w:rPr>
          <w:bCs/>
          <w:color w:val="000000"/>
          <w:sz w:val="22"/>
          <w:lang w:val="en-US"/>
        </w:rPr>
        <w:t xml:space="preserve"> Journal of Sciences</w:t>
      </w:r>
      <w:r>
        <w:rPr>
          <w:bCs/>
          <w:color w:val="000000"/>
          <w:sz w:val="22"/>
          <w:lang w:val="en-US"/>
        </w:rPr>
        <w:t xml:space="preserve"> </w:t>
      </w:r>
      <w:r w:rsidRPr="00DD678E">
        <w:rPr>
          <w:bCs/>
          <w:color w:val="000000"/>
          <w:sz w:val="22"/>
          <w:lang w:val="en-US"/>
        </w:rPr>
        <w:t>3</w:t>
      </w:r>
      <w:r>
        <w:rPr>
          <w:bCs/>
          <w:color w:val="000000"/>
          <w:sz w:val="22"/>
          <w:lang w:val="en-US"/>
        </w:rPr>
        <w:t xml:space="preserve"> (4</w:t>
      </w:r>
      <w:proofErr w:type="gramStart"/>
      <w:r>
        <w:rPr>
          <w:bCs/>
          <w:color w:val="000000"/>
          <w:sz w:val="22"/>
          <w:lang w:val="en-US"/>
        </w:rPr>
        <w:t>) :</w:t>
      </w:r>
      <w:proofErr w:type="gramEnd"/>
      <w:r>
        <w:rPr>
          <w:bCs/>
          <w:color w:val="000000"/>
          <w:sz w:val="22"/>
          <w:lang w:val="en-US"/>
        </w:rPr>
        <w:t xml:space="preserve"> </w:t>
      </w:r>
      <w:r w:rsidRPr="00DD678E">
        <w:rPr>
          <w:bCs/>
          <w:color w:val="000000"/>
          <w:sz w:val="22"/>
          <w:lang w:val="en-US"/>
        </w:rPr>
        <w:t>75-77</w:t>
      </w:r>
      <w:r>
        <w:rPr>
          <w:bCs/>
          <w:color w:val="000000"/>
          <w:sz w:val="22"/>
          <w:lang w:val="en-US"/>
        </w:rPr>
        <w:t>.</w:t>
      </w:r>
    </w:p>
    <w:p w:rsidR="009F430A" w:rsidRPr="00DD678E" w:rsidRDefault="009F430A" w:rsidP="009F430A">
      <w:pPr>
        <w:ind w:left="0" w:firstLine="0"/>
        <w:rPr>
          <w:color w:val="000000"/>
          <w:sz w:val="22"/>
          <w:lang w:val="en-US"/>
        </w:rPr>
      </w:pPr>
    </w:p>
    <w:p w:rsidR="009F430A" w:rsidRPr="00DD678E" w:rsidRDefault="009F430A" w:rsidP="009F430A">
      <w:pPr>
        <w:ind w:left="0" w:firstLine="0"/>
        <w:rPr>
          <w:bCs/>
          <w:color w:val="000000"/>
          <w:sz w:val="22"/>
          <w:lang w:val="en-US"/>
        </w:rPr>
      </w:pPr>
      <w:r w:rsidRPr="00DD678E">
        <w:rPr>
          <w:color w:val="000000"/>
          <w:sz w:val="22"/>
          <w:lang w:val="en-US"/>
        </w:rPr>
        <w:t xml:space="preserve">2. </w:t>
      </w:r>
      <w:proofErr w:type="spellStart"/>
      <w:r w:rsidRPr="00DD678E">
        <w:rPr>
          <w:color w:val="000000"/>
          <w:sz w:val="22"/>
          <w:lang w:val="en-US"/>
        </w:rPr>
        <w:t>Tsatchev</w:t>
      </w:r>
      <w:proofErr w:type="spellEnd"/>
      <w:r w:rsidRPr="00DD678E">
        <w:rPr>
          <w:color w:val="000000"/>
          <w:sz w:val="22"/>
          <w:lang w:val="en-US"/>
        </w:rPr>
        <w:t xml:space="preserve"> I, </w:t>
      </w:r>
      <w:proofErr w:type="spellStart"/>
      <w:r w:rsidRPr="00DD678E">
        <w:rPr>
          <w:color w:val="000000"/>
          <w:sz w:val="22"/>
          <w:lang w:val="en-US"/>
        </w:rPr>
        <w:t>Kyriazis</w:t>
      </w:r>
      <w:proofErr w:type="spellEnd"/>
      <w:r w:rsidRPr="00DD678E">
        <w:rPr>
          <w:color w:val="000000"/>
          <w:sz w:val="22"/>
          <w:lang w:val="en-US"/>
        </w:rPr>
        <w:t xml:space="preserve"> ID, </w:t>
      </w:r>
      <w:proofErr w:type="spellStart"/>
      <w:r w:rsidRPr="00DD678E">
        <w:rPr>
          <w:color w:val="000000"/>
          <w:sz w:val="22"/>
          <w:lang w:val="en-US"/>
        </w:rPr>
        <w:t>Boutsini</w:t>
      </w:r>
      <w:proofErr w:type="spellEnd"/>
      <w:r w:rsidRPr="00DD678E">
        <w:rPr>
          <w:color w:val="000000"/>
          <w:sz w:val="22"/>
          <w:lang w:val="en-US"/>
        </w:rPr>
        <w:t xml:space="preserve"> S, </w:t>
      </w:r>
      <w:proofErr w:type="spellStart"/>
      <w:r w:rsidRPr="00DD678E">
        <w:rPr>
          <w:color w:val="000000"/>
          <w:sz w:val="22"/>
          <w:lang w:val="en-US"/>
        </w:rPr>
        <w:t>Karagouni</w:t>
      </w:r>
      <w:proofErr w:type="spellEnd"/>
      <w:r w:rsidRPr="00DD678E">
        <w:rPr>
          <w:color w:val="000000"/>
          <w:sz w:val="22"/>
          <w:lang w:val="en-US"/>
        </w:rPr>
        <w:t xml:space="preserve"> E, </w:t>
      </w:r>
      <w:proofErr w:type="spellStart"/>
      <w:r w:rsidRPr="00DD678E">
        <w:rPr>
          <w:color w:val="000000"/>
          <w:sz w:val="22"/>
          <w:lang w:val="en-US"/>
        </w:rPr>
        <w:t>Dotsika</w:t>
      </w:r>
      <w:proofErr w:type="spellEnd"/>
      <w:r w:rsidRPr="00DD678E">
        <w:rPr>
          <w:color w:val="000000"/>
          <w:sz w:val="22"/>
          <w:lang w:val="en-US"/>
        </w:rPr>
        <w:t xml:space="preserve"> E</w:t>
      </w:r>
      <w:r>
        <w:rPr>
          <w:color w:val="000000"/>
          <w:sz w:val="22"/>
          <w:lang w:val="en-US"/>
        </w:rPr>
        <w:t xml:space="preserve"> (2010)</w:t>
      </w:r>
      <w:r w:rsidRPr="00DD678E">
        <w:rPr>
          <w:color w:val="000000"/>
          <w:sz w:val="22"/>
          <w:lang w:val="en-US"/>
        </w:rPr>
        <w:t xml:space="preserve">. </w:t>
      </w:r>
      <w:r w:rsidRPr="00DD678E">
        <w:rPr>
          <w:bCs/>
          <w:color w:val="000000"/>
          <w:sz w:val="22"/>
          <w:lang w:val="en-US"/>
        </w:rPr>
        <w:t xml:space="preserve">First report of canine visceral leishmaniasis in Bulgaria, Turk J Vet </w:t>
      </w:r>
      <w:proofErr w:type="spellStart"/>
      <w:r w:rsidRPr="00DD678E">
        <w:rPr>
          <w:bCs/>
          <w:color w:val="000000"/>
          <w:sz w:val="22"/>
          <w:lang w:val="en-US"/>
        </w:rPr>
        <w:t>Anim</w:t>
      </w:r>
      <w:proofErr w:type="spellEnd"/>
      <w:r w:rsidRPr="00DD678E">
        <w:rPr>
          <w:bCs/>
          <w:color w:val="000000"/>
          <w:sz w:val="22"/>
          <w:lang w:val="en-US"/>
        </w:rPr>
        <w:t xml:space="preserve"> </w:t>
      </w:r>
      <w:proofErr w:type="spellStart"/>
      <w:r w:rsidRPr="00DD678E">
        <w:rPr>
          <w:bCs/>
          <w:color w:val="000000"/>
          <w:sz w:val="22"/>
          <w:lang w:val="en-US"/>
        </w:rPr>
        <w:t>Sci</w:t>
      </w:r>
      <w:proofErr w:type="spellEnd"/>
      <w:r>
        <w:rPr>
          <w:bCs/>
          <w:color w:val="000000"/>
          <w:sz w:val="22"/>
          <w:lang w:val="en-US"/>
        </w:rPr>
        <w:t xml:space="preserve"> </w:t>
      </w:r>
      <w:r w:rsidRPr="00DD678E">
        <w:rPr>
          <w:bCs/>
          <w:color w:val="000000"/>
          <w:sz w:val="22"/>
          <w:lang w:val="en-US"/>
        </w:rPr>
        <w:t>34(3): 465-469</w:t>
      </w:r>
      <w:r>
        <w:rPr>
          <w:bCs/>
          <w:color w:val="000000"/>
          <w:sz w:val="22"/>
          <w:lang w:val="en-US"/>
        </w:rPr>
        <w:t>.</w:t>
      </w:r>
    </w:p>
    <w:p w:rsidR="009F430A" w:rsidRPr="00DD678E" w:rsidRDefault="009F430A" w:rsidP="009F430A">
      <w:pPr>
        <w:ind w:left="0" w:firstLine="0"/>
        <w:rPr>
          <w:color w:val="000000"/>
          <w:sz w:val="22"/>
          <w:lang w:val="en-US"/>
        </w:rPr>
      </w:pPr>
    </w:p>
    <w:p w:rsidR="009F430A" w:rsidRPr="00DD678E" w:rsidRDefault="009F430A" w:rsidP="009F430A">
      <w:pPr>
        <w:ind w:left="0" w:firstLine="0"/>
        <w:rPr>
          <w:color w:val="000000"/>
          <w:sz w:val="22"/>
          <w:lang w:val="en-US"/>
        </w:rPr>
      </w:pPr>
      <w:r w:rsidRPr="00DD678E">
        <w:rPr>
          <w:color w:val="000000"/>
          <w:sz w:val="22"/>
          <w:lang w:val="en-US"/>
        </w:rPr>
        <w:t xml:space="preserve">3. </w:t>
      </w:r>
      <w:proofErr w:type="spellStart"/>
      <w:r w:rsidRPr="00DD678E">
        <w:rPr>
          <w:color w:val="000000"/>
          <w:sz w:val="22"/>
          <w:lang w:val="en-US"/>
        </w:rPr>
        <w:t>Valkova</w:t>
      </w:r>
      <w:proofErr w:type="spellEnd"/>
      <w:r w:rsidRPr="00DD678E">
        <w:rPr>
          <w:color w:val="000000"/>
          <w:sz w:val="22"/>
          <w:lang w:val="en-US"/>
        </w:rPr>
        <w:t xml:space="preserve"> I, </w:t>
      </w:r>
      <w:proofErr w:type="spellStart"/>
      <w:r w:rsidRPr="00DD678E">
        <w:rPr>
          <w:color w:val="000000"/>
          <w:sz w:val="22"/>
          <w:lang w:val="en-US"/>
        </w:rPr>
        <w:t>Kurdova</w:t>
      </w:r>
      <w:proofErr w:type="spellEnd"/>
      <w:r w:rsidRPr="00DD678E">
        <w:rPr>
          <w:color w:val="000000"/>
          <w:sz w:val="22"/>
          <w:lang w:val="en-US"/>
        </w:rPr>
        <w:t xml:space="preserve"> R, </w:t>
      </w:r>
      <w:proofErr w:type="spellStart"/>
      <w:r w:rsidRPr="00DD678E">
        <w:rPr>
          <w:color w:val="000000"/>
          <w:sz w:val="22"/>
          <w:lang w:val="en-US"/>
        </w:rPr>
        <w:t>Elenkov</w:t>
      </w:r>
      <w:proofErr w:type="spellEnd"/>
      <w:r w:rsidRPr="00DD678E">
        <w:rPr>
          <w:color w:val="000000"/>
          <w:sz w:val="22"/>
          <w:lang w:val="en-US"/>
        </w:rPr>
        <w:t xml:space="preserve"> I, </w:t>
      </w:r>
      <w:proofErr w:type="spellStart"/>
      <w:r w:rsidRPr="00DD678E">
        <w:rPr>
          <w:color w:val="000000"/>
          <w:sz w:val="22"/>
          <w:lang w:val="en-US"/>
        </w:rPr>
        <w:t>Jordanova</w:t>
      </w:r>
      <w:proofErr w:type="spellEnd"/>
      <w:r w:rsidRPr="00DD678E">
        <w:rPr>
          <w:color w:val="000000"/>
          <w:sz w:val="22"/>
          <w:lang w:val="en-US"/>
        </w:rPr>
        <w:t xml:space="preserve"> D, </w:t>
      </w:r>
      <w:proofErr w:type="spellStart"/>
      <w:r w:rsidRPr="00DD678E">
        <w:rPr>
          <w:color w:val="000000"/>
          <w:sz w:val="22"/>
          <w:lang w:val="en-US"/>
        </w:rPr>
        <w:t>Filippov</w:t>
      </w:r>
      <w:proofErr w:type="spellEnd"/>
      <w:r w:rsidRPr="00DD678E">
        <w:rPr>
          <w:color w:val="000000"/>
          <w:sz w:val="22"/>
          <w:lang w:val="en-US"/>
        </w:rPr>
        <w:t xml:space="preserve"> G </w:t>
      </w:r>
      <w:r>
        <w:rPr>
          <w:color w:val="000000"/>
          <w:sz w:val="22"/>
          <w:lang w:val="en-US"/>
        </w:rPr>
        <w:t>et al (2004).</w:t>
      </w:r>
      <w:r w:rsidRPr="00DD678E">
        <w:rPr>
          <w:color w:val="000000"/>
          <w:sz w:val="22"/>
          <w:lang w:val="en-US"/>
        </w:rPr>
        <w:t xml:space="preserve"> International Conference on AIDS (</w:t>
      </w:r>
      <w:proofErr w:type="gramStart"/>
      <w:r w:rsidRPr="00DD678E">
        <w:rPr>
          <w:color w:val="000000"/>
          <w:sz w:val="22"/>
          <w:lang w:val="en-US"/>
        </w:rPr>
        <w:t>15th :</w:t>
      </w:r>
      <w:proofErr w:type="gramEnd"/>
      <w:r w:rsidRPr="00DD678E">
        <w:rPr>
          <w:color w:val="000000"/>
          <w:sz w:val="22"/>
          <w:lang w:val="en-US"/>
        </w:rPr>
        <w:t xml:space="preserve"> 2004 : Bangkok, Thailand</w:t>
      </w:r>
      <w:r w:rsidRPr="00EF6EC8">
        <w:rPr>
          <w:color w:val="000000"/>
          <w:sz w:val="22"/>
          <w:lang w:val="en-US"/>
        </w:rPr>
        <w:t>).</w:t>
      </w:r>
      <w:r w:rsidRPr="00EF6EC8">
        <w:rPr>
          <w:iCs/>
          <w:color w:val="000000"/>
          <w:sz w:val="22"/>
          <w:lang w:val="en-US"/>
        </w:rPr>
        <w:t xml:space="preserve"> </w:t>
      </w:r>
      <w:proofErr w:type="spellStart"/>
      <w:proofErr w:type="gramStart"/>
      <w:r w:rsidRPr="00EF6EC8">
        <w:rPr>
          <w:iCs/>
          <w:color w:val="000000"/>
          <w:sz w:val="22"/>
          <w:lang w:val="en-US"/>
        </w:rPr>
        <w:t>Int</w:t>
      </w:r>
      <w:proofErr w:type="spellEnd"/>
      <w:r w:rsidRPr="00EF6EC8">
        <w:rPr>
          <w:iCs/>
          <w:color w:val="000000"/>
          <w:sz w:val="22"/>
          <w:lang w:val="en-US"/>
        </w:rPr>
        <w:t xml:space="preserve"> Conf AIDS.</w:t>
      </w:r>
      <w:proofErr w:type="gramEnd"/>
      <w:r>
        <w:rPr>
          <w:i/>
          <w:iCs/>
          <w:color w:val="000000"/>
          <w:sz w:val="22"/>
          <w:lang w:val="en-US"/>
        </w:rPr>
        <w:t xml:space="preserve"> </w:t>
      </w:r>
      <w:r w:rsidRPr="00DD678E">
        <w:rPr>
          <w:color w:val="000000"/>
          <w:sz w:val="22"/>
          <w:lang w:val="en-US"/>
        </w:rPr>
        <w:t>2004 Jul 11-16; 15: abstract no. B11340.</w:t>
      </w:r>
    </w:p>
    <w:p w:rsidR="002F7C1A" w:rsidRDefault="002F7C1A" w:rsidP="009F430A"/>
    <w:sectPr w:rsidR="002F7C1A" w:rsidSect="002F7C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277A2"/>
    <w:multiLevelType w:val="hybridMultilevel"/>
    <w:tmpl w:val="B972BB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4731912"/>
    <w:multiLevelType w:val="multilevel"/>
    <w:tmpl w:val="9F3EB04A"/>
    <w:lvl w:ilvl="0">
      <w:start w:val="1"/>
      <w:numFmt w:val="decimal"/>
      <w:pStyle w:val="Heading1"/>
      <w:isLgl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32"/>
        <w:szCs w:val="32"/>
        <w:u w:color="000000"/>
      </w:rPr>
    </w:lvl>
    <w:lvl w:ilvl="1">
      <w:start w:val="1"/>
      <w:numFmt w:val="decimal"/>
      <w:pStyle w:val="Heading2"/>
      <w:isLgl/>
      <w:lvlText w:val="%1.%2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8"/>
        <w:szCs w:val="28"/>
      </w:rPr>
    </w:lvl>
    <w:lvl w:ilvl="2">
      <w:start w:val="1"/>
      <w:numFmt w:val="decimal"/>
      <w:pStyle w:val="Heading3"/>
      <w:isLgl/>
      <w:lvlText w:val="%1.%2.%3."/>
      <w:lvlJc w:val="left"/>
      <w:pPr>
        <w:tabs>
          <w:tab w:val="num" w:pos="0"/>
        </w:tabs>
        <w:ind w:left="1134" w:hanging="1134"/>
      </w:pPr>
      <w:rPr>
        <w:rFonts w:ascii="Arial" w:hAnsi="Arial" w:hint="default"/>
        <w:b w:val="0"/>
        <w:i/>
        <w:color w:val="000000"/>
        <w:sz w:val="27"/>
        <w:szCs w:val="27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color w:val="000000"/>
        <w:sz w:val="26"/>
        <w:szCs w:val="26"/>
      </w:rPr>
    </w:lvl>
    <w:lvl w:ilvl="4">
      <w:start w:val="1"/>
      <w:numFmt w:val="decimal"/>
      <w:lvlText w:val="%1.%2.%3.%4.%5."/>
      <w:lvlJc w:val="left"/>
      <w:pPr>
        <w:tabs>
          <w:tab w:val="num" w:pos="1402"/>
        </w:tabs>
        <w:ind w:left="1402" w:hanging="1402"/>
      </w:pPr>
      <w:rPr>
        <w:rFonts w:ascii="Arial" w:hAnsi="Arial" w:hint="default"/>
        <w:b/>
        <w:i w:val="0"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F430A"/>
    <w:rsid w:val="000028F1"/>
    <w:rsid w:val="00010242"/>
    <w:rsid w:val="00046B72"/>
    <w:rsid w:val="00052A25"/>
    <w:rsid w:val="0005677D"/>
    <w:rsid w:val="000578BC"/>
    <w:rsid w:val="000848FF"/>
    <w:rsid w:val="000B48D7"/>
    <w:rsid w:val="000E5115"/>
    <w:rsid w:val="000F0175"/>
    <w:rsid w:val="000F1E62"/>
    <w:rsid w:val="001168B6"/>
    <w:rsid w:val="00134E9F"/>
    <w:rsid w:val="00141FD2"/>
    <w:rsid w:val="0016660D"/>
    <w:rsid w:val="00194CED"/>
    <w:rsid w:val="001B2C47"/>
    <w:rsid w:val="001E4D96"/>
    <w:rsid w:val="002000DA"/>
    <w:rsid w:val="00215613"/>
    <w:rsid w:val="00220DFD"/>
    <w:rsid w:val="0024005B"/>
    <w:rsid w:val="00245DB8"/>
    <w:rsid w:val="00252F0C"/>
    <w:rsid w:val="00270F6A"/>
    <w:rsid w:val="00272C75"/>
    <w:rsid w:val="00272E09"/>
    <w:rsid w:val="0027629F"/>
    <w:rsid w:val="00280D78"/>
    <w:rsid w:val="002C258B"/>
    <w:rsid w:val="002F4248"/>
    <w:rsid w:val="002F6463"/>
    <w:rsid w:val="002F7C1A"/>
    <w:rsid w:val="00315ECC"/>
    <w:rsid w:val="003229A6"/>
    <w:rsid w:val="003310F3"/>
    <w:rsid w:val="00333A3A"/>
    <w:rsid w:val="0034701D"/>
    <w:rsid w:val="0036003C"/>
    <w:rsid w:val="00363320"/>
    <w:rsid w:val="00374366"/>
    <w:rsid w:val="003A44B4"/>
    <w:rsid w:val="003B3568"/>
    <w:rsid w:val="003B73ED"/>
    <w:rsid w:val="003D1FFD"/>
    <w:rsid w:val="003E1DA2"/>
    <w:rsid w:val="003F1346"/>
    <w:rsid w:val="00412019"/>
    <w:rsid w:val="00412575"/>
    <w:rsid w:val="00420168"/>
    <w:rsid w:val="004264FD"/>
    <w:rsid w:val="00491E29"/>
    <w:rsid w:val="004A37D9"/>
    <w:rsid w:val="004A5A5B"/>
    <w:rsid w:val="004C53F0"/>
    <w:rsid w:val="004D15B3"/>
    <w:rsid w:val="005100AA"/>
    <w:rsid w:val="00570157"/>
    <w:rsid w:val="0057148C"/>
    <w:rsid w:val="005724D3"/>
    <w:rsid w:val="00581469"/>
    <w:rsid w:val="00593992"/>
    <w:rsid w:val="005C6498"/>
    <w:rsid w:val="005F2E6A"/>
    <w:rsid w:val="005F4AD0"/>
    <w:rsid w:val="0062498A"/>
    <w:rsid w:val="00626A99"/>
    <w:rsid w:val="006272A7"/>
    <w:rsid w:val="00641A14"/>
    <w:rsid w:val="00653580"/>
    <w:rsid w:val="00661504"/>
    <w:rsid w:val="00690048"/>
    <w:rsid w:val="006C198E"/>
    <w:rsid w:val="006E008C"/>
    <w:rsid w:val="006E2CDF"/>
    <w:rsid w:val="006E718B"/>
    <w:rsid w:val="0071174C"/>
    <w:rsid w:val="00740C76"/>
    <w:rsid w:val="0075377D"/>
    <w:rsid w:val="007A78DF"/>
    <w:rsid w:val="007C7FD3"/>
    <w:rsid w:val="007D3253"/>
    <w:rsid w:val="007E18CB"/>
    <w:rsid w:val="007E4A87"/>
    <w:rsid w:val="008006B5"/>
    <w:rsid w:val="008016D2"/>
    <w:rsid w:val="00832051"/>
    <w:rsid w:val="00837717"/>
    <w:rsid w:val="008403F6"/>
    <w:rsid w:val="00847BE4"/>
    <w:rsid w:val="00851DE1"/>
    <w:rsid w:val="0086504E"/>
    <w:rsid w:val="00895527"/>
    <w:rsid w:val="00896966"/>
    <w:rsid w:val="008B250E"/>
    <w:rsid w:val="008D3496"/>
    <w:rsid w:val="008F2D26"/>
    <w:rsid w:val="009511C6"/>
    <w:rsid w:val="009B22FB"/>
    <w:rsid w:val="009C14CB"/>
    <w:rsid w:val="009C200B"/>
    <w:rsid w:val="009C319F"/>
    <w:rsid w:val="009C624C"/>
    <w:rsid w:val="009D1B5E"/>
    <w:rsid w:val="009F430A"/>
    <w:rsid w:val="009F64EB"/>
    <w:rsid w:val="009F775A"/>
    <w:rsid w:val="00A45DA3"/>
    <w:rsid w:val="00A5035E"/>
    <w:rsid w:val="00A5411A"/>
    <w:rsid w:val="00A541A7"/>
    <w:rsid w:val="00A629D5"/>
    <w:rsid w:val="00A85111"/>
    <w:rsid w:val="00AD2F5D"/>
    <w:rsid w:val="00B15964"/>
    <w:rsid w:val="00B16204"/>
    <w:rsid w:val="00B433DC"/>
    <w:rsid w:val="00B476C3"/>
    <w:rsid w:val="00B96E52"/>
    <w:rsid w:val="00BA6E8F"/>
    <w:rsid w:val="00BB2383"/>
    <w:rsid w:val="00BE00C5"/>
    <w:rsid w:val="00C12906"/>
    <w:rsid w:val="00C1518C"/>
    <w:rsid w:val="00C236BD"/>
    <w:rsid w:val="00C244F5"/>
    <w:rsid w:val="00C264F2"/>
    <w:rsid w:val="00C47B72"/>
    <w:rsid w:val="00C7126E"/>
    <w:rsid w:val="00C75CF6"/>
    <w:rsid w:val="00C87D01"/>
    <w:rsid w:val="00C91A71"/>
    <w:rsid w:val="00CA637B"/>
    <w:rsid w:val="00CA71FE"/>
    <w:rsid w:val="00CF5DD0"/>
    <w:rsid w:val="00D05103"/>
    <w:rsid w:val="00D17D57"/>
    <w:rsid w:val="00D36E3A"/>
    <w:rsid w:val="00D5084A"/>
    <w:rsid w:val="00D513BD"/>
    <w:rsid w:val="00D541EC"/>
    <w:rsid w:val="00D6288C"/>
    <w:rsid w:val="00D83F8A"/>
    <w:rsid w:val="00D92869"/>
    <w:rsid w:val="00D95254"/>
    <w:rsid w:val="00DA0AB5"/>
    <w:rsid w:val="00DA14E3"/>
    <w:rsid w:val="00DB6D7C"/>
    <w:rsid w:val="00DD1ADE"/>
    <w:rsid w:val="00DF5A78"/>
    <w:rsid w:val="00DF6C46"/>
    <w:rsid w:val="00E147C3"/>
    <w:rsid w:val="00E17729"/>
    <w:rsid w:val="00E21063"/>
    <w:rsid w:val="00E370A8"/>
    <w:rsid w:val="00E474BF"/>
    <w:rsid w:val="00E47A87"/>
    <w:rsid w:val="00E65F1E"/>
    <w:rsid w:val="00E7082F"/>
    <w:rsid w:val="00E828CE"/>
    <w:rsid w:val="00E87373"/>
    <w:rsid w:val="00EB1F13"/>
    <w:rsid w:val="00EF27B3"/>
    <w:rsid w:val="00F03A91"/>
    <w:rsid w:val="00F14B40"/>
    <w:rsid w:val="00F16575"/>
    <w:rsid w:val="00F21808"/>
    <w:rsid w:val="00F25542"/>
    <w:rsid w:val="00F87752"/>
    <w:rsid w:val="00F94E78"/>
    <w:rsid w:val="00FB0CFB"/>
    <w:rsid w:val="00FB6AA1"/>
    <w:rsid w:val="00FC58EE"/>
    <w:rsid w:val="00FD22F3"/>
    <w:rsid w:val="00FD59CB"/>
    <w:rsid w:val="00FE1BC6"/>
    <w:rsid w:val="00FE26F4"/>
    <w:rsid w:val="00FE575B"/>
    <w:rsid w:val="00FE79B4"/>
    <w:rsid w:val="00FF1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30A"/>
    <w:pPr>
      <w:spacing w:after="0" w:line="240" w:lineRule="auto"/>
      <w:ind w:left="720" w:hanging="720"/>
      <w:jc w:val="both"/>
    </w:pPr>
    <w:rPr>
      <w:rFonts w:ascii="Arial" w:eastAsia="Calibri" w:hAnsi="Arial" w:cs="Arial"/>
      <w:sz w:val="24"/>
      <w:lang w:val="es-CO"/>
    </w:rPr>
  </w:style>
  <w:style w:type="paragraph" w:styleId="Heading1">
    <w:name w:val="heading 1"/>
    <w:next w:val="Normal"/>
    <w:link w:val="Heading1Char"/>
    <w:qFormat/>
    <w:rsid w:val="00F14B40"/>
    <w:pPr>
      <w:keepNext/>
      <w:numPr>
        <w:numId w:val="4"/>
      </w:numPr>
      <w:spacing w:before="480" w:after="24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de-AT" w:eastAsia="de-AT"/>
    </w:rPr>
  </w:style>
  <w:style w:type="paragraph" w:styleId="Heading2">
    <w:name w:val="heading 2"/>
    <w:next w:val="Normal"/>
    <w:link w:val="Heading2Char"/>
    <w:qFormat/>
    <w:rsid w:val="00F14B40"/>
    <w:pPr>
      <w:keepNext/>
      <w:numPr>
        <w:ilvl w:val="1"/>
        <w:numId w:val="4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Cs/>
      <w:sz w:val="28"/>
      <w:szCs w:val="28"/>
      <w:lang w:val="de-AT" w:eastAsia="de-AT"/>
    </w:rPr>
  </w:style>
  <w:style w:type="paragraph" w:styleId="Heading3">
    <w:name w:val="heading 3"/>
    <w:next w:val="Normal"/>
    <w:link w:val="Heading3Char"/>
    <w:qFormat/>
    <w:rsid w:val="00F14B40"/>
    <w:pPr>
      <w:keepNext/>
      <w:numPr>
        <w:ilvl w:val="2"/>
        <w:numId w:val="4"/>
      </w:numPr>
      <w:spacing w:before="240" w:after="60" w:line="240" w:lineRule="auto"/>
      <w:outlineLvl w:val="2"/>
    </w:pPr>
    <w:rPr>
      <w:rFonts w:ascii="Arial" w:eastAsia="Times New Roman" w:hAnsi="Arial" w:cs="Arial"/>
      <w:bCs/>
      <w:i/>
      <w:sz w:val="27"/>
      <w:szCs w:val="26"/>
      <w:lang w:val="de-AT" w:eastAsia="de-AT"/>
    </w:rPr>
  </w:style>
  <w:style w:type="paragraph" w:styleId="Heading4">
    <w:name w:val="heading 4"/>
    <w:next w:val="Normal"/>
    <w:link w:val="Heading4Char"/>
    <w:qFormat/>
    <w:rsid w:val="00F14B40"/>
    <w:pPr>
      <w:keepNext/>
      <w:numPr>
        <w:ilvl w:val="3"/>
        <w:numId w:val="4"/>
      </w:numPr>
      <w:spacing w:before="240" w:after="120" w:line="240" w:lineRule="auto"/>
      <w:outlineLvl w:val="3"/>
    </w:pPr>
    <w:rPr>
      <w:rFonts w:ascii="Arial" w:eastAsia="Times New Roman" w:hAnsi="Arial" w:cs="Times New Roman"/>
      <w:bCs/>
      <w:sz w:val="26"/>
      <w:szCs w:val="28"/>
      <w:lang w:val="de-AT" w:eastAsia="de-AT"/>
    </w:rPr>
  </w:style>
  <w:style w:type="paragraph" w:styleId="Heading5">
    <w:name w:val="heading 5"/>
    <w:basedOn w:val="Normal"/>
    <w:next w:val="Normal"/>
    <w:link w:val="Heading5Char"/>
    <w:qFormat/>
    <w:rsid w:val="00F14B40"/>
    <w:pPr>
      <w:spacing w:before="200"/>
      <w:ind w:left="1008" w:hanging="1008"/>
      <w:outlineLvl w:val="4"/>
    </w:pPr>
    <w:rPr>
      <w:rFonts w:ascii="Cambria" w:eastAsia="Times New Roman" w:hAnsi="Cambria" w:cs="Times New Roman"/>
      <w:b/>
      <w:bCs/>
      <w:color w:val="7F7F7F"/>
      <w:lang w:bidi="en-US"/>
    </w:rPr>
  </w:style>
  <w:style w:type="paragraph" w:styleId="Heading6">
    <w:name w:val="heading 6"/>
    <w:basedOn w:val="Normal"/>
    <w:next w:val="Normal"/>
    <w:link w:val="Heading6Char"/>
    <w:qFormat/>
    <w:rsid w:val="00F14B40"/>
    <w:pPr>
      <w:spacing w:line="271" w:lineRule="auto"/>
      <w:ind w:left="1152" w:hanging="1152"/>
      <w:outlineLvl w:val="5"/>
    </w:pPr>
    <w:rPr>
      <w:rFonts w:ascii="Cambria" w:eastAsia="Times New Roman" w:hAnsi="Cambria" w:cs="Times New Roman"/>
      <w:b/>
      <w:bCs/>
      <w:i/>
      <w:iCs/>
      <w:color w:val="7F7F7F"/>
      <w:lang w:bidi="en-US"/>
    </w:rPr>
  </w:style>
  <w:style w:type="paragraph" w:styleId="Heading7">
    <w:name w:val="heading 7"/>
    <w:basedOn w:val="Normal"/>
    <w:next w:val="Normal"/>
    <w:link w:val="Heading7Char"/>
    <w:qFormat/>
    <w:rsid w:val="00F14B40"/>
    <w:pPr>
      <w:ind w:left="1296" w:hanging="1296"/>
      <w:outlineLvl w:val="6"/>
    </w:pPr>
    <w:rPr>
      <w:rFonts w:ascii="Cambria" w:eastAsia="Times New Roman" w:hAnsi="Cambria" w:cs="Times New Roman"/>
      <w:i/>
      <w:iCs/>
      <w:lang w:bidi="en-US"/>
    </w:rPr>
  </w:style>
  <w:style w:type="paragraph" w:styleId="Heading8">
    <w:name w:val="heading 8"/>
    <w:basedOn w:val="Normal"/>
    <w:next w:val="Normal"/>
    <w:link w:val="Heading8Char"/>
    <w:qFormat/>
    <w:rsid w:val="00F14B40"/>
    <w:pPr>
      <w:ind w:left="1440" w:hanging="1440"/>
      <w:outlineLvl w:val="7"/>
    </w:pPr>
    <w:rPr>
      <w:rFonts w:ascii="Cambria" w:eastAsia="Times New Roman" w:hAnsi="Cambria" w:cs="Times New Roman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qFormat/>
    <w:rsid w:val="00F14B40"/>
    <w:pPr>
      <w:ind w:left="1584" w:hanging="1584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4B40"/>
    <w:rPr>
      <w:rFonts w:ascii="Arial" w:eastAsia="Times New Roman" w:hAnsi="Arial" w:cs="Arial"/>
      <w:b/>
      <w:bCs/>
      <w:kern w:val="32"/>
      <w:sz w:val="32"/>
      <w:szCs w:val="32"/>
      <w:lang w:val="de-AT" w:eastAsia="de-AT"/>
    </w:rPr>
  </w:style>
  <w:style w:type="character" w:customStyle="1" w:styleId="Heading2Char">
    <w:name w:val="Heading 2 Char"/>
    <w:basedOn w:val="DefaultParagraphFont"/>
    <w:link w:val="Heading2"/>
    <w:rsid w:val="00F14B40"/>
    <w:rPr>
      <w:rFonts w:ascii="Arial" w:eastAsia="Times New Roman" w:hAnsi="Arial" w:cs="Arial"/>
      <w:b/>
      <w:bCs/>
      <w:iCs/>
      <w:sz w:val="28"/>
      <w:szCs w:val="28"/>
      <w:lang w:val="de-AT" w:eastAsia="de-AT"/>
    </w:rPr>
  </w:style>
  <w:style w:type="character" w:customStyle="1" w:styleId="Heading3Char">
    <w:name w:val="Heading 3 Char"/>
    <w:basedOn w:val="DefaultParagraphFont"/>
    <w:link w:val="Heading3"/>
    <w:rsid w:val="00F14B40"/>
    <w:rPr>
      <w:rFonts w:ascii="Arial" w:eastAsia="Times New Roman" w:hAnsi="Arial" w:cs="Arial"/>
      <w:bCs/>
      <w:i/>
      <w:sz w:val="27"/>
      <w:szCs w:val="26"/>
      <w:lang w:val="de-AT" w:eastAsia="de-AT"/>
    </w:rPr>
  </w:style>
  <w:style w:type="character" w:customStyle="1" w:styleId="Heading4Char">
    <w:name w:val="Heading 4 Char"/>
    <w:basedOn w:val="DefaultParagraphFont"/>
    <w:link w:val="Heading4"/>
    <w:rsid w:val="00F14B40"/>
    <w:rPr>
      <w:rFonts w:ascii="Arial" w:eastAsia="Times New Roman" w:hAnsi="Arial" w:cs="Times New Roman"/>
      <w:bCs/>
      <w:sz w:val="26"/>
      <w:szCs w:val="28"/>
      <w:lang w:val="de-AT" w:eastAsia="de-AT"/>
    </w:rPr>
  </w:style>
  <w:style w:type="character" w:customStyle="1" w:styleId="Heading5Char">
    <w:name w:val="Heading 5 Char"/>
    <w:basedOn w:val="DefaultParagraphFont"/>
    <w:link w:val="Heading5"/>
    <w:rsid w:val="00F14B40"/>
    <w:rPr>
      <w:rFonts w:ascii="Cambria" w:eastAsia="Times New Roman" w:hAnsi="Cambria" w:cs="Times New Roman"/>
      <w:b/>
      <w:bCs/>
      <w:color w:val="7F7F7F"/>
      <w:lang w:bidi="en-US"/>
    </w:rPr>
  </w:style>
  <w:style w:type="character" w:customStyle="1" w:styleId="Heading6Char">
    <w:name w:val="Heading 6 Char"/>
    <w:basedOn w:val="DefaultParagraphFont"/>
    <w:link w:val="Heading6"/>
    <w:rsid w:val="00F14B40"/>
    <w:rPr>
      <w:rFonts w:ascii="Cambria" w:eastAsia="Times New Roman" w:hAnsi="Cambria" w:cs="Times New Roman"/>
      <w:b/>
      <w:bCs/>
      <w:i/>
      <w:iCs/>
      <w:color w:val="7F7F7F"/>
      <w:lang w:bidi="en-US"/>
    </w:rPr>
  </w:style>
  <w:style w:type="character" w:customStyle="1" w:styleId="Heading7Char">
    <w:name w:val="Heading 7 Char"/>
    <w:basedOn w:val="DefaultParagraphFont"/>
    <w:link w:val="Heading7"/>
    <w:rsid w:val="00F14B40"/>
    <w:rPr>
      <w:rFonts w:ascii="Cambria" w:eastAsia="Times New Roman" w:hAnsi="Cambria" w:cs="Times New Roman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rsid w:val="00F14B40"/>
    <w:rPr>
      <w:rFonts w:ascii="Cambria" w:eastAsia="Times New Roman" w:hAnsi="Cambria" w:cs="Times New Roman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rsid w:val="00F14B40"/>
    <w:rPr>
      <w:rFonts w:ascii="Cambria" w:eastAsia="Times New Roman" w:hAnsi="Cambria" w:cs="Times New Roman"/>
      <w:i/>
      <w:iCs/>
      <w:spacing w:val="5"/>
      <w:sz w:val="20"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F14B40"/>
    <w:pPr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4B40"/>
    <w:pPr>
      <w:keepLines/>
      <w:numPr>
        <w:numId w:val="0"/>
      </w:numPr>
      <w:spacing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3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30A"/>
    <w:rPr>
      <w:rFonts w:ascii="Tahoma" w:eastAsia="Calibri" w:hAnsi="Tahoma" w:cs="Tahoma"/>
      <w:sz w:val="16"/>
      <w:szCs w:val="16"/>
      <w:lang w:val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rotX val="25"/>
      <c:hPercent val="3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38235294117647E-2"/>
          <c:y val="4.9586776859504161E-2"/>
          <c:w val="0.90147058823529391"/>
          <c:h val="0.7396694214876035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cases</c:v>
                </c:pt>
              </c:strCache>
            </c:strRef>
          </c:tx>
          <c:spPr>
            <a:solidFill>
              <a:srgbClr val="4F81BD"/>
            </a:solidFill>
            <a:ln w="12701">
              <a:solidFill>
                <a:srgbClr val="000000"/>
              </a:solidFill>
              <a:prstDash val="solid"/>
            </a:ln>
          </c:spPr>
          <c:cat>
            <c:numRef>
              <c:f>Sheet1!$B$1:$N$1</c:f>
              <c:numCache>
                <c:formatCode>General</c:formatCode>
                <c:ptCount val="13"/>
                <c:pt idx="0">
                  <c:v>1996</c:v>
                </c:pt>
                <c:pt idx="1">
                  <c:v>1997</c:v>
                </c:pt>
                <c:pt idx="2">
                  <c:v>1998</c:v>
                </c:pt>
                <c:pt idx="3">
                  <c:v>1999</c:v>
                </c:pt>
                <c:pt idx="4">
                  <c:v>2000</c:v>
                </c:pt>
                <c:pt idx="5">
                  <c:v>2001</c:v>
                </c:pt>
                <c:pt idx="6">
                  <c:v>2002</c:v>
                </c:pt>
                <c:pt idx="7">
                  <c:v>2003</c:v>
                </c:pt>
                <c:pt idx="8">
                  <c:v>2004</c:v>
                </c:pt>
                <c:pt idx="9">
                  <c:v>2005</c:v>
                </c:pt>
                <c:pt idx="10">
                  <c:v>2006</c:v>
                </c:pt>
                <c:pt idx="11">
                  <c:v>2007</c:v>
                </c:pt>
                <c:pt idx="12">
                  <c:v>2008</c:v>
                </c:pt>
              </c:numCache>
            </c:numRef>
          </c:cat>
          <c:val>
            <c:numRef>
              <c:f>Sheet1!$B$2:$N$2</c:f>
              <c:numCache>
                <c:formatCode>General</c:formatCode>
                <c:ptCount val="13"/>
                <c:pt idx="0">
                  <c:v>2</c:v>
                </c:pt>
                <c:pt idx="1">
                  <c:v>3</c:v>
                </c:pt>
                <c:pt idx="2">
                  <c:v>3</c:v>
                </c:pt>
                <c:pt idx="3">
                  <c:v>3</c:v>
                </c:pt>
                <c:pt idx="4">
                  <c:v>2</c:v>
                </c:pt>
                <c:pt idx="5">
                  <c:v>10</c:v>
                </c:pt>
                <c:pt idx="6">
                  <c:v>13</c:v>
                </c:pt>
                <c:pt idx="7">
                  <c:v>6</c:v>
                </c:pt>
                <c:pt idx="8">
                  <c:v>10</c:v>
                </c:pt>
                <c:pt idx="9">
                  <c:v>12</c:v>
                </c:pt>
                <c:pt idx="10">
                  <c:v>6</c:v>
                </c:pt>
                <c:pt idx="11">
                  <c:v>6</c:v>
                </c:pt>
                <c:pt idx="12">
                  <c:v>2</c:v>
                </c:pt>
              </c:numCache>
            </c:numRef>
          </c:val>
        </c:ser>
        <c:gapDepth val="0"/>
        <c:shape val="box"/>
        <c:axId val="282317568"/>
        <c:axId val="282319872"/>
        <c:axId val="0"/>
      </c:bar3DChart>
      <c:catAx>
        <c:axId val="282317568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282319872"/>
        <c:crosses val="autoZero"/>
        <c:auto val="1"/>
        <c:lblAlgn val="ctr"/>
        <c:lblOffset val="100"/>
        <c:tickLblSkip val="1"/>
        <c:tickMarkSkip val="1"/>
      </c:catAx>
      <c:valAx>
        <c:axId val="282319872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28231756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3175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</c:dTable>
      <c:spPr>
        <a:noFill/>
        <a:ln w="25403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627</Words>
  <Characters>3574</Characters>
  <Application>Microsoft Office Word</Application>
  <DocSecurity>0</DocSecurity>
  <Lines>29</Lines>
  <Paragraphs>8</Paragraphs>
  <ScaleCrop>false</ScaleCrop>
  <Company/>
  <LinksUpToDate>false</LinksUpToDate>
  <CharactersWithSpaces>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2012-04-01T19:49:00Z</dcterms:created>
  <dcterms:modified xsi:type="dcterms:W3CDTF">2012-04-01T19:51:00Z</dcterms:modified>
</cp:coreProperties>
</file>