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A6" w:rsidRPr="00CF165B" w:rsidRDefault="009D21A6" w:rsidP="009D21A6">
      <w:pPr>
        <w:ind w:left="0" w:firstLine="0"/>
        <w:rPr>
          <w:b/>
          <w:sz w:val="22"/>
          <w:u w:val="single"/>
          <w:lang w:val="en-US"/>
        </w:rPr>
      </w:pPr>
      <w:r w:rsidRPr="00CF165B">
        <w:rPr>
          <w:b/>
          <w:sz w:val="22"/>
          <w:u w:val="single"/>
          <w:lang w:val="en-US"/>
        </w:rPr>
        <w:t xml:space="preserve">BOSNIA-HERZEGOVINA </w:t>
      </w:r>
    </w:p>
    <w:p w:rsidR="009D21A6" w:rsidRPr="00CF165B" w:rsidRDefault="009D21A6" w:rsidP="009D21A6">
      <w:pPr>
        <w:ind w:left="0" w:firstLine="0"/>
        <w:rPr>
          <w:b/>
          <w:sz w:val="22"/>
          <w:u w:val="single"/>
          <w:lang w:val="en-US"/>
        </w:rPr>
      </w:pPr>
    </w:p>
    <w:p w:rsidR="009D21A6" w:rsidRPr="00CF165B" w:rsidRDefault="009D21A6" w:rsidP="009D21A6">
      <w:pPr>
        <w:ind w:left="0" w:firstLine="0"/>
        <w:rPr>
          <w:sz w:val="22"/>
          <w:lang w:val="en-US"/>
        </w:rPr>
      </w:pPr>
      <w:r>
        <w:rPr>
          <w:noProof/>
          <w:sz w:val="22"/>
          <w:lang w:val="en-US"/>
        </w:rPr>
        <w:drawing>
          <wp:inline distT="0" distB="0" distL="0" distR="0">
            <wp:extent cx="2576195" cy="1725295"/>
            <wp:effectExtent l="19050" t="0" r="0" b="0"/>
            <wp:docPr id="2" name="Imagen 6" descr="C:\Users\admin\Documents\Downloads\BA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C:\Users\admin\Documents\Downloads\BAWOR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1A6" w:rsidRPr="00CF165B" w:rsidRDefault="009D21A6" w:rsidP="009D21A6">
      <w:pPr>
        <w:ind w:left="0" w:firstLine="0"/>
        <w:rPr>
          <w:sz w:val="22"/>
          <w:lang w:val="en-US"/>
        </w:rPr>
      </w:pPr>
    </w:p>
    <w:p w:rsidR="009D21A6" w:rsidRPr="002C75B8" w:rsidRDefault="009D21A6" w:rsidP="009D21A6">
      <w:pPr>
        <w:ind w:left="0" w:firstLine="0"/>
        <w:rPr>
          <w:sz w:val="22"/>
          <w:lang w:val="en-GB"/>
        </w:rPr>
      </w:pPr>
      <w:r w:rsidRPr="002C75B8">
        <w:rPr>
          <w:b/>
          <w:bCs/>
          <w:sz w:val="22"/>
          <w:lang w:val="en-GB"/>
        </w:rPr>
        <w:t>BASIC COUNTRY DATA</w:t>
      </w:r>
    </w:p>
    <w:p w:rsidR="009D21A6" w:rsidRPr="002C75B8" w:rsidRDefault="009D21A6" w:rsidP="009D21A6">
      <w:pPr>
        <w:ind w:left="0" w:firstLine="0"/>
        <w:rPr>
          <w:sz w:val="22"/>
          <w:lang w:val="en-GB"/>
        </w:rPr>
      </w:pPr>
    </w:p>
    <w:p w:rsidR="009D21A6" w:rsidRPr="002C75B8" w:rsidRDefault="009D21A6" w:rsidP="009D21A6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Total Population: 3</w:t>
      </w:r>
      <w:r>
        <w:rPr>
          <w:sz w:val="22"/>
          <w:lang w:val="en-US"/>
        </w:rPr>
        <w:t>,760,149</w:t>
      </w:r>
      <w:r w:rsidRPr="002C75B8">
        <w:rPr>
          <w:sz w:val="22"/>
          <w:lang w:val="en-US"/>
        </w:rPr>
        <w:t xml:space="preserve"> </w:t>
      </w:r>
    </w:p>
    <w:p w:rsidR="009D21A6" w:rsidRPr="002C75B8" w:rsidRDefault="009D21A6" w:rsidP="009D21A6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Population 0-14 years: 1</w:t>
      </w:r>
      <w:r>
        <w:rPr>
          <w:sz w:val="22"/>
          <w:lang w:val="en-US"/>
        </w:rPr>
        <w:t>5</w:t>
      </w:r>
      <w:r w:rsidRPr="002C75B8">
        <w:rPr>
          <w:sz w:val="22"/>
          <w:lang w:val="en-US"/>
        </w:rPr>
        <w:t xml:space="preserve">% </w:t>
      </w:r>
    </w:p>
    <w:p w:rsidR="009D21A6" w:rsidRPr="002C75B8" w:rsidRDefault="009D21A6" w:rsidP="009D21A6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Rural population: 5</w:t>
      </w:r>
      <w:r>
        <w:rPr>
          <w:sz w:val="22"/>
          <w:lang w:val="en-US"/>
        </w:rPr>
        <w:t>1</w:t>
      </w:r>
      <w:r w:rsidRPr="002C75B8">
        <w:rPr>
          <w:sz w:val="22"/>
          <w:lang w:val="en-US"/>
        </w:rPr>
        <w:t xml:space="preserve">% </w:t>
      </w:r>
    </w:p>
    <w:p w:rsidR="009D21A6" w:rsidRPr="002C75B8" w:rsidRDefault="009D21A6" w:rsidP="009D21A6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Population living under USD 1</w:t>
      </w:r>
      <w:r>
        <w:rPr>
          <w:sz w:val="22"/>
          <w:lang w:val="en-US"/>
        </w:rPr>
        <w:t>.</w:t>
      </w:r>
      <w:r w:rsidRPr="002C75B8">
        <w:rPr>
          <w:sz w:val="22"/>
          <w:lang w:val="en-US"/>
        </w:rPr>
        <w:t xml:space="preserve">25 </w:t>
      </w:r>
      <w:r>
        <w:rPr>
          <w:sz w:val="22"/>
          <w:lang w:val="en-US"/>
        </w:rPr>
        <w:t>a</w:t>
      </w:r>
      <w:r w:rsidRPr="002C75B8">
        <w:rPr>
          <w:sz w:val="22"/>
          <w:lang w:val="en-US"/>
        </w:rPr>
        <w:t xml:space="preserve"> day:</w:t>
      </w:r>
      <w:r>
        <w:rPr>
          <w:sz w:val="22"/>
          <w:lang w:val="en-US"/>
        </w:rPr>
        <w:t xml:space="preserve"> no data</w:t>
      </w:r>
      <w:r w:rsidRPr="002C75B8">
        <w:rPr>
          <w:sz w:val="22"/>
          <w:lang w:val="en-US"/>
        </w:rPr>
        <w:t xml:space="preserve"> </w:t>
      </w:r>
    </w:p>
    <w:p w:rsidR="009D21A6" w:rsidRPr="002C75B8" w:rsidRDefault="009D21A6" w:rsidP="009D21A6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Population living under the national poverty line: 1</w:t>
      </w:r>
      <w:r>
        <w:rPr>
          <w:sz w:val="22"/>
          <w:lang w:val="en-US"/>
        </w:rPr>
        <w:t>4</w:t>
      </w:r>
      <w:r w:rsidRPr="002C75B8">
        <w:rPr>
          <w:sz w:val="22"/>
          <w:lang w:val="en-US"/>
        </w:rPr>
        <w:t>%</w:t>
      </w:r>
    </w:p>
    <w:p w:rsidR="009D21A6" w:rsidRPr="002C75B8" w:rsidRDefault="009D21A6" w:rsidP="009D21A6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Income status: Upper middle income economy </w:t>
      </w:r>
    </w:p>
    <w:p w:rsidR="009D21A6" w:rsidRPr="002C75B8" w:rsidRDefault="009D21A6" w:rsidP="009D21A6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Ranking: High human development (ranking 7</w:t>
      </w:r>
      <w:r>
        <w:rPr>
          <w:sz w:val="22"/>
          <w:lang w:val="en-US"/>
        </w:rPr>
        <w:t>4</w:t>
      </w:r>
      <w:r w:rsidRPr="002C75B8">
        <w:rPr>
          <w:sz w:val="22"/>
          <w:lang w:val="en-US"/>
        </w:rPr>
        <w:t>)</w:t>
      </w:r>
    </w:p>
    <w:p w:rsidR="009D21A6" w:rsidRPr="002C75B8" w:rsidRDefault="009D21A6" w:rsidP="009D21A6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Per capita total expenditure on health at average exchange rate (US dollar): </w:t>
      </w:r>
      <w:r>
        <w:rPr>
          <w:sz w:val="22"/>
          <w:lang w:val="en-US"/>
        </w:rPr>
        <w:t>495</w:t>
      </w:r>
    </w:p>
    <w:p w:rsidR="009D21A6" w:rsidRPr="002C75B8" w:rsidRDefault="009D21A6" w:rsidP="009D21A6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Life expectancy at birth (years): 75 </w:t>
      </w:r>
    </w:p>
    <w:p w:rsidR="009D21A6" w:rsidRPr="002C75B8" w:rsidRDefault="009D21A6" w:rsidP="009D21A6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Health</w:t>
      </w:r>
      <w:r>
        <w:rPr>
          <w:sz w:val="22"/>
          <w:lang w:val="en-US"/>
        </w:rPr>
        <w:t>y</w:t>
      </w:r>
      <w:r w:rsidRPr="002C75B8">
        <w:rPr>
          <w:sz w:val="22"/>
          <w:lang w:val="en-US"/>
        </w:rPr>
        <w:t xml:space="preserve"> life expectancy at birth (years): 64 </w:t>
      </w:r>
    </w:p>
    <w:p w:rsidR="009D21A6" w:rsidRPr="002C75B8" w:rsidRDefault="009D21A6" w:rsidP="009D21A6">
      <w:pPr>
        <w:ind w:left="0" w:firstLine="0"/>
        <w:rPr>
          <w:sz w:val="22"/>
          <w:lang w:val="en-US"/>
        </w:rPr>
      </w:pPr>
    </w:p>
    <w:p w:rsidR="009D21A6" w:rsidRPr="002C75B8" w:rsidRDefault="009D21A6" w:rsidP="009D21A6">
      <w:pPr>
        <w:ind w:left="0" w:firstLine="0"/>
        <w:rPr>
          <w:sz w:val="22"/>
          <w:lang w:val="en-US"/>
        </w:rPr>
      </w:pPr>
    </w:p>
    <w:p w:rsidR="009D21A6" w:rsidRPr="00EB44D2" w:rsidRDefault="009D21A6" w:rsidP="009D21A6">
      <w:pPr>
        <w:ind w:left="0" w:firstLine="0"/>
        <w:rPr>
          <w:sz w:val="22"/>
          <w:lang w:val="en-GB"/>
        </w:rPr>
      </w:pPr>
      <w:r w:rsidRPr="00EB44D2">
        <w:rPr>
          <w:b/>
          <w:bCs/>
          <w:sz w:val="22"/>
          <w:lang w:val="en-GB"/>
        </w:rPr>
        <w:t>BACKGROUND INFORMATION</w:t>
      </w:r>
    </w:p>
    <w:p w:rsidR="009D21A6" w:rsidRPr="002C75B8" w:rsidRDefault="009D21A6" w:rsidP="009D21A6">
      <w:pPr>
        <w:ind w:left="0" w:firstLine="0"/>
        <w:rPr>
          <w:sz w:val="22"/>
          <w:lang w:val="en-US"/>
        </w:rPr>
      </w:pPr>
    </w:p>
    <w:p w:rsidR="009D21A6" w:rsidRPr="002C75B8" w:rsidRDefault="009D21A6" w:rsidP="009D21A6">
      <w:pPr>
        <w:ind w:left="0" w:firstLine="0"/>
        <w:rPr>
          <w:sz w:val="22"/>
          <w:lang w:val="en-GB"/>
        </w:rPr>
      </w:pPr>
      <w:r w:rsidRPr="002C75B8">
        <w:rPr>
          <w:sz w:val="22"/>
          <w:lang w:val="en-US"/>
        </w:rPr>
        <w:t>VL is sporadic and hypo</w:t>
      </w:r>
      <w:r>
        <w:rPr>
          <w:sz w:val="22"/>
          <w:lang w:val="en-US"/>
        </w:rPr>
        <w:t>-</w:t>
      </w:r>
      <w:r w:rsidRPr="002C75B8">
        <w:rPr>
          <w:sz w:val="22"/>
          <w:lang w:val="en-US"/>
        </w:rPr>
        <w:t xml:space="preserve">endemic in </w:t>
      </w:r>
      <w:r>
        <w:rPr>
          <w:sz w:val="22"/>
          <w:lang w:val="en-US"/>
        </w:rPr>
        <w:t>s</w:t>
      </w:r>
      <w:r w:rsidRPr="002C75B8">
        <w:rPr>
          <w:sz w:val="22"/>
          <w:lang w:val="en-US"/>
        </w:rPr>
        <w:t xml:space="preserve">outh and </w:t>
      </w:r>
      <w:r>
        <w:rPr>
          <w:sz w:val="22"/>
          <w:lang w:val="en-US"/>
        </w:rPr>
        <w:t>s</w:t>
      </w:r>
      <w:r w:rsidRPr="002C75B8">
        <w:rPr>
          <w:sz w:val="22"/>
          <w:lang w:val="en-US"/>
        </w:rPr>
        <w:t>outheast Herzegovina</w:t>
      </w:r>
      <w:r>
        <w:rPr>
          <w:sz w:val="22"/>
          <w:lang w:val="en-US"/>
        </w:rPr>
        <w:t xml:space="preserve"> [1]</w:t>
      </w:r>
      <w:r w:rsidRPr="002C75B8">
        <w:rPr>
          <w:sz w:val="22"/>
          <w:lang w:val="en-US"/>
        </w:rPr>
        <w:t xml:space="preserve">. The first case of </w:t>
      </w:r>
      <w:r>
        <w:rPr>
          <w:sz w:val="22"/>
          <w:lang w:val="en-US"/>
        </w:rPr>
        <w:t xml:space="preserve">VL </w:t>
      </w:r>
      <w:r w:rsidRPr="002C75B8">
        <w:rPr>
          <w:sz w:val="22"/>
          <w:lang w:val="en-US"/>
        </w:rPr>
        <w:t>in Bosnia and Herzegovina was described in Herzegovina in 19</w:t>
      </w:r>
      <w:r w:rsidRPr="002C75B8">
        <w:rPr>
          <w:sz w:val="22"/>
          <w:lang w:val="hr-HR"/>
        </w:rPr>
        <w:t>4</w:t>
      </w:r>
      <w:r w:rsidRPr="002C75B8">
        <w:rPr>
          <w:sz w:val="22"/>
          <w:lang w:val="en-US"/>
        </w:rPr>
        <w:t xml:space="preserve">9. </w:t>
      </w:r>
      <w:r>
        <w:rPr>
          <w:sz w:val="22"/>
          <w:lang w:val="en-US"/>
        </w:rPr>
        <w:t>Over</w:t>
      </w:r>
      <w:r w:rsidRPr="002C75B8">
        <w:rPr>
          <w:sz w:val="22"/>
          <w:lang w:val="en-US"/>
        </w:rPr>
        <w:t xml:space="preserve"> the past ten years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the endemic area has expanded from the area southeast of </w:t>
      </w:r>
      <w:proofErr w:type="spellStart"/>
      <w:r w:rsidRPr="002C75B8">
        <w:rPr>
          <w:sz w:val="22"/>
          <w:lang w:val="en-US"/>
        </w:rPr>
        <w:t>Mostar</w:t>
      </w:r>
      <w:proofErr w:type="spellEnd"/>
      <w:r w:rsidRPr="002C75B8">
        <w:rPr>
          <w:sz w:val="22"/>
          <w:lang w:val="en-US"/>
        </w:rPr>
        <w:t xml:space="preserve"> to the north and </w:t>
      </w:r>
      <w:r>
        <w:rPr>
          <w:sz w:val="22"/>
          <w:lang w:val="en-US"/>
        </w:rPr>
        <w:t>in</w:t>
      </w:r>
      <w:r w:rsidRPr="002C75B8">
        <w:rPr>
          <w:sz w:val="22"/>
          <w:lang w:val="en-US"/>
        </w:rPr>
        <w:t xml:space="preserve">to </w:t>
      </w:r>
      <w:smartTag w:uri="urn:schemas-microsoft-com:office:smarttags" w:element="country-region">
        <w:r w:rsidRPr="002C75B8">
          <w:rPr>
            <w:sz w:val="22"/>
            <w:lang w:val="en-US"/>
          </w:rPr>
          <w:t>Bosnia</w:t>
        </w:r>
      </w:smartTag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from </w:t>
      </w:r>
      <w:proofErr w:type="spellStart"/>
      <w:r w:rsidRPr="002C75B8">
        <w:rPr>
          <w:sz w:val="22"/>
          <w:lang w:val="en-US"/>
        </w:rPr>
        <w:t>Blagaj</w:t>
      </w:r>
      <w:proofErr w:type="spellEnd"/>
      <w:r w:rsidRPr="002C75B8">
        <w:rPr>
          <w:sz w:val="22"/>
          <w:lang w:val="en-US"/>
        </w:rPr>
        <w:t xml:space="preserve">, </w:t>
      </w:r>
      <w:r w:rsidRPr="002C75B8">
        <w:rPr>
          <w:sz w:val="22"/>
          <w:lang w:val="hr-HR"/>
        </w:rPr>
        <w:t>Drežnic</w:t>
      </w:r>
      <w:proofErr w:type="spellStart"/>
      <w:r w:rsidRPr="002C75B8">
        <w:rPr>
          <w:sz w:val="22"/>
          <w:lang w:val="en-US"/>
        </w:rPr>
        <w:t>a</w:t>
      </w:r>
      <w:proofErr w:type="spellEnd"/>
      <w:r w:rsidRPr="002C75B8">
        <w:rPr>
          <w:sz w:val="22"/>
          <w:lang w:val="en-US"/>
        </w:rPr>
        <w:t xml:space="preserve"> to the </w:t>
      </w:r>
      <w:smartTag w:uri="urn:schemas-microsoft-com:office:smarttags" w:element="place">
        <w:smartTag w:uri="urn:schemas-microsoft-com:office:smarttags" w:element="PlaceType">
          <w:r w:rsidRPr="002C75B8">
            <w:rPr>
              <w:sz w:val="22"/>
              <w:lang w:val="en-US"/>
            </w:rPr>
            <w:t>territory</w:t>
          </w:r>
        </w:smartTag>
        <w:r w:rsidRPr="002C75B8">
          <w:rPr>
            <w:sz w:val="22"/>
            <w:lang w:val="en-US"/>
          </w:rPr>
          <w:t xml:space="preserve"> of </w:t>
        </w:r>
        <w:smartTag w:uri="urn:schemas-microsoft-com:office:smarttags" w:element="PlaceName">
          <w:r w:rsidRPr="002C75B8">
            <w:rPr>
              <w:sz w:val="22"/>
              <w:lang w:val="en-US"/>
            </w:rPr>
            <w:t>Sarajevo Canton</w:t>
          </w:r>
        </w:smartTag>
      </w:smartTag>
      <w:r>
        <w:rPr>
          <w:sz w:val="22"/>
          <w:lang w:val="en-US"/>
        </w:rPr>
        <w:t>.</w:t>
      </w:r>
      <w:r w:rsidRPr="002C75B8">
        <w:rPr>
          <w:sz w:val="22"/>
          <w:lang w:val="en-US"/>
        </w:rPr>
        <w:t xml:space="preserve"> Underreporting to a small degree is suspected due to a lack of awareness of medical personnel. 7 patients with suspected </w:t>
      </w:r>
      <w:r w:rsidRPr="00EB44D2">
        <w:rPr>
          <w:i/>
          <w:iCs/>
          <w:sz w:val="22"/>
          <w:lang w:val="en-US"/>
        </w:rPr>
        <w:t xml:space="preserve">L. infantum </w:t>
      </w:r>
      <w:r w:rsidRPr="002C75B8">
        <w:rPr>
          <w:sz w:val="22"/>
          <w:lang w:val="en-US"/>
        </w:rPr>
        <w:t xml:space="preserve">infection have been hospitalized at the Clinic for Infectious Diseases of the </w:t>
      </w:r>
      <w:smartTag w:uri="urn:schemas-microsoft-com:office:smarttags" w:element="PlaceName">
        <w:r w:rsidRPr="002C75B8">
          <w:rPr>
            <w:sz w:val="22"/>
            <w:lang w:val="en-US"/>
          </w:rPr>
          <w:t>Clinical</w:t>
        </w:r>
      </w:smartTag>
      <w:r w:rsidRPr="002C75B8">
        <w:rPr>
          <w:sz w:val="22"/>
          <w:lang w:val="en-US"/>
        </w:rPr>
        <w:t xml:space="preserve"> </w:t>
      </w:r>
      <w:smartTag w:uri="urn:schemas-microsoft-com:office:smarttags" w:element="PlaceType">
        <w:r w:rsidRPr="002C75B8">
          <w:rPr>
            <w:sz w:val="22"/>
            <w:lang w:val="en-US"/>
          </w:rPr>
          <w:t>Center</w:t>
        </w:r>
      </w:smartTag>
      <w:r w:rsidRPr="002C75B8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in </w:t>
      </w:r>
      <w:smartTag w:uri="urn:schemas-microsoft-com:office:smarttags" w:element="City">
        <w:smartTag w:uri="urn:schemas-microsoft-com:office:smarttags" w:element="place">
          <w:r w:rsidRPr="002C75B8">
            <w:rPr>
              <w:sz w:val="22"/>
              <w:lang w:val="en-US"/>
            </w:rPr>
            <w:t>Sarajevo</w:t>
          </w:r>
        </w:smartTag>
      </w:smartTag>
      <w:r w:rsidRPr="002C75B8">
        <w:rPr>
          <w:sz w:val="22"/>
          <w:lang w:val="en-US"/>
        </w:rPr>
        <w:t xml:space="preserve"> during the last 10 years.</w:t>
      </w:r>
    </w:p>
    <w:p w:rsidR="009D21A6" w:rsidRPr="002C75B8" w:rsidRDefault="009D21A6" w:rsidP="009D21A6">
      <w:pPr>
        <w:ind w:left="0" w:firstLine="0"/>
        <w:rPr>
          <w:sz w:val="22"/>
          <w:lang w:val="en-GB"/>
        </w:rPr>
      </w:pPr>
    </w:p>
    <w:p w:rsidR="009D21A6" w:rsidRPr="002C75B8" w:rsidRDefault="009D21A6" w:rsidP="009D21A6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In 2005, one case of CL was diagnosed. </w:t>
      </w:r>
    </w:p>
    <w:p w:rsidR="009D21A6" w:rsidRPr="002C75B8" w:rsidRDefault="009D21A6" w:rsidP="009D21A6">
      <w:pPr>
        <w:ind w:left="0" w:firstLine="0"/>
        <w:rPr>
          <w:sz w:val="22"/>
          <w:lang w:val="en-US"/>
        </w:rPr>
      </w:pPr>
    </w:p>
    <w:p w:rsidR="009D21A6" w:rsidRPr="002C75B8" w:rsidRDefault="009D21A6" w:rsidP="009D21A6">
      <w:pPr>
        <w:ind w:left="0" w:firstLine="0"/>
        <w:rPr>
          <w:sz w:val="22"/>
          <w:lang w:val="en-GB"/>
        </w:rPr>
      </w:pPr>
      <w:r w:rsidRPr="002C75B8">
        <w:rPr>
          <w:sz w:val="22"/>
          <w:lang w:val="en-GB"/>
        </w:rPr>
        <w:t>There are no reported cases of HIV/</w:t>
      </w:r>
      <w:r w:rsidRPr="002C75B8">
        <w:rPr>
          <w:i/>
          <w:iCs/>
          <w:sz w:val="22"/>
          <w:lang w:val="en-GB"/>
        </w:rPr>
        <w:t>Leishmania</w:t>
      </w:r>
      <w:r w:rsidRPr="002C75B8">
        <w:rPr>
          <w:sz w:val="22"/>
          <w:lang w:val="en-GB"/>
        </w:rPr>
        <w:t xml:space="preserve"> co</w:t>
      </w:r>
      <w:r>
        <w:rPr>
          <w:sz w:val="22"/>
          <w:lang w:val="en-GB"/>
        </w:rPr>
        <w:t>-</w:t>
      </w:r>
      <w:r w:rsidRPr="002C75B8">
        <w:rPr>
          <w:sz w:val="22"/>
          <w:lang w:val="en-GB"/>
        </w:rPr>
        <w:t>infection.</w:t>
      </w:r>
    </w:p>
    <w:p w:rsidR="009D21A6" w:rsidRPr="002C75B8" w:rsidRDefault="009D21A6" w:rsidP="009D21A6">
      <w:pPr>
        <w:ind w:left="0" w:firstLine="0"/>
        <w:rPr>
          <w:sz w:val="22"/>
          <w:lang w:val="en-US"/>
        </w:rPr>
      </w:pPr>
    </w:p>
    <w:p w:rsidR="009D21A6" w:rsidRPr="002C75B8" w:rsidRDefault="009D21A6" w:rsidP="009D21A6">
      <w:pPr>
        <w:ind w:left="0" w:firstLine="0"/>
        <w:rPr>
          <w:sz w:val="22"/>
          <w:lang w:val="en-US"/>
        </w:rPr>
      </w:pPr>
    </w:p>
    <w:p w:rsidR="009D21A6" w:rsidRPr="002C75B8" w:rsidRDefault="009D21A6" w:rsidP="009D21A6">
      <w:pPr>
        <w:ind w:left="0" w:firstLine="0"/>
        <w:rPr>
          <w:b/>
          <w:bCs/>
          <w:sz w:val="22"/>
          <w:lang w:val="it-IT"/>
        </w:rPr>
      </w:pPr>
      <w:r w:rsidRPr="002C75B8">
        <w:rPr>
          <w:b/>
          <w:bCs/>
          <w:sz w:val="22"/>
          <w:lang w:val="it-IT"/>
        </w:rPr>
        <w:t xml:space="preserve">PARASITOLOGICAL INFORMATION </w:t>
      </w:r>
    </w:p>
    <w:p w:rsidR="009D21A6" w:rsidRPr="002C75B8" w:rsidRDefault="009D21A6" w:rsidP="009D21A6">
      <w:pPr>
        <w:ind w:left="0" w:firstLine="0"/>
        <w:rPr>
          <w:b/>
          <w:bCs/>
          <w:sz w:val="22"/>
          <w:lang w:val="it-IT"/>
        </w:rPr>
      </w:pPr>
    </w:p>
    <w:tbl>
      <w:tblPr>
        <w:tblW w:w="8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1478"/>
        <w:gridCol w:w="2822"/>
        <w:gridCol w:w="2397"/>
      </w:tblGrid>
      <w:tr w:rsidR="009D21A6" w:rsidRPr="002C75B8" w:rsidTr="00A7768B">
        <w:trPr>
          <w:trHeight w:val="449"/>
        </w:trPr>
        <w:tc>
          <w:tcPr>
            <w:tcW w:w="2240" w:type="dxa"/>
          </w:tcPr>
          <w:p w:rsidR="009D21A6" w:rsidRPr="002C75B8" w:rsidRDefault="009D21A6" w:rsidP="00A7768B">
            <w:pPr>
              <w:ind w:left="0" w:firstLine="0"/>
              <w:jc w:val="center"/>
              <w:textAlignment w:val="center"/>
              <w:rPr>
                <w:rFonts w:eastAsia="Times New Roman"/>
                <w:sz w:val="22"/>
                <w:lang w:eastAsia="es-CO"/>
              </w:rPr>
            </w:pPr>
            <w:r w:rsidRPr="002C75B8">
              <w:rPr>
                <w:rFonts w:eastAsia="Times New Roman"/>
                <w:b/>
                <w:bCs/>
                <w:i/>
                <w:iCs/>
                <w:kern w:val="24"/>
                <w:sz w:val="22"/>
                <w:lang w:eastAsia="es-CO"/>
              </w:rPr>
              <w:t xml:space="preserve">Leishmania </w:t>
            </w:r>
            <w:proofErr w:type="spellStart"/>
            <w:r w:rsidRPr="002C75B8">
              <w:rPr>
                <w:rFonts w:eastAsia="Times New Roman"/>
                <w:b/>
                <w:bCs/>
                <w:kern w:val="24"/>
                <w:sz w:val="22"/>
                <w:lang w:eastAsia="es-CO"/>
              </w:rPr>
              <w:t>species</w:t>
            </w:r>
            <w:proofErr w:type="spellEnd"/>
            <w:r w:rsidRPr="002C75B8">
              <w:rPr>
                <w:rFonts w:eastAsia="Times New Roman"/>
                <w:b/>
                <w:bCs/>
                <w:kern w:val="24"/>
                <w:sz w:val="22"/>
                <w:lang w:eastAsia="es-CO"/>
              </w:rPr>
              <w:t xml:space="preserve"> </w:t>
            </w:r>
          </w:p>
        </w:tc>
        <w:tc>
          <w:tcPr>
            <w:tcW w:w="1478" w:type="dxa"/>
          </w:tcPr>
          <w:p w:rsidR="009D21A6" w:rsidRPr="002C75B8" w:rsidRDefault="009D21A6" w:rsidP="00A7768B">
            <w:pPr>
              <w:ind w:left="0" w:firstLine="0"/>
              <w:jc w:val="center"/>
              <w:textAlignment w:val="center"/>
              <w:rPr>
                <w:rFonts w:eastAsia="Times New Roman"/>
                <w:sz w:val="22"/>
                <w:lang w:eastAsia="es-CO"/>
              </w:rPr>
            </w:pPr>
            <w:proofErr w:type="spellStart"/>
            <w:r w:rsidRPr="002C75B8">
              <w:rPr>
                <w:rFonts w:eastAsia="Times New Roman"/>
                <w:b/>
                <w:bCs/>
                <w:kern w:val="24"/>
                <w:sz w:val="22"/>
                <w:lang w:eastAsia="es-CO"/>
              </w:rPr>
              <w:t>Clinical</w:t>
            </w:r>
            <w:proofErr w:type="spellEnd"/>
            <w:r w:rsidRPr="002C75B8">
              <w:rPr>
                <w:rFonts w:eastAsia="Times New Roman"/>
                <w:b/>
                <w:bCs/>
                <w:kern w:val="24"/>
                <w:sz w:val="22"/>
                <w:lang w:eastAsia="es-CO"/>
              </w:rPr>
              <w:t xml:space="preserve"> </w:t>
            </w:r>
            <w:proofErr w:type="spellStart"/>
            <w:r w:rsidRPr="002C75B8">
              <w:rPr>
                <w:rFonts w:eastAsia="Times New Roman"/>
                <w:b/>
                <w:bCs/>
                <w:kern w:val="24"/>
                <w:sz w:val="22"/>
                <w:lang w:eastAsia="es-CO"/>
              </w:rPr>
              <w:t>form</w:t>
            </w:r>
            <w:proofErr w:type="spellEnd"/>
          </w:p>
        </w:tc>
        <w:tc>
          <w:tcPr>
            <w:tcW w:w="2822" w:type="dxa"/>
          </w:tcPr>
          <w:p w:rsidR="009D21A6" w:rsidRPr="002C75B8" w:rsidRDefault="009D21A6" w:rsidP="00A7768B">
            <w:pPr>
              <w:ind w:left="0" w:firstLine="0"/>
              <w:jc w:val="center"/>
              <w:textAlignment w:val="center"/>
              <w:rPr>
                <w:rFonts w:eastAsia="Times New Roman"/>
                <w:sz w:val="22"/>
                <w:lang w:eastAsia="es-CO"/>
              </w:rPr>
            </w:pPr>
            <w:r w:rsidRPr="002C75B8">
              <w:rPr>
                <w:rFonts w:eastAsia="Times New Roman"/>
                <w:b/>
                <w:bCs/>
                <w:kern w:val="24"/>
                <w:sz w:val="22"/>
                <w:lang w:eastAsia="es-CO"/>
              </w:rPr>
              <w:t xml:space="preserve">Vector </w:t>
            </w:r>
            <w:proofErr w:type="spellStart"/>
            <w:r w:rsidRPr="002C75B8">
              <w:rPr>
                <w:rFonts w:eastAsia="Times New Roman"/>
                <w:b/>
                <w:bCs/>
                <w:kern w:val="24"/>
                <w:sz w:val="22"/>
                <w:lang w:eastAsia="es-CO"/>
              </w:rPr>
              <w:t>species</w:t>
            </w:r>
            <w:proofErr w:type="spellEnd"/>
          </w:p>
        </w:tc>
        <w:tc>
          <w:tcPr>
            <w:tcW w:w="2397" w:type="dxa"/>
          </w:tcPr>
          <w:p w:rsidR="009D21A6" w:rsidRPr="002C75B8" w:rsidRDefault="009D21A6" w:rsidP="00A7768B">
            <w:pPr>
              <w:ind w:left="0" w:firstLine="0"/>
              <w:jc w:val="center"/>
              <w:textAlignment w:val="center"/>
              <w:rPr>
                <w:rFonts w:eastAsia="Times New Roman"/>
                <w:sz w:val="22"/>
                <w:lang w:eastAsia="es-CO"/>
              </w:rPr>
            </w:pPr>
            <w:proofErr w:type="spellStart"/>
            <w:r w:rsidRPr="002C75B8">
              <w:rPr>
                <w:rFonts w:eastAsia="Times New Roman"/>
                <w:b/>
                <w:bCs/>
                <w:kern w:val="24"/>
                <w:sz w:val="22"/>
                <w:lang w:eastAsia="es-CO"/>
              </w:rPr>
              <w:t>Reservoirs</w:t>
            </w:r>
            <w:proofErr w:type="spellEnd"/>
          </w:p>
        </w:tc>
      </w:tr>
      <w:tr w:rsidR="009D21A6" w:rsidRPr="002C75B8" w:rsidTr="00A7768B">
        <w:trPr>
          <w:trHeight w:val="365"/>
        </w:trPr>
        <w:tc>
          <w:tcPr>
            <w:tcW w:w="2240" w:type="dxa"/>
          </w:tcPr>
          <w:p w:rsidR="009D21A6" w:rsidRPr="002C75B8" w:rsidRDefault="009D21A6" w:rsidP="00A7768B">
            <w:pPr>
              <w:spacing w:line="313" w:lineRule="atLeast"/>
              <w:ind w:left="0" w:firstLine="0"/>
              <w:jc w:val="center"/>
              <w:textAlignment w:val="bottom"/>
              <w:rPr>
                <w:rFonts w:eastAsia="Times New Roman"/>
                <w:sz w:val="22"/>
                <w:lang w:eastAsia="es-CO"/>
              </w:rPr>
            </w:pPr>
            <w:r w:rsidRPr="002C75B8">
              <w:rPr>
                <w:rFonts w:eastAsia="Times New Roman"/>
                <w:i/>
                <w:iCs/>
                <w:kern w:val="24"/>
                <w:sz w:val="22"/>
                <w:lang w:eastAsia="es-CO"/>
              </w:rPr>
              <w:t xml:space="preserve">L infantum </w:t>
            </w:r>
          </w:p>
        </w:tc>
        <w:tc>
          <w:tcPr>
            <w:tcW w:w="1478" w:type="dxa"/>
          </w:tcPr>
          <w:p w:rsidR="009D21A6" w:rsidRPr="002C75B8" w:rsidRDefault="009D21A6" w:rsidP="00A7768B">
            <w:pPr>
              <w:spacing w:line="313" w:lineRule="atLeast"/>
              <w:ind w:left="0" w:firstLine="0"/>
              <w:jc w:val="left"/>
              <w:textAlignment w:val="bottom"/>
              <w:rPr>
                <w:rFonts w:eastAsia="Times New Roman"/>
                <w:sz w:val="22"/>
                <w:lang w:eastAsia="es-CO"/>
              </w:rPr>
            </w:pPr>
            <w:r w:rsidRPr="002C75B8">
              <w:rPr>
                <w:rFonts w:eastAsia="Times New Roman"/>
                <w:kern w:val="24"/>
                <w:sz w:val="22"/>
                <w:lang w:eastAsia="es-CO"/>
              </w:rPr>
              <w:t>ZVL, CL</w:t>
            </w:r>
          </w:p>
        </w:tc>
        <w:tc>
          <w:tcPr>
            <w:tcW w:w="2822" w:type="dxa"/>
          </w:tcPr>
          <w:p w:rsidR="009D21A6" w:rsidRPr="002C75B8" w:rsidRDefault="009D21A6" w:rsidP="00A7768B">
            <w:pPr>
              <w:spacing w:line="313" w:lineRule="atLeast"/>
              <w:ind w:left="0" w:firstLine="0"/>
              <w:jc w:val="center"/>
              <w:textAlignment w:val="bottom"/>
              <w:rPr>
                <w:rFonts w:eastAsia="Times New Roman"/>
                <w:sz w:val="22"/>
                <w:lang w:eastAsia="es-CO"/>
              </w:rPr>
            </w:pPr>
            <w:proofErr w:type="spellStart"/>
            <w:r w:rsidRPr="002C75B8">
              <w:rPr>
                <w:rFonts w:eastAsia="Times New Roman"/>
                <w:i/>
                <w:iCs/>
                <w:kern w:val="24"/>
                <w:sz w:val="22"/>
                <w:lang w:eastAsia="es-CO"/>
              </w:rPr>
              <w:t>Unknown</w:t>
            </w:r>
            <w:proofErr w:type="spellEnd"/>
            <w:r w:rsidRPr="002C75B8">
              <w:rPr>
                <w:rFonts w:eastAsia="Times New Roman"/>
                <w:i/>
                <w:iCs/>
                <w:kern w:val="24"/>
                <w:sz w:val="22"/>
                <w:lang w:eastAsia="es-CO"/>
              </w:rPr>
              <w:t xml:space="preserve"> </w:t>
            </w:r>
          </w:p>
        </w:tc>
        <w:tc>
          <w:tcPr>
            <w:tcW w:w="2397" w:type="dxa"/>
          </w:tcPr>
          <w:p w:rsidR="009D21A6" w:rsidRPr="002C75B8" w:rsidRDefault="009D21A6" w:rsidP="00A7768B">
            <w:pPr>
              <w:spacing w:line="313" w:lineRule="atLeast"/>
              <w:ind w:left="0" w:firstLine="0"/>
              <w:jc w:val="center"/>
              <w:textAlignment w:val="bottom"/>
              <w:rPr>
                <w:rFonts w:eastAsia="Times New Roman"/>
                <w:sz w:val="22"/>
                <w:lang w:eastAsia="es-CO"/>
              </w:rPr>
            </w:pPr>
            <w:proofErr w:type="spellStart"/>
            <w:r w:rsidRPr="002C75B8">
              <w:rPr>
                <w:rFonts w:eastAsia="Times New Roman"/>
                <w:i/>
                <w:iCs/>
                <w:kern w:val="24"/>
                <w:sz w:val="22"/>
                <w:lang w:eastAsia="es-CO"/>
              </w:rPr>
              <w:t>Canis</w:t>
            </w:r>
            <w:proofErr w:type="spellEnd"/>
            <w:r w:rsidRPr="002C75B8">
              <w:rPr>
                <w:rFonts w:eastAsia="Times New Roman"/>
                <w:i/>
                <w:iCs/>
                <w:kern w:val="24"/>
                <w:sz w:val="22"/>
                <w:lang w:eastAsia="es-CO"/>
              </w:rPr>
              <w:t xml:space="preserve"> </w:t>
            </w:r>
            <w:proofErr w:type="spellStart"/>
            <w:r w:rsidRPr="002C75B8">
              <w:rPr>
                <w:rFonts w:eastAsia="Times New Roman"/>
                <w:i/>
                <w:iCs/>
                <w:kern w:val="24"/>
                <w:sz w:val="22"/>
                <w:lang w:eastAsia="es-CO"/>
              </w:rPr>
              <w:t>familiaris</w:t>
            </w:r>
            <w:proofErr w:type="spellEnd"/>
            <w:r w:rsidRPr="002C75B8">
              <w:rPr>
                <w:rFonts w:eastAsia="Times New Roman"/>
                <w:i/>
                <w:iCs/>
                <w:kern w:val="24"/>
                <w:sz w:val="22"/>
                <w:lang w:eastAsia="es-CO"/>
              </w:rPr>
              <w:t xml:space="preserve"> </w:t>
            </w:r>
          </w:p>
        </w:tc>
      </w:tr>
    </w:tbl>
    <w:p w:rsidR="009D21A6" w:rsidRDefault="009D21A6" w:rsidP="009D21A6">
      <w:pPr>
        <w:ind w:left="0" w:firstLine="0"/>
        <w:rPr>
          <w:sz w:val="22"/>
        </w:rPr>
      </w:pPr>
    </w:p>
    <w:p w:rsidR="009D21A6" w:rsidRPr="002C75B8" w:rsidRDefault="009D21A6" w:rsidP="009D21A6">
      <w:pPr>
        <w:ind w:left="0" w:firstLine="0"/>
        <w:rPr>
          <w:sz w:val="22"/>
        </w:rPr>
      </w:pPr>
    </w:p>
    <w:p w:rsidR="009D21A6" w:rsidRPr="00AE5AB7" w:rsidRDefault="009D21A6" w:rsidP="009D21A6">
      <w:pPr>
        <w:ind w:left="0" w:firstLine="0"/>
        <w:rPr>
          <w:b/>
          <w:bCs/>
          <w:sz w:val="22"/>
          <w:lang w:val="en-GB"/>
        </w:rPr>
      </w:pPr>
      <w:r w:rsidRPr="00AE5AB7">
        <w:rPr>
          <w:b/>
          <w:bCs/>
          <w:sz w:val="22"/>
          <w:lang w:val="en-GB"/>
        </w:rPr>
        <w:lastRenderedPageBreak/>
        <w:t>MAPS AND TRENDS</w:t>
      </w:r>
    </w:p>
    <w:p w:rsidR="009D21A6" w:rsidRPr="00AE5AB7" w:rsidRDefault="009D21A6" w:rsidP="009D21A6">
      <w:pPr>
        <w:ind w:left="0" w:firstLine="0"/>
        <w:rPr>
          <w:sz w:val="22"/>
          <w:lang w:val="en-GB"/>
        </w:rPr>
      </w:pPr>
    </w:p>
    <w:p w:rsidR="009D21A6" w:rsidRPr="00AE5AB7" w:rsidRDefault="009D21A6" w:rsidP="009D21A6">
      <w:pPr>
        <w:ind w:left="0" w:firstLine="0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Visceral l</w:t>
      </w:r>
      <w:r w:rsidRPr="00AE5AB7">
        <w:rPr>
          <w:b/>
          <w:bCs/>
          <w:sz w:val="22"/>
          <w:lang w:val="en-GB"/>
        </w:rPr>
        <w:t>eishmaniasis</w:t>
      </w:r>
    </w:p>
    <w:p w:rsidR="009D21A6" w:rsidRPr="00AE5AB7" w:rsidRDefault="009D21A6" w:rsidP="009D21A6">
      <w:pPr>
        <w:ind w:left="0" w:firstLine="0"/>
        <w:rPr>
          <w:b/>
          <w:bCs/>
          <w:sz w:val="22"/>
          <w:lang w:val="en-GB"/>
        </w:rPr>
      </w:pPr>
    </w:p>
    <w:p w:rsidR="009D21A6" w:rsidRDefault="009D21A6" w:rsidP="009D21A6">
      <w:pPr>
        <w:ind w:left="0" w:firstLine="0"/>
        <w:rPr>
          <w:noProof/>
          <w:sz w:val="22"/>
          <w:lang w:eastAsia="es-CO"/>
        </w:rPr>
      </w:pPr>
      <w:r w:rsidRPr="00AE5AB7">
        <w:rPr>
          <w:noProof/>
          <w:sz w:val="22"/>
          <w:lang w:val="en-GB" w:eastAsia="es-CO"/>
        </w:rPr>
        <w:t xml:space="preserve"> </w:t>
      </w:r>
      <w:r w:rsidRPr="00AE5AB7">
        <w:rPr>
          <w:sz w:val="22"/>
          <w:lang w:val="en-GB"/>
        </w:rPr>
        <w:t xml:space="preserve">     </w:t>
      </w:r>
      <w:r>
        <w:rPr>
          <w:noProof/>
          <w:sz w:val="2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111125</wp:posOffset>
            </wp:positionV>
            <wp:extent cx="3084830" cy="2181225"/>
            <wp:effectExtent l="1905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111125</wp:posOffset>
            </wp:positionV>
            <wp:extent cx="3200400" cy="226250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6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21A6" w:rsidRDefault="009D21A6" w:rsidP="009D21A6">
      <w:pPr>
        <w:ind w:left="0" w:firstLine="0"/>
        <w:rPr>
          <w:noProof/>
          <w:sz w:val="22"/>
          <w:lang w:eastAsia="es-CO"/>
        </w:rPr>
      </w:pPr>
    </w:p>
    <w:p w:rsidR="009D21A6" w:rsidRDefault="009D21A6" w:rsidP="009D21A6">
      <w:pPr>
        <w:ind w:left="0" w:firstLine="0"/>
        <w:rPr>
          <w:noProof/>
          <w:sz w:val="22"/>
          <w:lang w:eastAsia="es-CO"/>
        </w:rPr>
      </w:pPr>
    </w:p>
    <w:p w:rsidR="009D21A6" w:rsidRDefault="009D21A6" w:rsidP="009D21A6">
      <w:pPr>
        <w:ind w:left="0" w:firstLine="0"/>
        <w:rPr>
          <w:noProof/>
          <w:sz w:val="22"/>
          <w:lang w:eastAsia="es-CO"/>
        </w:rPr>
      </w:pPr>
    </w:p>
    <w:p w:rsidR="009D21A6" w:rsidRDefault="009D21A6" w:rsidP="009D21A6">
      <w:pPr>
        <w:ind w:left="0" w:firstLine="0"/>
        <w:rPr>
          <w:noProof/>
          <w:sz w:val="22"/>
          <w:lang w:eastAsia="es-CO"/>
        </w:rPr>
      </w:pPr>
    </w:p>
    <w:p w:rsidR="009D21A6" w:rsidRDefault="009D21A6" w:rsidP="009D21A6">
      <w:pPr>
        <w:ind w:left="0" w:firstLine="0"/>
        <w:rPr>
          <w:noProof/>
          <w:sz w:val="22"/>
          <w:lang w:eastAsia="es-CO"/>
        </w:rPr>
      </w:pPr>
    </w:p>
    <w:p w:rsidR="009D21A6" w:rsidRDefault="009D21A6" w:rsidP="009D21A6">
      <w:pPr>
        <w:ind w:left="0" w:firstLine="0"/>
        <w:rPr>
          <w:noProof/>
          <w:sz w:val="22"/>
          <w:lang w:eastAsia="es-CO"/>
        </w:rPr>
      </w:pPr>
    </w:p>
    <w:p w:rsidR="009D21A6" w:rsidRDefault="009D21A6" w:rsidP="009D21A6">
      <w:pPr>
        <w:ind w:left="0" w:firstLine="0"/>
        <w:rPr>
          <w:noProof/>
          <w:sz w:val="22"/>
          <w:lang w:eastAsia="es-CO"/>
        </w:rPr>
      </w:pPr>
    </w:p>
    <w:p w:rsidR="009D21A6" w:rsidRDefault="009D21A6" w:rsidP="009D21A6">
      <w:pPr>
        <w:ind w:left="0" w:firstLine="0"/>
        <w:rPr>
          <w:noProof/>
          <w:sz w:val="22"/>
          <w:lang w:eastAsia="es-CO"/>
        </w:rPr>
      </w:pPr>
    </w:p>
    <w:p w:rsidR="009D21A6" w:rsidRDefault="009D21A6" w:rsidP="009D21A6">
      <w:pPr>
        <w:ind w:left="0" w:firstLine="0"/>
        <w:rPr>
          <w:noProof/>
          <w:sz w:val="22"/>
          <w:lang w:eastAsia="es-CO"/>
        </w:rPr>
      </w:pPr>
    </w:p>
    <w:p w:rsidR="009D21A6" w:rsidRDefault="009D21A6" w:rsidP="009D21A6">
      <w:pPr>
        <w:ind w:left="0" w:firstLine="0"/>
        <w:rPr>
          <w:noProof/>
          <w:sz w:val="22"/>
          <w:lang w:eastAsia="es-CO"/>
        </w:rPr>
      </w:pPr>
    </w:p>
    <w:p w:rsidR="009D21A6" w:rsidRDefault="009D21A6" w:rsidP="009D21A6">
      <w:pPr>
        <w:ind w:left="0" w:firstLine="0"/>
        <w:rPr>
          <w:noProof/>
          <w:sz w:val="22"/>
          <w:lang w:eastAsia="es-CO"/>
        </w:rPr>
      </w:pPr>
    </w:p>
    <w:p w:rsidR="009D21A6" w:rsidRDefault="009D21A6" w:rsidP="009D21A6">
      <w:pPr>
        <w:ind w:left="0" w:firstLine="0"/>
        <w:rPr>
          <w:noProof/>
          <w:sz w:val="22"/>
          <w:lang w:eastAsia="es-CO"/>
        </w:rPr>
      </w:pPr>
    </w:p>
    <w:p w:rsidR="009D21A6" w:rsidRDefault="009D21A6" w:rsidP="009D21A6">
      <w:pPr>
        <w:ind w:left="0" w:firstLine="0"/>
        <w:rPr>
          <w:noProof/>
          <w:sz w:val="22"/>
          <w:lang w:eastAsia="es-CO"/>
        </w:rPr>
      </w:pPr>
    </w:p>
    <w:p w:rsidR="009D21A6" w:rsidRDefault="009D21A6" w:rsidP="009D21A6">
      <w:pPr>
        <w:ind w:left="0" w:firstLine="0"/>
        <w:rPr>
          <w:noProof/>
          <w:sz w:val="22"/>
          <w:lang w:eastAsia="es-CO"/>
        </w:rPr>
      </w:pPr>
    </w:p>
    <w:p w:rsidR="009D21A6" w:rsidRDefault="009D21A6" w:rsidP="009D21A6">
      <w:pPr>
        <w:ind w:left="0" w:firstLine="0"/>
        <w:rPr>
          <w:noProof/>
          <w:sz w:val="22"/>
          <w:lang w:eastAsia="es-CO"/>
        </w:rPr>
      </w:pPr>
    </w:p>
    <w:p w:rsidR="009D21A6" w:rsidRPr="002C75B8" w:rsidRDefault="009D21A6" w:rsidP="009D21A6">
      <w:pPr>
        <w:ind w:left="0" w:firstLine="0"/>
        <w:rPr>
          <w:b/>
          <w:sz w:val="22"/>
          <w:lang w:val="en-US"/>
        </w:rPr>
      </w:pPr>
      <w:r>
        <w:rPr>
          <w:b/>
          <w:sz w:val="22"/>
          <w:lang w:val="en-US"/>
        </w:rPr>
        <w:t>Cutaneous l</w:t>
      </w:r>
      <w:r w:rsidRPr="002C75B8">
        <w:rPr>
          <w:b/>
          <w:sz w:val="22"/>
          <w:lang w:val="en-US"/>
        </w:rPr>
        <w:t>eishmaniasis</w:t>
      </w:r>
    </w:p>
    <w:p w:rsidR="009D21A6" w:rsidRDefault="009D21A6" w:rsidP="009D21A6">
      <w:pPr>
        <w:ind w:left="0" w:firstLine="0"/>
        <w:rPr>
          <w:b/>
          <w:noProof/>
          <w:sz w:val="22"/>
          <w:lang w:eastAsia="es-CO"/>
        </w:rPr>
      </w:pPr>
    </w:p>
    <w:p w:rsidR="009D21A6" w:rsidRDefault="009D21A6" w:rsidP="009D21A6">
      <w:pPr>
        <w:ind w:left="0" w:firstLine="0"/>
        <w:rPr>
          <w:b/>
          <w:noProof/>
          <w:sz w:val="22"/>
          <w:lang w:eastAsia="es-CO"/>
        </w:rPr>
      </w:pPr>
      <w:r>
        <w:rPr>
          <w:b/>
          <w:noProof/>
          <w:sz w:val="22"/>
          <w:lang w:val="en-US"/>
        </w:rPr>
        <w:drawing>
          <wp:inline distT="0" distB="0" distL="0" distR="0">
            <wp:extent cx="3086100" cy="2181860"/>
            <wp:effectExtent l="19050" t="0" r="0" b="0"/>
            <wp:docPr id="1" name="Picture 2" descr="BACLm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CLmod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8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21A6" w:rsidRPr="002C75B8" w:rsidRDefault="009D21A6" w:rsidP="009D21A6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 xml:space="preserve">   </w:t>
      </w:r>
    </w:p>
    <w:p w:rsidR="009D21A6" w:rsidRPr="002C75B8" w:rsidRDefault="009D21A6" w:rsidP="009D21A6">
      <w:pPr>
        <w:ind w:left="0" w:firstLine="0"/>
        <w:rPr>
          <w:b/>
          <w:sz w:val="22"/>
          <w:lang w:val="en-US"/>
        </w:rPr>
      </w:pPr>
    </w:p>
    <w:p w:rsidR="009D21A6" w:rsidRDefault="009D21A6" w:rsidP="009D21A6">
      <w:pPr>
        <w:ind w:left="0" w:firstLine="0"/>
        <w:rPr>
          <w:b/>
          <w:bCs/>
          <w:sz w:val="22"/>
          <w:lang w:val="en-US"/>
        </w:rPr>
      </w:pPr>
    </w:p>
    <w:p w:rsidR="009D21A6" w:rsidRPr="002C75B8" w:rsidRDefault="009D21A6" w:rsidP="009D21A6">
      <w:pPr>
        <w:ind w:left="0" w:firstLine="0"/>
        <w:rPr>
          <w:b/>
          <w:bCs/>
          <w:sz w:val="22"/>
          <w:lang w:val="en-GB"/>
        </w:rPr>
      </w:pPr>
      <w:r w:rsidRPr="002C75B8">
        <w:rPr>
          <w:b/>
          <w:bCs/>
          <w:sz w:val="22"/>
          <w:lang w:val="en-US"/>
        </w:rPr>
        <w:t xml:space="preserve">Visceral and cutaneous leishmaniasis </w:t>
      </w:r>
      <w:r>
        <w:rPr>
          <w:b/>
          <w:bCs/>
          <w:sz w:val="22"/>
          <w:lang w:val="en-US"/>
        </w:rPr>
        <w:t>trend</w:t>
      </w:r>
      <w:r w:rsidRPr="002C75B8">
        <w:rPr>
          <w:b/>
          <w:bCs/>
          <w:sz w:val="22"/>
          <w:lang w:val="en-GB"/>
        </w:rPr>
        <w:t xml:space="preserve"> </w:t>
      </w:r>
    </w:p>
    <w:tbl>
      <w:tblPr>
        <w:tblW w:w="4586" w:type="dxa"/>
        <w:tblInd w:w="91" w:type="dxa"/>
        <w:tblLook w:val="04A0"/>
      </w:tblPr>
      <w:tblGrid>
        <w:gridCol w:w="3560"/>
        <w:gridCol w:w="486"/>
        <w:gridCol w:w="540"/>
      </w:tblGrid>
      <w:tr w:rsidR="009D21A6" w:rsidRPr="002C75B8" w:rsidTr="00A7768B">
        <w:trPr>
          <w:trHeight w:val="25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1A6" w:rsidRDefault="009D21A6" w:rsidP="00A7768B">
            <w:pPr>
              <w:ind w:left="0" w:firstLine="0"/>
              <w:jc w:val="left"/>
              <w:rPr>
                <w:rFonts w:eastAsia="Times New Roman"/>
                <w:sz w:val="22"/>
                <w:lang w:val="en-US"/>
              </w:rPr>
            </w:pPr>
            <w:r>
              <w:rPr>
                <w:rFonts w:eastAsia="Times New Roman"/>
                <w:sz w:val="22"/>
                <w:lang w:val="en-US"/>
              </w:rPr>
              <w:t xml:space="preserve">       </w:t>
            </w:r>
          </w:p>
          <w:tbl>
            <w:tblPr>
              <w:tblpPr w:leftFromText="180" w:rightFromText="180" w:vertAnchor="text" w:horzAnchor="margin" w:tblpY="318"/>
              <w:tblOverlap w:val="never"/>
              <w:tblW w:w="3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0"/>
              <w:gridCol w:w="706"/>
              <w:gridCol w:w="706"/>
              <w:gridCol w:w="706"/>
              <w:gridCol w:w="706"/>
            </w:tblGrid>
            <w:tr w:rsidR="009D21A6" w:rsidRPr="00BF283F" w:rsidTr="00A7768B">
              <w:tc>
                <w:tcPr>
                  <w:tcW w:w="510" w:type="dxa"/>
                </w:tcPr>
                <w:p w:rsidR="009D21A6" w:rsidRPr="00BF283F" w:rsidRDefault="009D21A6" w:rsidP="00A7768B">
                  <w:pPr>
                    <w:ind w:left="0" w:firstLine="0"/>
                    <w:jc w:val="left"/>
                    <w:rPr>
                      <w:rFonts w:eastAsia="Times New Roman"/>
                      <w:b/>
                      <w:bCs/>
                      <w:sz w:val="22"/>
                      <w:lang w:val="en-US"/>
                    </w:rPr>
                  </w:pPr>
                </w:p>
              </w:tc>
              <w:tc>
                <w:tcPr>
                  <w:tcW w:w="706" w:type="dxa"/>
                </w:tcPr>
                <w:p w:rsidR="009D21A6" w:rsidRPr="00BF283F" w:rsidRDefault="009D21A6" w:rsidP="00A7768B">
                  <w:pPr>
                    <w:ind w:left="0" w:firstLine="0"/>
                    <w:jc w:val="left"/>
                    <w:rPr>
                      <w:rFonts w:eastAsia="Times New Roman"/>
                      <w:b/>
                      <w:bCs/>
                      <w:sz w:val="22"/>
                      <w:lang w:val="en-US"/>
                    </w:rPr>
                  </w:pPr>
                  <w:r w:rsidRPr="00BF283F">
                    <w:rPr>
                      <w:rFonts w:eastAsia="Times New Roman"/>
                      <w:b/>
                      <w:bCs/>
                      <w:sz w:val="22"/>
                      <w:lang w:val="en-US"/>
                    </w:rPr>
                    <w:t>2002</w:t>
                  </w:r>
                </w:p>
              </w:tc>
              <w:tc>
                <w:tcPr>
                  <w:tcW w:w="706" w:type="dxa"/>
                </w:tcPr>
                <w:p w:rsidR="009D21A6" w:rsidRPr="00BF283F" w:rsidRDefault="009D21A6" w:rsidP="00A7768B">
                  <w:pPr>
                    <w:ind w:left="0" w:firstLine="0"/>
                    <w:jc w:val="left"/>
                    <w:rPr>
                      <w:rFonts w:eastAsia="Times New Roman"/>
                      <w:b/>
                      <w:bCs/>
                      <w:sz w:val="22"/>
                      <w:lang w:val="en-US"/>
                    </w:rPr>
                  </w:pPr>
                  <w:r w:rsidRPr="00BF283F">
                    <w:rPr>
                      <w:rFonts w:eastAsia="Times New Roman"/>
                      <w:b/>
                      <w:bCs/>
                      <w:sz w:val="22"/>
                      <w:lang w:val="en-US"/>
                    </w:rPr>
                    <w:t>2003</w:t>
                  </w:r>
                </w:p>
              </w:tc>
              <w:tc>
                <w:tcPr>
                  <w:tcW w:w="706" w:type="dxa"/>
                </w:tcPr>
                <w:p w:rsidR="009D21A6" w:rsidRPr="00BF283F" w:rsidRDefault="009D21A6" w:rsidP="00A7768B">
                  <w:pPr>
                    <w:ind w:left="0" w:firstLine="0"/>
                    <w:jc w:val="left"/>
                    <w:rPr>
                      <w:rFonts w:eastAsia="Times New Roman"/>
                      <w:b/>
                      <w:bCs/>
                      <w:sz w:val="22"/>
                      <w:lang w:val="en-US"/>
                    </w:rPr>
                  </w:pPr>
                  <w:r w:rsidRPr="00BF283F">
                    <w:rPr>
                      <w:rFonts w:eastAsia="Times New Roman"/>
                      <w:b/>
                      <w:bCs/>
                      <w:sz w:val="22"/>
                      <w:lang w:val="en-US"/>
                    </w:rPr>
                    <w:t>2004</w:t>
                  </w:r>
                </w:p>
              </w:tc>
              <w:tc>
                <w:tcPr>
                  <w:tcW w:w="706" w:type="dxa"/>
                </w:tcPr>
                <w:p w:rsidR="009D21A6" w:rsidRPr="00BF283F" w:rsidRDefault="009D21A6" w:rsidP="00A7768B">
                  <w:pPr>
                    <w:ind w:left="0" w:firstLine="0"/>
                    <w:jc w:val="left"/>
                    <w:rPr>
                      <w:rFonts w:eastAsia="Times New Roman"/>
                      <w:b/>
                      <w:bCs/>
                      <w:sz w:val="22"/>
                      <w:lang w:val="en-US"/>
                    </w:rPr>
                  </w:pPr>
                  <w:r w:rsidRPr="00BF283F">
                    <w:rPr>
                      <w:rFonts w:eastAsia="Times New Roman"/>
                      <w:b/>
                      <w:bCs/>
                      <w:sz w:val="22"/>
                      <w:lang w:val="en-US"/>
                    </w:rPr>
                    <w:t>2005</w:t>
                  </w:r>
                </w:p>
              </w:tc>
            </w:tr>
            <w:tr w:rsidR="009D21A6" w:rsidRPr="00BF283F" w:rsidTr="00A7768B">
              <w:tc>
                <w:tcPr>
                  <w:tcW w:w="510" w:type="dxa"/>
                </w:tcPr>
                <w:p w:rsidR="009D21A6" w:rsidRPr="00BF283F" w:rsidRDefault="009D21A6" w:rsidP="00A7768B">
                  <w:pPr>
                    <w:ind w:left="0" w:firstLine="0"/>
                    <w:jc w:val="left"/>
                    <w:rPr>
                      <w:rFonts w:eastAsia="Times New Roman"/>
                      <w:b/>
                      <w:bCs/>
                      <w:sz w:val="22"/>
                      <w:lang w:val="en-US"/>
                    </w:rPr>
                  </w:pPr>
                  <w:r w:rsidRPr="00BF283F">
                    <w:rPr>
                      <w:rFonts w:eastAsia="Times New Roman"/>
                      <w:b/>
                      <w:bCs/>
                      <w:sz w:val="22"/>
                      <w:lang w:val="en-US"/>
                    </w:rPr>
                    <w:t>VL</w:t>
                  </w:r>
                </w:p>
              </w:tc>
              <w:tc>
                <w:tcPr>
                  <w:tcW w:w="706" w:type="dxa"/>
                </w:tcPr>
                <w:p w:rsidR="009D21A6" w:rsidRPr="00812E7D" w:rsidRDefault="009D21A6" w:rsidP="00A7768B">
                  <w:pPr>
                    <w:ind w:left="0" w:firstLine="0"/>
                    <w:jc w:val="center"/>
                    <w:rPr>
                      <w:rFonts w:eastAsia="Times New Roman"/>
                      <w:sz w:val="22"/>
                      <w:lang w:val="en-US"/>
                    </w:rPr>
                  </w:pPr>
                  <w:r w:rsidRPr="00812E7D">
                    <w:rPr>
                      <w:rFonts w:eastAsia="Times New Roman"/>
                      <w:sz w:val="22"/>
                      <w:lang w:val="en-US"/>
                    </w:rPr>
                    <w:t>3</w:t>
                  </w:r>
                </w:p>
              </w:tc>
              <w:tc>
                <w:tcPr>
                  <w:tcW w:w="706" w:type="dxa"/>
                </w:tcPr>
                <w:p w:rsidR="009D21A6" w:rsidRPr="00812E7D" w:rsidRDefault="009D21A6" w:rsidP="00A7768B">
                  <w:pPr>
                    <w:ind w:left="0" w:firstLine="0"/>
                    <w:jc w:val="center"/>
                    <w:rPr>
                      <w:rFonts w:eastAsia="Times New Roman"/>
                      <w:sz w:val="22"/>
                      <w:lang w:val="en-US"/>
                    </w:rPr>
                  </w:pPr>
                  <w:r w:rsidRPr="00812E7D">
                    <w:rPr>
                      <w:rFonts w:eastAsia="Times New Roman"/>
                      <w:sz w:val="22"/>
                      <w:lang w:val="en-US"/>
                    </w:rPr>
                    <w:t>1</w:t>
                  </w:r>
                </w:p>
              </w:tc>
              <w:tc>
                <w:tcPr>
                  <w:tcW w:w="706" w:type="dxa"/>
                </w:tcPr>
                <w:p w:rsidR="009D21A6" w:rsidRPr="00812E7D" w:rsidRDefault="009D21A6" w:rsidP="00A7768B">
                  <w:pPr>
                    <w:ind w:left="0" w:firstLine="0"/>
                    <w:jc w:val="center"/>
                    <w:rPr>
                      <w:rFonts w:eastAsia="Times New Roman"/>
                      <w:sz w:val="22"/>
                      <w:lang w:val="en-US"/>
                    </w:rPr>
                  </w:pPr>
                  <w:r w:rsidRPr="00812E7D">
                    <w:rPr>
                      <w:rFonts w:eastAsia="Times New Roman"/>
                      <w:sz w:val="22"/>
                      <w:lang w:val="en-US"/>
                    </w:rPr>
                    <w:t>1</w:t>
                  </w:r>
                </w:p>
              </w:tc>
              <w:tc>
                <w:tcPr>
                  <w:tcW w:w="706" w:type="dxa"/>
                </w:tcPr>
                <w:p w:rsidR="009D21A6" w:rsidRPr="00812E7D" w:rsidRDefault="009D21A6" w:rsidP="00A7768B">
                  <w:pPr>
                    <w:ind w:left="0" w:firstLine="0"/>
                    <w:jc w:val="center"/>
                    <w:rPr>
                      <w:rFonts w:eastAsia="Times New Roman"/>
                      <w:sz w:val="22"/>
                      <w:lang w:val="en-US"/>
                    </w:rPr>
                  </w:pPr>
                  <w:r w:rsidRPr="00812E7D">
                    <w:rPr>
                      <w:rFonts w:eastAsia="Times New Roman"/>
                      <w:sz w:val="22"/>
                      <w:lang w:val="en-US"/>
                    </w:rPr>
                    <w:t>1</w:t>
                  </w:r>
                </w:p>
              </w:tc>
            </w:tr>
            <w:tr w:rsidR="009D21A6" w:rsidRPr="00BF283F" w:rsidTr="00A7768B">
              <w:tc>
                <w:tcPr>
                  <w:tcW w:w="510" w:type="dxa"/>
                </w:tcPr>
                <w:p w:rsidR="009D21A6" w:rsidRPr="00BF283F" w:rsidRDefault="009D21A6" w:rsidP="00A7768B">
                  <w:pPr>
                    <w:ind w:left="0" w:firstLine="0"/>
                    <w:jc w:val="left"/>
                    <w:rPr>
                      <w:rFonts w:eastAsia="Times New Roman"/>
                      <w:b/>
                      <w:bCs/>
                      <w:sz w:val="22"/>
                      <w:lang w:val="en-US"/>
                    </w:rPr>
                  </w:pPr>
                  <w:r w:rsidRPr="00BF283F">
                    <w:rPr>
                      <w:rFonts w:eastAsia="Times New Roman"/>
                      <w:b/>
                      <w:bCs/>
                      <w:sz w:val="22"/>
                      <w:lang w:val="en-US"/>
                    </w:rPr>
                    <w:t>CL</w:t>
                  </w:r>
                </w:p>
              </w:tc>
              <w:tc>
                <w:tcPr>
                  <w:tcW w:w="706" w:type="dxa"/>
                </w:tcPr>
                <w:p w:rsidR="009D21A6" w:rsidRPr="00812E7D" w:rsidRDefault="009D21A6" w:rsidP="00A7768B">
                  <w:pPr>
                    <w:ind w:left="0" w:firstLine="0"/>
                    <w:jc w:val="center"/>
                    <w:rPr>
                      <w:rFonts w:eastAsia="Times New Roman"/>
                      <w:sz w:val="22"/>
                      <w:lang w:val="en-US"/>
                    </w:rPr>
                  </w:pPr>
                </w:p>
              </w:tc>
              <w:tc>
                <w:tcPr>
                  <w:tcW w:w="706" w:type="dxa"/>
                </w:tcPr>
                <w:p w:rsidR="009D21A6" w:rsidRPr="00812E7D" w:rsidRDefault="009D21A6" w:rsidP="00A7768B">
                  <w:pPr>
                    <w:ind w:left="0" w:firstLine="0"/>
                    <w:jc w:val="center"/>
                    <w:rPr>
                      <w:rFonts w:eastAsia="Times New Roman"/>
                      <w:sz w:val="22"/>
                      <w:lang w:val="en-US"/>
                    </w:rPr>
                  </w:pPr>
                </w:p>
              </w:tc>
              <w:tc>
                <w:tcPr>
                  <w:tcW w:w="706" w:type="dxa"/>
                </w:tcPr>
                <w:p w:rsidR="009D21A6" w:rsidRPr="00812E7D" w:rsidRDefault="009D21A6" w:rsidP="00A7768B">
                  <w:pPr>
                    <w:ind w:left="0" w:firstLine="0"/>
                    <w:jc w:val="center"/>
                    <w:rPr>
                      <w:rFonts w:eastAsia="Times New Roman"/>
                      <w:sz w:val="22"/>
                      <w:lang w:val="en-US"/>
                    </w:rPr>
                  </w:pPr>
                </w:p>
              </w:tc>
              <w:tc>
                <w:tcPr>
                  <w:tcW w:w="706" w:type="dxa"/>
                </w:tcPr>
                <w:p w:rsidR="009D21A6" w:rsidRPr="00812E7D" w:rsidRDefault="009D21A6" w:rsidP="00A7768B">
                  <w:pPr>
                    <w:ind w:left="0" w:firstLine="0"/>
                    <w:jc w:val="center"/>
                    <w:rPr>
                      <w:rFonts w:eastAsia="Times New Roman"/>
                      <w:sz w:val="22"/>
                      <w:lang w:val="en-US"/>
                    </w:rPr>
                  </w:pPr>
                  <w:r w:rsidRPr="00812E7D">
                    <w:rPr>
                      <w:rFonts w:eastAsia="Times New Roman"/>
                      <w:sz w:val="22"/>
                      <w:lang w:val="en-US"/>
                    </w:rPr>
                    <w:t>1</w:t>
                  </w:r>
                </w:p>
              </w:tc>
            </w:tr>
          </w:tbl>
          <w:p w:rsidR="009D21A6" w:rsidRDefault="009D21A6" w:rsidP="00A7768B">
            <w:pPr>
              <w:ind w:left="0" w:firstLine="0"/>
              <w:jc w:val="left"/>
              <w:rPr>
                <w:rFonts w:eastAsia="Times New Roman"/>
                <w:sz w:val="22"/>
                <w:lang w:val="en-US"/>
              </w:rPr>
            </w:pPr>
          </w:p>
          <w:p w:rsidR="009D21A6" w:rsidRDefault="009D21A6" w:rsidP="00A7768B">
            <w:pPr>
              <w:ind w:left="0" w:firstLine="0"/>
              <w:jc w:val="left"/>
              <w:rPr>
                <w:rFonts w:eastAsia="Times New Roman"/>
                <w:sz w:val="22"/>
                <w:lang w:val="en-US"/>
              </w:rPr>
            </w:pPr>
          </w:p>
          <w:p w:rsidR="009D21A6" w:rsidRPr="00D65B19" w:rsidRDefault="009D21A6" w:rsidP="00A7768B">
            <w:pPr>
              <w:ind w:left="0" w:firstLine="0"/>
              <w:jc w:val="left"/>
              <w:rPr>
                <w:rFonts w:eastAsia="Times New Roman"/>
                <w:b/>
                <w:bCs/>
                <w:sz w:val="22"/>
                <w:lang w:val="en-U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1A6" w:rsidRPr="00D65B19" w:rsidRDefault="009D21A6" w:rsidP="00A7768B">
            <w:pPr>
              <w:ind w:left="0" w:firstLine="0"/>
              <w:jc w:val="left"/>
              <w:rPr>
                <w:rFonts w:eastAsia="Times New Roman"/>
                <w:b/>
                <w:bCs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1A6" w:rsidRPr="00D65B19" w:rsidRDefault="009D21A6" w:rsidP="00A7768B">
            <w:pPr>
              <w:ind w:left="0" w:firstLine="0"/>
              <w:jc w:val="left"/>
              <w:rPr>
                <w:rFonts w:eastAsia="Times New Roman"/>
                <w:b/>
                <w:bCs/>
                <w:sz w:val="22"/>
                <w:lang w:val="en-US"/>
              </w:rPr>
            </w:pPr>
          </w:p>
        </w:tc>
      </w:tr>
    </w:tbl>
    <w:p w:rsidR="009D21A6" w:rsidRDefault="009D21A6" w:rsidP="009D21A6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9D21A6" w:rsidRDefault="009D21A6" w:rsidP="009D21A6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9D21A6" w:rsidRDefault="009D21A6" w:rsidP="009D21A6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9D21A6" w:rsidRDefault="009D21A6" w:rsidP="009D21A6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9D21A6" w:rsidRPr="002C75B8" w:rsidRDefault="009D21A6" w:rsidP="009D21A6">
      <w:pPr>
        <w:ind w:left="0" w:firstLine="0"/>
        <w:rPr>
          <w:rFonts w:eastAsia="Times New Roman"/>
          <w:b/>
          <w:bCs/>
          <w:sz w:val="22"/>
          <w:lang w:eastAsia="es-ES"/>
        </w:rPr>
      </w:pPr>
      <w:r w:rsidRPr="002C75B8">
        <w:rPr>
          <w:rFonts w:eastAsia="Times New Roman"/>
          <w:b/>
          <w:bCs/>
          <w:sz w:val="22"/>
          <w:lang w:eastAsia="es-ES"/>
        </w:rPr>
        <w:lastRenderedPageBreak/>
        <w:t>CONTROL</w:t>
      </w:r>
    </w:p>
    <w:p w:rsidR="009D21A6" w:rsidRPr="002C75B8" w:rsidRDefault="009D21A6" w:rsidP="009D21A6">
      <w:pPr>
        <w:ind w:left="0" w:firstLine="0"/>
        <w:rPr>
          <w:b/>
          <w:sz w:val="22"/>
          <w:lang w:val="en-US"/>
        </w:rPr>
      </w:pPr>
    </w:p>
    <w:p w:rsidR="009D21A6" w:rsidRPr="002C75B8" w:rsidRDefault="009D21A6" w:rsidP="009D21A6">
      <w:pPr>
        <w:ind w:left="0" w:firstLine="0"/>
        <w:rPr>
          <w:sz w:val="22"/>
          <w:lang w:val="en-US"/>
        </w:rPr>
      </w:pPr>
      <w:r w:rsidRPr="002C75B8">
        <w:rPr>
          <w:sz w:val="22"/>
          <w:lang w:val="en-GB"/>
        </w:rPr>
        <w:t xml:space="preserve">The notification of leishmaniasis is mandatory in the country. There is no </w:t>
      </w:r>
      <w:r w:rsidRPr="002C75B8">
        <w:rPr>
          <w:sz w:val="22"/>
          <w:lang w:val="en-US"/>
        </w:rPr>
        <w:t xml:space="preserve">national </w:t>
      </w:r>
      <w:r>
        <w:rPr>
          <w:sz w:val="22"/>
          <w:lang w:val="en-US"/>
        </w:rPr>
        <w:t>l</w:t>
      </w:r>
      <w:r w:rsidRPr="002C75B8">
        <w:rPr>
          <w:sz w:val="22"/>
          <w:lang w:val="en-US"/>
        </w:rPr>
        <w:t xml:space="preserve">eishmaniasis control program. Case detection is passive. There is no leishmaniasis vector control program and no </w:t>
      </w:r>
      <w:proofErr w:type="spellStart"/>
      <w:r w:rsidRPr="002C75B8">
        <w:rPr>
          <w:sz w:val="22"/>
          <w:lang w:val="en-US"/>
        </w:rPr>
        <w:t>bednet</w:t>
      </w:r>
      <w:proofErr w:type="spellEnd"/>
      <w:r w:rsidRPr="002C75B8">
        <w:rPr>
          <w:sz w:val="22"/>
          <w:lang w:val="en-US"/>
        </w:rPr>
        <w:t xml:space="preserve"> distribution program. Insecticide spraying is not done</w:t>
      </w:r>
      <w:r>
        <w:rPr>
          <w:sz w:val="22"/>
          <w:lang w:val="en-US"/>
        </w:rPr>
        <w:t xml:space="preserve"> regularly</w:t>
      </w:r>
      <w:r w:rsidRPr="002C75B8">
        <w:rPr>
          <w:sz w:val="22"/>
          <w:lang w:val="en-US"/>
        </w:rPr>
        <w:t>. There is no leishmaniasis reservoir control program</w:t>
      </w:r>
      <w:r>
        <w:rPr>
          <w:sz w:val="22"/>
          <w:lang w:val="en-US"/>
        </w:rPr>
        <w:t>.</w:t>
      </w:r>
    </w:p>
    <w:p w:rsidR="009D21A6" w:rsidRDefault="009D21A6" w:rsidP="009D21A6">
      <w:pPr>
        <w:ind w:left="0" w:firstLine="0"/>
        <w:rPr>
          <w:sz w:val="22"/>
          <w:lang w:val="en-US"/>
        </w:rPr>
      </w:pPr>
    </w:p>
    <w:p w:rsidR="009D21A6" w:rsidRPr="002C75B8" w:rsidRDefault="009D21A6" w:rsidP="009D21A6">
      <w:pPr>
        <w:ind w:left="0" w:firstLine="0"/>
        <w:rPr>
          <w:sz w:val="22"/>
          <w:lang w:val="en-US"/>
        </w:rPr>
      </w:pPr>
    </w:p>
    <w:p w:rsidR="009D21A6" w:rsidRPr="002C75B8" w:rsidRDefault="009D21A6" w:rsidP="009D21A6">
      <w:pPr>
        <w:ind w:left="0" w:firstLine="0"/>
        <w:rPr>
          <w:sz w:val="22"/>
          <w:lang w:val="en-GB"/>
        </w:rPr>
      </w:pPr>
      <w:r w:rsidRPr="002C75B8">
        <w:rPr>
          <w:b/>
          <w:bCs/>
          <w:sz w:val="22"/>
          <w:lang w:val="en-GB"/>
        </w:rPr>
        <w:t xml:space="preserve">DIAGNOSIS, TREATMENT </w:t>
      </w:r>
    </w:p>
    <w:p w:rsidR="009D21A6" w:rsidRPr="002C75B8" w:rsidRDefault="009D21A6" w:rsidP="009D21A6">
      <w:pPr>
        <w:ind w:left="0" w:firstLine="0"/>
        <w:rPr>
          <w:sz w:val="22"/>
          <w:lang w:val="en-US"/>
        </w:rPr>
      </w:pPr>
    </w:p>
    <w:p w:rsidR="009D21A6" w:rsidRPr="002C75B8" w:rsidRDefault="009D21A6" w:rsidP="009D21A6">
      <w:pPr>
        <w:ind w:left="0" w:firstLine="0"/>
        <w:rPr>
          <w:sz w:val="22"/>
          <w:lang w:val="en-US"/>
        </w:rPr>
      </w:pPr>
      <w:r w:rsidRPr="002C75B8">
        <w:rPr>
          <w:b/>
          <w:bCs/>
          <w:sz w:val="22"/>
          <w:lang w:val="en-US"/>
        </w:rPr>
        <w:t xml:space="preserve">Diagnosis: </w:t>
      </w:r>
    </w:p>
    <w:p w:rsidR="009D21A6" w:rsidRPr="00EF6EC8" w:rsidRDefault="009D21A6" w:rsidP="009D21A6">
      <w:pPr>
        <w:ind w:left="0" w:firstLine="0"/>
        <w:rPr>
          <w:sz w:val="22"/>
        </w:rPr>
      </w:pPr>
      <w:r w:rsidRPr="00EF6EC8">
        <w:rPr>
          <w:sz w:val="22"/>
        </w:rPr>
        <w:t xml:space="preserve">VL: </w:t>
      </w:r>
      <w:proofErr w:type="spellStart"/>
      <w:r w:rsidRPr="00EF6EC8">
        <w:rPr>
          <w:sz w:val="22"/>
        </w:rPr>
        <w:t>microscopic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examination</w:t>
      </w:r>
      <w:proofErr w:type="spellEnd"/>
      <w:r w:rsidRPr="00EF6EC8">
        <w:rPr>
          <w:sz w:val="22"/>
        </w:rPr>
        <w:t xml:space="preserve"> of </w:t>
      </w:r>
      <w:proofErr w:type="spellStart"/>
      <w:r w:rsidRPr="00EF6EC8">
        <w:rPr>
          <w:sz w:val="22"/>
        </w:rPr>
        <w:t>bone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marrow</w:t>
      </w:r>
      <w:proofErr w:type="spellEnd"/>
      <w:r w:rsidRPr="00EF6EC8">
        <w:rPr>
          <w:sz w:val="22"/>
        </w:rPr>
        <w:t xml:space="preserve">, </w:t>
      </w:r>
      <w:proofErr w:type="spellStart"/>
      <w:r w:rsidRPr="00EF6EC8">
        <w:rPr>
          <w:sz w:val="22"/>
        </w:rPr>
        <w:t>spleen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or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liver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aspirate</w:t>
      </w:r>
      <w:proofErr w:type="spellEnd"/>
      <w:r w:rsidRPr="00EF6EC8">
        <w:rPr>
          <w:sz w:val="22"/>
        </w:rPr>
        <w:t xml:space="preserve">, </w:t>
      </w:r>
      <w:proofErr w:type="spellStart"/>
      <w:r w:rsidRPr="00EF6EC8">
        <w:rPr>
          <w:sz w:val="22"/>
        </w:rPr>
        <w:t>cultures</w:t>
      </w:r>
      <w:proofErr w:type="spellEnd"/>
      <w:r w:rsidRPr="00EF6EC8">
        <w:rPr>
          <w:sz w:val="22"/>
        </w:rPr>
        <w:t xml:space="preserve"> and </w:t>
      </w:r>
      <w:proofErr w:type="spellStart"/>
      <w:r w:rsidRPr="00EF6EC8">
        <w:rPr>
          <w:sz w:val="22"/>
        </w:rPr>
        <w:t>serological</w:t>
      </w:r>
      <w:proofErr w:type="spellEnd"/>
      <w:r w:rsidRPr="00EF6EC8">
        <w:rPr>
          <w:sz w:val="22"/>
        </w:rPr>
        <w:t xml:space="preserve"> diagnosis </w:t>
      </w:r>
      <w:proofErr w:type="spellStart"/>
      <w:r w:rsidRPr="00EF6EC8">
        <w:rPr>
          <w:sz w:val="22"/>
        </w:rPr>
        <w:t>with</w:t>
      </w:r>
      <w:proofErr w:type="spellEnd"/>
      <w:r w:rsidRPr="00EF6EC8">
        <w:rPr>
          <w:sz w:val="22"/>
        </w:rPr>
        <w:t xml:space="preserve"> ELISA and IFAT. At </w:t>
      </w:r>
      <w:proofErr w:type="spellStart"/>
      <w:r w:rsidRPr="00EF6EC8">
        <w:rPr>
          <w:sz w:val="22"/>
        </w:rPr>
        <w:t>tertiary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level</w:t>
      </w:r>
      <w:proofErr w:type="spellEnd"/>
      <w:r w:rsidRPr="00EF6EC8">
        <w:rPr>
          <w:sz w:val="22"/>
        </w:rPr>
        <w:t xml:space="preserve">, PCR </w:t>
      </w:r>
      <w:proofErr w:type="spellStart"/>
      <w:r w:rsidRPr="00EF6EC8">
        <w:rPr>
          <w:sz w:val="22"/>
        </w:rPr>
        <w:t>is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possible</w:t>
      </w:r>
      <w:proofErr w:type="spellEnd"/>
      <w:r w:rsidRPr="00EF6EC8">
        <w:rPr>
          <w:sz w:val="22"/>
        </w:rPr>
        <w:t>.</w:t>
      </w:r>
    </w:p>
    <w:p w:rsidR="009D21A6" w:rsidRPr="00EF6EC8" w:rsidRDefault="009D21A6" w:rsidP="009D21A6">
      <w:pPr>
        <w:ind w:left="0" w:firstLine="0"/>
        <w:rPr>
          <w:sz w:val="22"/>
        </w:rPr>
      </w:pPr>
      <w:r w:rsidRPr="00EF6EC8">
        <w:rPr>
          <w:sz w:val="22"/>
        </w:rPr>
        <w:t xml:space="preserve">CL: </w:t>
      </w:r>
      <w:proofErr w:type="spellStart"/>
      <w:r w:rsidRPr="00EF6EC8">
        <w:rPr>
          <w:sz w:val="22"/>
        </w:rPr>
        <w:t>confirmation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with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microscopic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examination</w:t>
      </w:r>
      <w:proofErr w:type="spellEnd"/>
      <w:r w:rsidRPr="00EF6EC8">
        <w:rPr>
          <w:sz w:val="22"/>
        </w:rPr>
        <w:t xml:space="preserve"> of </w:t>
      </w:r>
      <w:proofErr w:type="spellStart"/>
      <w:r w:rsidRPr="00EF6EC8">
        <w:rPr>
          <w:sz w:val="22"/>
        </w:rPr>
        <w:t>skin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lesion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sample</w:t>
      </w:r>
      <w:proofErr w:type="spellEnd"/>
      <w:r w:rsidRPr="00EF6EC8">
        <w:rPr>
          <w:sz w:val="22"/>
        </w:rPr>
        <w:t>.</w:t>
      </w:r>
    </w:p>
    <w:p w:rsidR="009D21A6" w:rsidRPr="002C75B8" w:rsidRDefault="009D21A6" w:rsidP="009D21A6">
      <w:pPr>
        <w:ind w:left="0" w:firstLine="0"/>
        <w:rPr>
          <w:sz w:val="22"/>
          <w:lang w:val="en-US"/>
        </w:rPr>
      </w:pPr>
    </w:p>
    <w:p w:rsidR="009D21A6" w:rsidRPr="002C75B8" w:rsidRDefault="009D21A6" w:rsidP="009D21A6">
      <w:pPr>
        <w:ind w:left="0" w:firstLine="0"/>
        <w:rPr>
          <w:sz w:val="22"/>
          <w:lang w:val="en-US"/>
        </w:rPr>
      </w:pPr>
      <w:r w:rsidRPr="002C75B8">
        <w:rPr>
          <w:b/>
          <w:bCs/>
          <w:sz w:val="22"/>
          <w:lang w:val="en-US"/>
        </w:rPr>
        <w:t xml:space="preserve">Treatment </w:t>
      </w:r>
    </w:p>
    <w:p w:rsidR="009D21A6" w:rsidRPr="00EF6EC8" w:rsidRDefault="009D21A6" w:rsidP="009D21A6">
      <w:pPr>
        <w:ind w:left="0" w:firstLine="0"/>
        <w:rPr>
          <w:sz w:val="22"/>
        </w:rPr>
      </w:pPr>
      <w:r w:rsidRPr="00EF6EC8">
        <w:rPr>
          <w:sz w:val="22"/>
        </w:rPr>
        <w:t xml:space="preserve">VL: antimonials. </w:t>
      </w:r>
      <w:proofErr w:type="spellStart"/>
      <w:r w:rsidRPr="00EF6EC8">
        <w:rPr>
          <w:sz w:val="22"/>
        </w:rPr>
        <w:t>Second</w:t>
      </w:r>
      <w:proofErr w:type="spellEnd"/>
      <w:r w:rsidRPr="00EF6EC8">
        <w:rPr>
          <w:sz w:val="22"/>
        </w:rPr>
        <w:t xml:space="preserve"> line </w:t>
      </w:r>
      <w:proofErr w:type="spellStart"/>
      <w:r w:rsidRPr="00EF6EC8">
        <w:rPr>
          <w:sz w:val="22"/>
        </w:rPr>
        <w:t>treatment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is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with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conventional</w:t>
      </w:r>
      <w:proofErr w:type="spellEnd"/>
      <w:r w:rsidRPr="00EF6EC8">
        <w:rPr>
          <w:sz w:val="22"/>
        </w:rPr>
        <w:t xml:space="preserve"> amphotericin B. </w:t>
      </w:r>
      <w:proofErr w:type="spellStart"/>
      <w:r w:rsidRPr="00EF6EC8">
        <w:rPr>
          <w:sz w:val="22"/>
        </w:rPr>
        <w:t>Two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patients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underwent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splenectomy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during</w:t>
      </w:r>
      <w:proofErr w:type="spellEnd"/>
      <w:r w:rsidRPr="00EF6EC8">
        <w:rPr>
          <w:sz w:val="22"/>
        </w:rPr>
        <w:t xml:space="preserve"> the </w:t>
      </w:r>
      <w:proofErr w:type="spellStart"/>
      <w:r w:rsidRPr="00EF6EC8">
        <w:rPr>
          <w:sz w:val="22"/>
        </w:rPr>
        <w:t>last</w:t>
      </w:r>
      <w:proofErr w:type="spellEnd"/>
      <w:r w:rsidRPr="00EF6EC8">
        <w:rPr>
          <w:sz w:val="22"/>
        </w:rPr>
        <w:t xml:space="preserve"> 10 </w:t>
      </w:r>
      <w:proofErr w:type="spellStart"/>
      <w:r w:rsidRPr="00EF6EC8">
        <w:rPr>
          <w:sz w:val="22"/>
        </w:rPr>
        <w:t>years</w:t>
      </w:r>
      <w:proofErr w:type="spellEnd"/>
      <w:r w:rsidRPr="00EF6EC8">
        <w:rPr>
          <w:sz w:val="22"/>
        </w:rPr>
        <w:t>.</w:t>
      </w:r>
    </w:p>
    <w:p w:rsidR="009D21A6" w:rsidRPr="00EF6EC8" w:rsidRDefault="009D21A6" w:rsidP="009D21A6">
      <w:pPr>
        <w:ind w:left="0" w:firstLine="0"/>
        <w:rPr>
          <w:sz w:val="22"/>
        </w:rPr>
      </w:pPr>
    </w:p>
    <w:p w:rsidR="009D21A6" w:rsidRPr="002C75B8" w:rsidRDefault="009D21A6" w:rsidP="009D21A6">
      <w:pPr>
        <w:ind w:left="0" w:firstLine="0"/>
        <w:rPr>
          <w:sz w:val="22"/>
          <w:lang w:val="en-US"/>
        </w:rPr>
      </w:pPr>
    </w:p>
    <w:p w:rsidR="009D21A6" w:rsidRPr="002C75B8" w:rsidRDefault="009D21A6" w:rsidP="009D21A6">
      <w:pPr>
        <w:ind w:left="0" w:firstLine="0"/>
        <w:rPr>
          <w:sz w:val="22"/>
          <w:lang w:val="en-GB"/>
        </w:rPr>
      </w:pPr>
      <w:r w:rsidRPr="002C75B8">
        <w:rPr>
          <w:b/>
          <w:bCs/>
          <w:sz w:val="22"/>
          <w:lang w:val="en-GB"/>
        </w:rPr>
        <w:t>ACCESS TO CARE</w:t>
      </w:r>
    </w:p>
    <w:p w:rsidR="009D21A6" w:rsidRPr="002C75B8" w:rsidRDefault="009D21A6" w:rsidP="009D21A6">
      <w:pPr>
        <w:ind w:left="0" w:firstLine="0"/>
        <w:rPr>
          <w:sz w:val="22"/>
          <w:lang w:val="en-US"/>
        </w:rPr>
      </w:pPr>
    </w:p>
    <w:p w:rsidR="009D21A6" w:rsidRDefault="009D21A6" w:rsidP="009D21A6">
      <w:pPr>
        <w:ind w:left="0" w:firstLine="0"/>
        <w:rPr>
          <w:sz w:val="22"/>
          <w:lang w:val="en-GB"/>
        </w:rPr>
      </w:pPr>
      <w:r w:rsidRPr="002C75B8">
        <w:rPr>
          <w:sz w:val="22"/>
          <w:lang w:val="en-GB"/>
        </w:rPr>
        <w:t>Diagnosis of leishmaniasis is possible in d</w:t>
      </w:r>
      <w:r>
        <w:rPr>
          <w:sz w:val="22"/>
          <w:lang w:val="en-GB"/>
        </w:rPr>
        <w:t xml:space="preserve">istrict hospitals. Treatment is </w:t>
      </w:r>
      <w:r w:rsidRPr="002C75B8">
        <w:rPr>
          <w:sz w:val="22"/>
          <w:lang w:val="en-GB"/>
        </w:rPr>
        <w:t>only provided in specialized hospitals. In the last years</w:t>
      </w:r>
      <w:r>
        <w:rPr>
          <w:sz w:val="22"/>
          <w:lang w:val="en-GB"/>
        </w:rPr>
        <w:t>,</w:t>
      </w:r>
      <w:r w:rsidRPr="002C75B8">
        <w:rPr>
          <w:sz w:val="22"/>
          <w:lang w:val="en-GB"/>
        </w:rPr>
        <w:t xml:space="preserve"> two patients were admitted only in a very late and almost lethal stage of the disease due to a lack of awareness of medical personnel. All patients are thought to have access to care</w:t>
      </w:r>
      <w:r>
        <w:rPr>
          <w:sz w:val="22"/>
          <w:lang w:val="en-GB"/>
        </w:rPr>
        <w:t>.</w:t>
      </w:r>
    </w:p>
    <w:p w:rsidR="009D21A6" w:rsidRPr="002C75B8" w:rsidRDefault="009D21A6" w:rsidP="009D21A6">
      <w:pPr>
        <w:ind w:left="0" w:firstLine="0"/>
        <w:rPr>
          <w:sz w:val="22"/>
          <w:lang w:val="en-GB"/>
        </w:rPr>
      </w:pPr>
    </w:p>
    <w:p w:rsidR="009D21A6" w:rsidRPr="002C75B8" w:rsidRDefault="009D21A6" w:rsidP="009D21A6">
      <w:pPr>
        <w:ind w:left="0" w:firstLine="0"/>
        <w:rPr>
          <w:sz w:val="22"/>
          <w:lang w:val="en-GB"/>
        </w:rPr>
      </w:pPr>
    </w:p>
    <w:p w:rsidR="009D21A6" w:rsidRPr="002C75B8" w:rsidRDefault="009D21A6" w:rsidP="009D21A6">
      <w:pPr>
        <w:ind w:left="0" w:firstLine="0"/>
        <w:rPr>
          <w:sz w:val="22"/>
          <w:lang w:val="en-GB"/>
        </w:rPr>
      </w:pPr>
      <w:r w:rsidRPr="002C75B8">
        <w:rPr>
          <w:b/>
          <w:bCs/>
          <w:sz w:val="22"/>
          <w:lang w:val="en-GB"/>
        </w:rPr>
        <w:t xml:space="preserve">ACCESS TO DRUGS </w:t>
      </w:r>
    </w:p>
    <w:p w:rsidR="009D21A6" w:rsidRPr="002C75B8" w:rsidRDefault="009D21A6" w:rsidP="009D21A6">
      <w:pPr>
        <w:ind w:left="0" w:firstLine="0"/>
        <w:rPr>
          <w:sz w:val="22"/>
          <w:lang w:val="en-US"/>
        </w:rPr>
      </w:pPr>
    </w:p>
    <w:p w:rsidR="009D21A6" w:rsidRPr="002C75B8" w:rsidRDefault="009D21A6" w:rsidP="009D21A6">
      <w:pPr>
        <w:ind w:left="0" w:firstLine="0"/>
        <w:rPr>
          <w:sz w:val="22"/>
          <w:lang w:val="en-US"/>
        </w:rPr>
      </w:pPr>
      <w:r w:rsidRPr="002C75B8">
        <w:rPr>
          <w:sz w:val="22"/>
          <w:lang w:val="en-GB"/>
        </w:rPr>
        <w:t>C</w:t>
      </w:r>
      <w:proofErr w:type="spellStart"/>
      <w:r w:rsidRPr="002C75B8">
        <w:rPr>
          <w:sz w:val="22"/>
          <w:lang w:val="en-US"/>
        </w:rPr>
        <w:t>onventional</w:t>
      </w:r>
      <w:proofErr w:type="spellEnd"/>
      <w:r w:rsidRPr="002C75B8">
        <w:rPr>
          <w:sz w:val="22"/>
          <w:lang w:val="en-US"/>
        </w:rPr>
        <w:t xml:space="preserve"> amphotericin B </w:t>
      </w:r>
      <w:r w:rsidRPr="002C75B8">
        <w:rPr>
          <w:sz w:val="22"/>
          <w:lang w:val="en-GB"/>
        </w:rPr>
        <w:t xml:space="preserve">is included in the National Essential Drug List. No antimonials are registered in the country. </w:t>
      </w:r>
      <w:proofErr w:type="spellStart"/>
      <w:r w:rsidRPr="002C75B8">
        <w:rPr>
          <w:sz w:val="22"/>
          <w:lang w:val="en-GB"/>
        </w:rPr>
        <w:t>Pentamidine</w:t>
      </w:r>
      <w:proofErr w:type="spellEnd"/>
      <w:r w:rsidRPr="002C75B8">
        <w:rPr>
          <w:sz w:val="22"/>
          <w:lang w:val="en-GB"/>
        </w:rPr>
        <w:t xml:space="preserve"> is the only drug for leishmaniasis available </w:t>
      </w:r>
      <w:r>
        <w:rPr>
          <w:sz w:val="22"/>
          <w:lang w:val="en-GB"/>
        </w:rPr>
        <w:t>at</w:t>
      </w:r>
      <w:r w:rsidRPr="002C75B8">
        <w:rPr>
          <w:sz w:val="22"/>
          <w:lang w:val="en-GB"/>
        </w:rPr>
        <w:t xml:space="preserve"> private pharmacies.</w:t>
      </w:r>
      <w:r w:rsidRPr="002C75B8">
        <w:rPr>
          <w:sz w:val="22"/>
          <w:lang w:val="en-US"/>
        </w:rPr>
        <w:t xml:space="preserve"> </w:t>
      </w:r>
    </w:p>
    <w:p w:rsidR="009D21A6" w:rsidRDefault="009D21A6" w:rsidP="009D21A6">
      <w:pPr>
        <w:ind w:left="0" w:firstLine="0"/>
        <w:rPr>
          <w:sz w:val="22"/>
          <w:lang w:val="en-US"/>
        </w:rPr>
      </w:pPr>
    </w:p>
    <w:p w:rsidR="009D21A6" w:rsidRPr="002C75B8" w:rsidRDefault="009D21A6" w:rsidP="009D21A6">
      <w:pPr>
        <w:ind w:left="0" w:firstLine="0"/>
        <w:rPr>
          <w:sz w:val="22"/>
          <w:lang w:val="en-US"/>
        </w:rPr>
      </w:pPr>
    </w:p>
    <w:p w:rsidR="009D21A6" w:rsidRPr="002C75B8" w:rsidRDefault="009D21A6" w:rsidP="009D21A6">
      <w:pPr>
        <w:ind w:left="0" w:firstLine="0"/>
        <w:rPr>
          <w:b/>
          <w:bCs/>
          <w:sz w:val="22"/>
          <w:lang w:val="en-GB"/>
        </w:rPr>
      </w:pPr>
      <w:r w:rsidRPr="002C75B8">
        <w:rPr>
          <w:b/>
          <w:bCs/>
          <w:sz w:val="22"/>
          <w:lang w:val="en-GB"/>
        </w:rPr>
        <w:t>SOURCES OF INFORMATION</w:t>
      </w:r>
    </w:p>
    <w:p w:rsidR="009D21A6" w:rsidRDefault="009D21A6" w:rsidP="009D21A6">
      <w:pPr>
        <w:ind w:left="0" w:firstLine="0"/>
        <w:rPr>
          <w:sz w:val="22"/>
          <w:lang w:val="en-GB"/>
        </w:rPr>
      </w:pPr>
    </w:p>
    <w:p w:rsidR="009D21A6" w:rsidRPr="00302FD4" w:rsidRDefault="009D21A6" w:rsidP="009D21A6">
      <w:pPr>
        <w:numPr>
          <w:ilvl w:val="0"/>
          <w:numId w:val="5"/>
        </w:numPr>
        <w:autoSpaceDE w:val="0"/>
        <w:autoSpaceDN w:val="0"/>
        <w:adjustRightInd w:val="0"/>
        <w:rPr>
          <w:i/>
          <w:iCs/>
          <w:sz w:val="22"/>
          <w:lang w:val="en-GB"/>
        </w:rPr>
      </w:pPr>
      <w:r w:rsidRPr="002F2F3C">
        <w:rPr>
          <w:sz w:val="22"/>
          <w:lang w:val="en-GB"/>
        </w:rPr>
        <w:t xml:space="preserve">Dr </w:t>
      </w:r>
      <w:proofErr w:type="spellStart"/>
      <w:r w:rsidRPr="002F2F3C">
        <w:rPr>
          <w:sz w:val="22"/>
          <w:lang w:val="en-GB"/>
        </w:rPr>
        <w:t>Alija</w:t>
      </w:r>
      <w:proofErr w:type="spellEnd"/>
      <w:r w:rsidRPr="002F2F3C">
        <w:rPr>
          <w:sz w:val="22"/>
          <w:lang w:val="en-GB"/>
        </w:rPr>
        <w:t xml:space="preserve"> </w:t>
      </w:r>
      <w:proofErr w:type="spellStart"/>
      <w:r w:rsidRPr="002F2F3C">
        <w:rPr>
          <w:sz w:val="22"/>
          <w:lang w:val="en-GB"/>
        </w:rPr>
        <w:t>Durda</w:t>
      </w:r>
      <w:proofErr w:type="spellEnd"/>
      <w:r w:rsidRPr="002F2F3C">
        <w:rPr>
          <w:sz w:val="22"/>
          <w:lang w:val="en-GB"/>
        </w:rPr>
        <w:t xml:space="preserve">, </w:t>
      </w:r>
      <w:r w:rsidRPr="002F2F3C">
        <w:rPr>
          <w:sz w:val="22"/>
          <w:lang w:val="en-US"/>
        </w:rPr>
        <w:t xml:space="preserve">Clinic for Infectious Diseases </w:t>
      </w:r>
      <w:smartTag w:uri="urn:schemas-microsoft-com:office:smarttags" w:element="place">
        <w:smartTag w:uri="urn:schemas-microsoft-com:office:smarttags" w:element="City">
          <w:r w:rsidRPr="002F2F3C">
            <w:rPr>
              <w:sz w:val="22"/>
              <w:lang w:val="en-US"/>
            </w:rPr>
            <w:t>Sarajevo</w:t>
          </w:r>
        </w:smartTag>
      </w:smartTag>
      <w:r>
        <w:rPr>
          <w:sz w:val="22"/>
          <w:lang w:val="en-US"/>
        </w:rPr>
        <w:t xml:space="preserve">. </w:t>
      </w:r>
      <w:r>
        <w:rPr>
          <w:i/>
          <w:iCs/>
          <w:sz w:val="22"/>
          <w:lang w:val="en-GB"/>
        </w:rPr>
        <w:t>WHO e</w:t>
      </w:r>
      <w:r w:rsidRPr="00302FD4">
        <w:rPr>
          <w:i/>
          <w:iCs/>
          <w:sz w:val="22"/>
          <w:lang w:val="en-GB"/>
        </w:rPr>
        <w:t xml:space="preserve">xploratory meeting on Leishmaniasis in the Balkan Countries. </w:t>
      </w:r>
      <w:smartTag w:uri="urn:schemas-microsoft-com:office:smarttags" w:element="place">
        <w:smartTag w:uri="urn:schemas-microsoft-com:office:smarttags" w:element="City">
          <w:r w:rsidRPr="00302FD4">
            <w:rPr>
              <w:i/>
              <w:iCs/>
              <w:sz w:val="22"/>
              <w:lang w:val="en-GB"/>
            </w:rPr>
            <w:t>Dubrovnik</w:t>
          </w:r>
        </w:smartTag>
        <w:r w:rsidRPr="00302FD4">
          <w:rPr>
            <w:i/>
            <w:iCs/>
            <w:sz w:val="22"/>
            <w:lang w:val="en-GB"/>
          </w:rPr>
          <w:t xml:space="preserve">, </w:t>
        </w:r>
        <w:smartTag w:uri="urn:schemas-microsoft-com:office:smarttags" w:element="country-region">
          <w:r w:rsidRPr="00302FD4">
            <w:rPr>
              <w:i/>
              <w:iCs/>
              <w:sz w:val="22"/>
              <w:lang w:val="en-GB"/>
            </w:rPr>
            <w:t>Croatia</w:t>
          </w:r>
        </w:smartTag>
      </w:smartTag>
      <w:r w:rsidRPr="00302FD4">
        <w:rPr>
          <w:i/>
          <w:iCs/>
          <w:sz w:val="22"/>
          <w:lang w:val="en-GB"/>
        </w:rPr>
        <w:t>, 10-12 Fe</w:t>
      </w:r>
      <w:r>
        <w:rPr>
          <w:i/>
          <w:iCs/>
          <w:sz w:val="22"/>
          <w:lang w:val="en-GB"/>
        </w:rPr>
        <w:t>bruary</w:t>
      </w:r>
      <w:r w:rsidRPr="00302FD4">
        <w:rPr>
          <w:i/>
          <w:iCs/>
          <w:sz w:val="22"/>
          <w:lang w:val="en-GB"/>
        </w:rPr>
        <w:t xml:space="preserve"> 2010</w:t>
      </w:r>
      <w:r>
        <w:rPr>
          <w:i/>
          <w:iCs/>
          <w:sz w:val="22"/>
          <w:lang w:val="en-GB"/>
        </w:rPr>
        <w:t>.</w:t>
      </w:r>
    </w:p>
    <w:p w:rsidR="009D21A6" w:rsidRPr="002F2F3C" w:rsidRDefault="009D21A6" w:rsidP="009D21A6">
      <w:pPr>
        <w:ind w:left="0" w:firstLine="0"/>
        <w:rPr>
          <w:sz w:val="22"/>
          <w:lang w:val="en-GB"/>
        </w:rPr>
      </w:pPr>
    </w:p>
    <w:p w:rsidR="009D21A6" w:rsidRPr="002C75B8" w:rsidRDefault="009D21A6" w:rsidP="009D21A6">
      <w:pPr>
        <w:ind w:left="0" w:firstLine="0"/>
        <w:rPr>
          <w:sz w:val="22"/>
          <w:lang w:val="en-GB"/>
        </w:rPr>
      </w:pPr>
    </w:p>
    <w:p w:rsidR="009D21A6" w:rsidRDefault="009D21A6" w:rsidP="009D21A6">
      <w:pPr>
        <w:pStyle w:val="rprtbody1"/>
        <w:shd w:val="clear" w:color="auto" w:fill="FFFFFF"/>
        <w:spacing w:before="0" w:after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9D21A6" w:rsidRPr="002C75B8" w:rsidRDefault="009D21A6" w:rsidP="009D21A6">
      <w:pPr>
        <w:pStyle w:val="rprtbody1"/>
        <w:shd w:val="clear" w:color="auto" w:fill="FFFFFF"/>
        <w:spacing w:before="0" w:after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1. </w:t>
      </w:r>
      <w:proofErr w:type="spellStart"/>
      <w:r w:rsidRPr="002C75B8">
        <w:rPr>
          <w:rFonts w:ascii="Arial" w:hAnsi="Arial" w:cs="Arial"/>
          <w:color w:val="000000"/>
          <w:sz w:val="22"/>
          <w:szCs w:val="22"/>
          <w:lang w:val="en-US"/>
        </w:rPr>
        <w:t>Gvozdenovic</w:t>
      </w:r>
      <w:proofErr w:type="spellEnd"/>
      <w:r w:rsidRPr="002C75B8">
        <w:rPr>
          <w:rFonts w:ascii="Arial" w:hAnsi="Arial" w:cs="Arial"/>
          <w:color w:val="000000"/>
          <w:sz w:val="22"/>
          <w:szCs w:val="22"/>
          <w:lang w:val="en-US"/>
        </w:rPr>
        <w:t xml:space="preserve"> M, </w:t>
      </w:r>
      <w:proofErr w:type="spellStart"/>
      <w:r w:rsidRPr="002C75B8">
        <w:rPr>
          <w:rFonts w:ascii="Arial" w:hAnsi="Arial" w:cs="Arial"/>
          <w:color w:val="000000"/>
          <w:sz w:val="22"/>
          <w:szCs w:val="22"/>
          <w:lang w:val="en-US"/>
        </w:rPr>
        <w:t>Miladinovic</w:t>
      </w:r>
      <w:proofErr w:type="spellEnd"/>
      <w:r w:rsidRPr="002C75B8">
        <w:rPr>
          <w:rFonts w:ascii="Arial" w:hAnsi="Arial" w:cs="Arial"/>
          <w:color w:val="000000"/>
          <w:sz w:val="22"/>
          <w:szCs w:val="22"/>
          <w:lang w:val="en-US"/>
        </w:rPr>
        <w:t xml:space="preserve"> Z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(1959).</w:t>
      </w:r>
      <w:r w:rsidRPr="002C75B8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hyperlink r:id="rId9" w:history="1">
        <w:proofErr w:type="gramStart"/>
        <w:r w:rsidRPr="002C75B8">
          <w:rPr>
            <w:rFonts w:ascii="Arial" w:hAnsi="Arial" w:cs="Arial"/>
            <w:color w:val="000000"/>
            <w:sz w:val="22"/>
            <w:szCs w:val="22"/>
            <w:lang w:val="en-US"/>
          </w:rPr>
          <w:t xml:space="preserve">Epidemiological studies on two </w:t>
        </w:r>
        <w:proofErr w:type="spellStart"/>
        <w:r>
          <w:rPr>
            <w:rFonts w:ascii="Arial" w:hAnsi="Arial" w:cs="Arial"/>
            <w:color w:val="000000"/>
            <w:sz w:val="22"/>
            <w:szCs w:val="22"/>
            <w:lang w:val="en-US"/>
          </w:rPr>
          <w:t>autochtonous</w:t>
        </w:r>
        <w:proofErr w:type="spellEnd"/>
        <w:r w:rsidRPr="002C75B8">
          <w:rPr>
            <w:rFonts w:ascii="Arial" w:hAnsi="Arial" w:cs="Arial"/>
            <w:color w:val="000000"/>
            <w:sz w:val="22"/>
            <w:szCs w:val="22"/>
            <w:lang w:val="en-US"/>
          </w:rPr>
          <w:t xml:space="preserve"> cases of kala-azar in Bosnia.</w:t>
        </w:r>
        <w:proofErr w:type="gramEnd"/>
      </w:hyperlink>
      <w:r w:rsidRPr="002C75B8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2C75B8">
        <w:rPr>
          <w:rStyle w:val="jrnl"/>
          <w:rFonts w:ascii="Arial" w:hAnsi="Arial" w:cs="Arial"/>
          <w:color w:val="000000"/>
          <w:sz w:val="22"/>
          <w:szCs w:val="22"/>
          <w:lang w:val="en-US"/>
        </w:rPr>
        <w:t xml:space="preserve">Med </w:t>
      </w:r>
      <w:proofErr w:type="spellStart"/>
      <w:r w:rsidRPr="002C75B8">
        <w:rPr>
          <w:rStyle w:val="jrnl"/>
          <w:rFonts w:ascii="Arial" w:hAnsi="Arial" w:cs="Arial"/>
          <w:color w:val="000000"/>
          <w:sz w:val="22"/>
          <w:szCs w:val="22"/>
          <w:lang w:val="en-US"/>
        </w:rPr>
        <w:t>Arh</w:t>
      </w:r>
      <w:proofErr w:type="spellEnd"/>
      <w:r>
        <w:rPr>
          <w:rStyle w:val="src1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2C75B8">
        <w:rPr>
          <w:rStyle w:val="src1"/>
          <w:rFonts w:ascii="Arial" w:hAnsi="Arial" w:cs="Arial"/>
          <w:color w:val="000000"/>
          <w:sz w:val="22"/>
          <w:szCs w:val="22"/>
          <w:lang w:val="en-US"/>
        </w:rPr>
        <w:t>12:95-101</w:t>
      </w:r>
      <w:r>
        <w:rPr>
          <w:rStyle w:val="src1"/>
          <w:rFonts w:ascii="Arial" w:hAnsi="Arial" w:cs="Arial"/>
          <w:color w:val="000000"/>
          <w:sz w:val="22"/>
          <w:szCs w:val="22"/>
          <w:lang w:val="en-US"/>
        </w:rPr>
        <w:t>.</w:t>
      </w:r>
    </w:p>
    <w:p w:rsidR="009D21A6" w:rsidRPr="002C75B8" w:rsidRDefault="009D21A6" w:rsidP="009D21A6">
      <w:pPr>
        <w:ind w:left="0" w:firstLine="0"/>
        <w:rPr>
          <w:color w:val="000000"/>
          <w:sz w:val="22"/>
          <w:lang w:val="en-US"/>
        </w:rPr>
      </w:pPr>
    </w:p>
    <w:p w:rsidR="009D21A6" w:rsidRPr="002C75B8" w:rsidRDefault="009D21A6" w:rsidP="009D21A6">
      <w:pPr>
        <w:ind w:left="0" w:firstLine="0"/>
        <w:jc w:val="left"/>
        <w:rPr>
          <w:color w:val="000000"/>
          <w:sz w:val="22"/>
          <w:lang w:val="en-GB"/>
        </w:rPr>
      </w:pPr>
    </w:p>
    <w:p w:rsidR="002F7C1A" w:rsidRDefault="002F7C1A" w:rsidP="009D21A6"/>
    <w:sectPr w:rsidR="002F7C1A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77A2"/>
    <w:multiLevelType w:val="hybridMultilevel"/>
    <w:tmpl w:val="B972BB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D21A6"/>
    <w:rsid w:val="000028F1"/>
    <w:rsid w:val="00010242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D21A6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1A6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lang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ind w:left="1296" w:hanging="1296"/>
      <w:outlineLvl w:val="6"/>
    </w:pPr>
    <w:rPr>
      <w:rFonts w:ascii="Cambria" w:eastAsia="Times New Roman" w:hAnsi="Cambria" w:cs="Times New Roman"/>
      <w:i/>
      <w:iCs/>
      <w:lang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ind w:left="1440" w:hanging="1440"/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rprtbody1">
    <w:name w:val="rprtbody1"/>
    <w:basedOn w:val="Normal"/>
    <w:rsid w:val="009D21A6"/>
    <w:pPr>
      <w:spacing w:before="34" w:after="34"/>
      <w:ind w:left="0" w:firstLine="0"/>
      <w:jc w:val="left"/>
    </w:pPr>
    <w:rPr>
      <w:rFonts w:ascii="Times New Roman" w:hAnsi="Times New Roman" w:cs="Times New Roman"/>
      <w:sz w:val="28"/>
      <w:szCs w:val="28"/>
      <w:lang w:val="es-ES" w:eastAsia="es-ES"/>
    </w:rPr>
  </w:style>
  <w:style w:type="character" w:customStyle="1" w:styleId="src1">
    <w:name w:val="src1"/>
    <w:basedOn w:val="DefaultParagraphFont"/>
    <w:rsid w:val="009D21A6"/>
    <w:rPr>
      <w:rFonts w:cs="Times New Roman"/>
    </w:rPr>
  </w:style>
  <w:style w:type="character" w:customStyle="1" w:styleId="jrnl">
    <w:name w:val="jrnl"/>
    <w:basedOn w:val="DefaultParagraphFont"/>
    <w:rsid w:val="009D21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1A6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13830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2012-04-01T19:44:00Z</dcterms:created>
  <dcterms:modified xsi:type="dcterms:W3CDTF">2012-04-01T19:45:00Z</dcterms:modified>
</cp:coreProperties>
</file>