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00" w:rsidRPr="00B37375" w:rsidRDefault="00884800" w:rsidP="00884800">
      <w:pPr>
        <w:ind w:left="0" w:firstLine="0"/>
        <w:rPr>
          <w:b/>
          <w:sz w:val="22"/>
          <w:u w:val="single"/>
        </w:rPr>
      </w:pPr>
      <w:r w:rsidRPr="00B37375">
        <w:rPr>
          <w:b/>
          <w:sz w:val="22"/>
          <w:u w:val="single"/>
        </w:rPr>
        <w:t>ALGERIA</w:t>
      </w:r>
    </w:p>
    <w:p w:rsidR="00884800" w:rsidRPr="00B37375" w:rsidRDefault="00884800" w:rsidP="00884800">
      <w:pPr>
        <w:ind w:left="0" w:firstLine="0"/>
        <w:rPr>
          <w:b/>
          <w:sz w:val="22"/>
          <w:u w:val="single"/>
        </w:rPr>
      </w:pPr>
    </w:p>
    <w:p w:rsidR="00884800" w:rsidRPr="002C75B8" w:rsidRDefault="00884800" w:rsidP="00884800">
      <w:pPr>
        <w:widowControl w:val="0"/>
        <w:autoSpaceDE w:val="0"/>
        <w:autoSpaceDN w:val="0"/>
        <w:adjustRightInd w:val="0"/>
        <w:spacing w:after="40" w:line="360" w:lineRule="atLeast"/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671445" cy="1804670"/>
            <wp:effectExtent l="19050" t="0" r="0" b="0"/>
            <wp:docPr id="1" name="Imagen 1" descr="DZ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Z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00" w:rsidRPr="002C75B8" w:rsidRDefault="00884800" w:rsidP="00884800">
      <w:pPr>
        <w:widowControl w:val="0"/>
        <w:autoSpaceDE w:val="0"/>
        <w:autoSpaceDN w:val="0"/>
        <w:adjustRightInd w:val="0"/>
        <w:spacing w:after="40" w:line="360" w:lineRule="atLeast"/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BASIC COUNTRY DATA</w:t>
      </w:r>
    </w:p>
    <w:p w:rsidR="00884800" w:rsidRPr="002C75B8" w:rsidRDefault="00884800" w:rsidP="00884800">
      <w:pPr>
        <w:ind w:left="0" w:firstLine="0"/>
        <w:textAlignment w:val="baseline"/>
        <w:rPr>
          <w:rFonts w:eastAsia="+mn-ea"/>
          <w:color w:val="000000"/>
          <w:kern w:val="24"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Total Population: 3</w:t>
      </w:r>
      <w:r>
        <w:rPr>
          <w:rFonts w:eastAsia="+mn-ea"/>
          <w:color w:val="000000"/>
          <w:kern w:val="24"/>
          <w:sz w:val="22"/>
          <w:lang w:val="en-US" w:eastAsia="es-ES"/>
        </w:rPr>
        <w:t>5,468,208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Population 0-14 years: 2</w:t>
      </w:r>
      <w:r>
        <w:rPr>
          <w:rFonts w:eastAsia="+mn-ea"/>
          <w:color w:val="000000"/>
          <w:kern w:val="24"/>
          <w:sz w:val="22"/>
          <w:lang w:val="en-US" w:eastAsia="es-ES"/>
        </w:rPr>
        <w:t>7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>%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Rural population: 3</w:t>
      </w:r>
      <w:r>
        <w:rPr>
          <w:rFonts w:eastAsia="+mn-ea"/>
          <w:color w:val="000000"/>
          <w:kern w:val="24"/>
          <w:sz w:val="22"/>
          <w:lang w:val="en-US" w:eastAsia="es-ES"/>
        </w:rPr>
        <w:t>4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>%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Population living under USD 1</w:t>
      </w:r>
      <w:r>
        <w:rPr>
          <w:rFonts w:eastAsia="+mn-ea"/>
          <w:color w:val="000000"/>
          <w:kern w:val="24"/>
          <w:sz w:val="22"/>
          <w:lang w:val="en-US" w:eastAsia="es-ES"/>
        </w:rPr>
        <w:t>.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>25 a day: 6.8%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Population living under the national poverty line: </w:t>
      </w:r>
      <w:r>
        <w:rPr>
          <w:rFonts w:eastAsia="+mn-ea"/>
          <w:color w:val="000000"/>
          <w:kern w:val="24"/>
          <w:sz w:val="22"/>
          <w:lang w:val="en-US" w:eastAsia="es-ES"/>
        </w:rPr>
        <w:t>no data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Income status: Upper middle income economy 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Ranking:</w:t>
      </w:r>
      <w:r w:rsidRPr="002C75B8">
        <w:rPr>
          <w:rFonts w:eastAsia="+mn-ea"/>
          <w:i/>
          <w:iCs/>
          <w:color w:val="000000"/>
          <w:kern w:val="24"/>
          <w:sz w:val="22"/>
          <w:lang w:val="en-US" w:eastAsia="es-ES"/>
        </w:rPr>
        <w:t xml:space="preserve"> 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Medium </w:t>
      </w:r>
      <w:r>
        <w:rPr>
          <w:rFonts w:eastAsia="+mn-ea"/>
          <w:color w:val="000000"/>
          <w:kern w:val="24"/>
          <w:sz w:val="22"/>
          <w:lang w:val="en-US" w:eastAsia="es-ES"/>
        </w:rPr>
        <w:t>h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uman </w:t>
      </w:r>
      <w:r>
        <w:rPr>
          <w:rFonts w:eastAsia="+mn-ea"/>
          <w:color w:val="000000"/>
          <w:kern w:val="24"/>
          <w:sz w:val="22"/>
          <w:lang w:val="en-US" w:eastAsia="es-ES"/>
        </w:rPr>
        <w:t>d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evelopment (ranking </w:t>
      </w:r>
      <w:r>
        <w:rPr>
          <w:rFonts w:eastAsia="+mn-ea"/>
          <w:color w:val="000000"/>
          <w:kern w:val="24"/>
          <w:sz w:val="22"/>
          <w:lang w:val="en-US" w:eastAsia="es-ES"/>
        </w:rPr>
        <w:t>96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>)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Per capita total expenditure on health at average exchange rate (US dollar):</w:t>
      </w:r>
      <w:r>
        <w:rPr>
          <w:rFonts w:eastAsia="+mn-ea"/>
          <w:color w:val="000000"/>
          <w:kern w:val="24"/>
          <w:sz w:val="22"/>
          <w:lang w:val="en-US" w:eastAsia="es-ES"/>
        </w:rPr>
        <w:t xml:space="preserve"> 191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Life expectancy at birth (years): 7</w:t>
      </w:r>
      <w:r>
        <w:rPr>
          <w:rFonts w:eastAsia="+mn-ea"/>
          <w:color w:val="000000"/>
          <w:kern w:val="24"/>
          <w:sz w:val="22"/>
          <w:lang w:val="en-US" w:eastAsia="es-ES"/>
        </w:rPr>
        <w:t>3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  <w:r w:rsidRPr="002C75B8">
        <w:rPr>
          <w:rFonts w:eastAsia="+mn-ea"/>
          <w:color w:val="000000"/>
          <w:kern w:val="24"/>
          <w:sz w:val="22"/>
          <w:lang w:val="en-US" w:eastAsia="es-ES"/>
        </w:rPr>
        <w:t>Health</w:t>
      </w:r>
      <w:r>
        <w:rPr>
          <w:rFonts w:eastAsia="+mn-ea"/>
          <w:color w:val="000000"/>
          <w:kern w:val="24"/>
          <w:sz w:val="22"/>
          <w:lang w:val="en-US" w:eastAsia="es-ES"/>
        </w:rPr>
        <w:t>y</w:t>
      </w:r>
      <w:r w:rsidRPr="002C75B8">
        <w:rPr>
          <w:rFonts w:eastAsia="+mn-ea"/>
          <w:color w:val="000000"/>
          <w:kern w:val="24"/>
          <w:sz w:val="22"/>
          <w:lang w:val="en-US" w:eastAsia="es-ES"/>
        </w:rPr>
        <w:t xml:space="preserve"> life expectancy at birth (years): 61</w:t>
      </w:r>
      <w:r w:rsidRPr="002C75B8">
        <w:rPr>
          <w:rFonts w:eastAsia="+mn-ea"/>
          <w:color w:val="000000"/>
          <w:kern w:val="24"/>
          <w:sz w:val="22"/>
          <w:lang w:val="en-GB" w:eastAsia="es-ES"/>
        </w:rPr>
        <w:t xml:space="preserve"> </w:t>
      </w: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textAlignment w:val="baseline"/>
        <w:rPr>
          <w:rFonts w:eastAsia="Times New Roman"/>
          <w:b/>
          <w:sz w:val="22"/>
          <w:lang w:val="en-US" w:eastAsia="es-ES"/>
        </w:rPr>
      </w:pPr>
      <w:r w:rsidRPr="002C75B8">
        <w:rPr>
          <w:b/>
          <w:sz w:val="22"/>
          <w:lang w:val="en-US"/>
        </w:rPr>
        <w:t>BACKGROUND INFORMATION</w:t>
      </w: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The number of </w:t>
      </w:r>
      <w:r>
        <w:rPr>
          <w:sz w:val="22"/>
          <w:lang w:val="en-US"/>
        </w:rPr>
        <w:t xml:space="preserve">VL cases </w:t>
      </w:r>
      <w:r w:rsidRPr="002C75B8">
        <w:rPr>
          <w:sz w:val="22"/>
          <w:lang w:val="en-US"/>
        </w:rPr>
        <w:t xml:space="preserve">recorded </w:t>
      </w:r>
      <w:r>
        <w:rPr>
          <w:sz w:val="22"/>
          <w:lang w:val="en-US"/>
        </w:rPr>
        <w:t>between</w:t>
      </w:r>
      <w:r w:rsidRPr="002C75B8">
        <w:rPr>
          <w:sz w:val="22"/>
          <w:lang w:val="en-US"/>
        </w:rPr>
        <w:t xml:space="preserve"> 1965 </w:t>
      </w:r>
      <w:r>
        <w:rPr>
          <w:sz w:val="22"/>
          <w:lang w:val="en-US"/>
        </w:rPr>
        <w:t>and</w:t>
      </w:r>
      <w:r w:rsidRPr="002C75B8">
        <w:rPr>
          <w:sz w:val="22"/>
          <w:lang w:val="en-US"/>
        </w:rPr>
        <w:t xml:space="preserve"> 1974 totaled 497</w:t>
      </w:r>
      <w:r>
        <w:rPr>
          <w:sz w:val="22"/>
          <w:lang w:val="en-US"/>
        </w:rPr>
        <w:t xml:space="preserve">. Between 1975 and 1984, </w:t>
      </w:r>
      <w:r w:rsidRPr="002C75B8">
        <w:rPr>
          <w:iCs/>
          <w:sz w:val="22"/>
          <w:lang w:val="en-US"/>
        </w:rPr>
        <w:t>721 cases were notified</w:t>
      </w:r>
      <w:r>
        <w:rPr>
          <w:iCs/>
          <w:sz w:val="22"/>
          <w:lang w:val="en-US"/>
        </w:rPr>
        <w:t xml:space="preserve">, </w:t>
      </w:r>
      <w:r w:rsidRPr="002C75B8">
        <w:rPr>
          <w:iCs/>
          <w:sz w:val="22"/>
          <w:lang w:val="en-US"/>
        </w:rPr>
        <w:t>84%</w:t>
      </w:r>
      <w:r>
        <w:rPr>
          <w:iCs/>
          <w:sz w:val="22"/>
          <w:lang w:val="en-US"/>
        </w:rPr>
        <w:t xml:space="preserve"> of which</w:t>
      </w:r>
      <w:r w:rsidRPr="002C75B8">
        <w:rPr>
          <w:iCs/>
          <w:sz w:val="22"/>
          <w:lang w:val="en-US"/>
        </w:rPr>
        <w:t xml:space="preserve"> were children from 6 months to 4 years old. </w:t>
      </w:r>
      <w:r>
        <w:rPr>
          <w:iCs/>
          <w:sz w:val="22"/>
          <w:lang w:val="en-US"/>
        </w:rPr>
        <w:t>In the past, o</w:t>
      </w:r>
      <w:r w:rsidRPr="002C75B8">
        <w:rPr>
          <w:iCs/>
          <w:sz w:val="22"/>
          <w:lang w:val="en-US"/>
        </w:rPr>
        <w:t xml:space="preserve">nly the </w:t>
      </w:r>
      <w:r>
        <w:rPr>
          <w:iCs/>
          <w:sz w:val="22"/>
          <w:lang w:val="en-US"/>
        </w:rPr>
        <w:t>n</w:t>
      </w:r>
      <w:r w:rsidRPr="002C75B8">
        <w:rPr>
          <w:iCs/>
          <w:sz w:val="22"/>
          <w:lang w:val="en-US"/>
        </w:rPr>
        <w:t>orth (between t</w:t>
      </w:r>
      <w:r>
        <w:rPr>
          <w:iCs/>
          <w:sz w:val="22"/>
          <w:lang w:val="en-US"/>
        </w:rPr>
        <w:t>he Atlas chain and the coast) was endemic and cases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were</w:t>
      </w:r>
      <w:r w:rsidRPr="002C75B8">
        <w:rPr>
          <w:sz w:val="22"/>
          <w:lang w:val="en-US"/>
        </w:rPr>
        <w:t xml:space="preserve"> mainly detected in central and eastern parts of the Tell region: principally in the Grande </w:t>
      </w:r>
      <w:proofErr w:type="spellStart"/>
      <w:r w:rsidRPr="002C75B8">
        <w:rPr>
          <w:sz w:val="22"/>
          <w:lang w:val="en-US"/>
        </w:rPr>
        <w:t>Kabylie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Algerois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Constantinois</w:t>
      </w:r>
      <w:proofErr w:type="spellEnd"/>
      <w:r w:rsidRPr="002C75B8">
        <w:rPr>
          <w:sz w:val="22"/>
          <w:lang w:val="en-US"/>
        </w:rPr>
        <w:t xml:space="preserve"> areas (humid and sub-humid bioclimatic stages)</w:t>
      </w:r>
      <w:r>
        <w:rPr>
          <w:sz w:val="22"/>
          <w:lang w:val="en-US"/>
        </w:rPr>
        <w:t xml:space="preserve"> [1]</w:t>
      </w:r>
      <w:r>
        <w:rPr>
          <w:sz w:val="22"/>
          <w:lang w:val="en-US"/>
        </w:rPr>
        <w:t>. Since 1980</w:t>
      </w:r>
      <w:r w:rsidRPr="002C75B8">
        <w:rPr>
          <w:sz w:val="22"/>
          <w:lang w:val="en-US"/>
        </w:rPr>
        <w:t xml:space="preserve"> a resurgence of the number of cases</w:t>
      </w:r>
      <w:r>
        <w:rPr>
          <w:sz w:val="22"/>
          <w:lang w:val="en-US"/>
        </w:rPr>
        <w:t xml:space="preserve"> (</w:t>
      </w:r>
      <w:r w:rsidRPr="002C75B8">
        <w:rPr>
          <w:iCs/>
          <w:sz w:val="22"/>
          <w:lang w:val="en-US"/>
        </w:rPr>
        <w:t>1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>121 cases from 1985 to 1990</w:t>
      </w:r>
      <w:r>
        <w:rPr>
          <w:iCs/>
          <w:sz w:val="22"/>
          <w:lang w:val="en-US"/>
        </w:rPr>
        <w:t xml:space="preserve">) </w:t>
      </w:r>
      <w:r>
        <w:rPr>
          <w:sz w:val="22"/>
          <w:lang w:val="en-US"/>
        </w:rPr>
        <w:t xml:space="preserve">and the appearance of </w:t>
      </w:r>
      <w:r w:rsidRPr="002C75B8">
        <w:rPr>
          <w:sz w:val="22"/>
          <w:lang w:val="en-US"/>
        </w:rPr>
        <w:t xml:space="preserve">new foci </w:t>
      </w:r>
      <w:r>
        <w:rPr>
          <w:sz w:val="22"/>
          <w:lang w:val="en-US"/>
        </w:rPr>
        <w:t xml:space="preserve">have </w:t>
      </w:r>
      <w:r w:rsidRPr="002C75B8">
        <w:rPr>
          <w:sz w:val="22"/>
          <w:lang w:val="en-US"/>
        </w:rPr>
        <w:t>occurred</w:t>
      </w:r>
      <w:r>
        <w:rPr>
          <w:sz w:val="22"/>
          <w:lang w:val="en-US"/>
        </w:rPr>
        <w:t xml:space="preserve"> [2</w:t>
      </w:r>
      <w:proofErr w:type="gramStart"/>
      <w:r>
        <w:rPr>
          <w:sz w:val="22"/>
          <w:lang w:val="en-US"/>
        </w:rPr>
        <w:t>,3</w:t>
      </w:r>
      <w:proofErr w:type="gramEnd"/>
      <w:r>
        <w:rPr>
          <w:sz w:val="22"/>
          <w:lang w:val="en-US"/>
        </w:rPr>
        <w:t>]</w:t>
      </w:r>
      <w:r w:rsidRPr="002C75B8">
        <w:rPr>
          <w:sz w:val="22"/>
          <w:lang w:val="en-US"/>
        </w:rPr>
        <w:t xml:space="preserve">. </w:t>
      </w: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884800" w:rsidRDefault="00884800" w:rsidP="00884800">
      <w:pPr>
        <w:ind w:left="0" w:firstLine="0"/>
        <w:rPr>
          <w:sz w:val="22"/>
          <w:lang w:val="en-US"/>
        </w:rPr>
      </w:pPr>
      <w:r w:rsidRPr="002C75B8">
        <w:rPr>
          <w:iCs/>
          <w:sz w:val="22"/>
          <w:lang w:val="en-US"/>
        </w:rPr>
        <w:t>CL is a serious public health problem in Algeria,</w:t>
      </w:r>
      <w:r>
        <w:rPr>
          <w:iCs/>
          <w:sz w:val="22"/>
          <w:lang w:val="en-US"/>
        </w:rPr>
        <w:t xml:space="preserve"> </w:t>
      </w:r>
      <w:r>
        <w:rPr>
          <w:iCs/>
          <w:sz w:val="22"/>
          <w:lang w:val="en-US"/>
        </w:rPr>
        <w:t xml:space="preserve">it </w:t>
      </w:r>
      <w:r w:rsidRPr="002C75B8">
        <w:rPr>
          <w:iCs/>
          <w:sz w:val="22"/>
          <w:lang w:val="en-US"/>
        </w:rPr>
        <w:t xml:space="preserve">being the second largest </w:t>
      </w:r>
      <w:r>
        <w:rPr>
          <w:iCs/>
          <w:sz w:val="22"/>
          <w:lang w:val="en-US"/>
        </w:rPr>
        <w:t xml:space="preserve">focus </w:t>
      </w:r>
      <w:r w:rsidRPr="00EF6EC8">
        <w:rPr>
          <w:iCs/>
          <w:sz w:val="22"/>
          <w:lang w:val="en-US"/>
        </w:rPr>
        <w:t>in</w:t>
      </w:r>
      <w:r w:rsidRPr="002C75B8">
        <w:rPr>
          <w:iCs/>
          <w:sz w:val="22"/>
          <w:lang w:val="en-US"/>
        </w:rPr>
        <w:t xml:space="preserve"> the world after Afghanistan.</w:t>
      </w:r>
      <w:r w:rsidRPr="002C75B8">
        <w:rPr>
          <w:sz w:val="22"/>
          <w:lang w:val="en-US"/>
        </w:rPr>
        <w:t xml:space="preserve"> This very old cutaneous diseas</w:t>
      </w:r>
      <w:r>
        <w:rPr>
          <w:sz w:val="22"/>
          <w:lang w:val="en-US"/>
        </w:rPr>
        <w:t>e, also called ‘</w:t>
      </w:r>
      <w:proofErr w:type="spellStart"/>
      <w:r>
        <w:rPr>
          <w:sz w:val="22"/>
          <w:lang w:val="en-US"/>
        </w:rPr>
        <w:t>Biskra</w:t>
      </w:r>
      <w:proofErr w:type="spellEnd"/>
      <w:r>
        <w:rPr>
          <w:sz w:val="22"/>
          <w:lang w:val="en-US"/>
        </w:rPr>
        <w:t xml:space="preserve"> boil’</w:t>
      </w:r>
      <w:r>
        <w:rPr>
          <w:sz w:val="22"/>
          <w:lang w:val="en-US"/>
        </w:rPr>
        <w:t>, used to be</w:t>
      </w:r>
      <w:r w:rsidRPr="002C75B8">
        <w:rPr>
          <w:sz w:val="22"/>
          <w:lang w:val="en-US"/>
        </w:rPr>
        <w:t xml:space="preserve"> mainly endemic in the sub-Saharan steppes (southern Atlas foothills)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where 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 xml:space="preserve">most important foci are located. More recently, </w:t>
      </w:r>
      <w:r>
        <w:rPr>
          <w:sz w:val="22"/>
          <w:lang w:val="en-US"/>
        </w:rPr>
        <w:t xml:space="preserve">however, </w:t>
      </w:r>
      <w:r w:rsidRPr="002C75B8">
        <w:rPr>
          <w:sz w:val="22"/>
          <w:lang w:val="en-US"/>
        </w:rPr>
        <w:t>geographical spread towards the north and west (</w:t>
      </w:r>
      <w:proofErr w:type="spellStart"/>
      <w:r w:rsidRPr="002C75B8">
        <w:rPr>
          <w:sz w:val="22"/>
          <w:lang w:val="en-US"/>
        </w:rPr>
        <w:t>M'sila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Batna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Ksar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Chellala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Djelfa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Bou-Saada</w:t>
      </w:r>
      <w:proofErr w:type="spellEnd"/>
      <w:r w:rsidRPr="002C75B8">
        <w:rPr>
          <w:sz w:val="22"/>
          <w:lang w:val="en-US"/>
        </w:rPr>
        <w:t>) has taken place. In 1984-1985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only </w:t>
      </w:r>
      <w:r>
        <w:rPr>
          <w:sz w:val="22"/>
          <w:lang w:val="en-US"/>
        </w:rPr>
        <w:t xml:space="preserve">a </w:t>
      </w:r>
      <w:r w:rsidRPr="002C75B8">
        <w:rPr>
          <w:sz w:val="22"/>
          <w:lang w:val="en-US"/>
        </w:rPr>
        <w:t>few cases were registered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probably because of the application of DDT in 1983</w:t>
      </w:r>
      <w:r>
        <w:rPr>
          <w:sz w:val="22"/>
          <w:lang w:val="en-US"/>
        </w:rPr>
        <w:t xml:space="preserve"> [4]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but </w:t>
      </w:r>
      <w:r>
        <w:rPr>
          <w:sz w:val="22"/>
          <w:lang w:val="en-US"/>
        </w:rPr>
        <w:t xml:space="preserve">since 1986, </w:t>
      </w:r>
      <w:r w:rsidRPr="002C75B8">
        <w:rPr>
          <w:sz w:val="22"/>
          <w:lang w:val="en-US"/>
        </w:rPr>
        <w:t>the number of cases increased rapidly</w:t>
      </w:r>
      <w:r>
        <w:rPr>
          <w:sz w:val="22"/>
          <w:lang w:val="en-US"/>
        </w:rPr>
        <w:t xml:space="preserve"> to more than 2,000 per year [3]. </w:t>
      </w:r>
      <w:r w:rsidRPr="002C75B8">
        <w:rPr>
          <w:sz w:val="22"/>
          <w:lang w:val="en-US"/>
        </w:rPr>
        <w:t>Three CL outbreaks occurred in 2004-2006, with respective</w:t>
      </w:r>
      <w:r>
        <w:rPr>
          <w:sz w:val="22"/>
          <w:lang w:val="en-US"/>
        </w:rPr>
        <w:t>ly</w:t>
      </w:r>
      <w:r w:rsidRPr="002C75B8">
        <w:rPr>
          <w:sz w:val="22"/>
          <w:lang w:val="en-US"/>
        </w:rPr>
        <w:t xml:space="preserve"> 17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100, 32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200 and 15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 cases.</w:t>
      </w: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2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8% of visceral leishmaniasis </w:t>
      </w:r>
      <w:r>
        <w:rPr>
          <w:sz w:val="22"/>
          <w:lang w:val="en-US"/>
        </w:rPr>
        <w:t xml:space="preserve">cases </w:t>
      </w:r>
      <w:r w:rsidRPr="002C75B8">
        <w:rPr>
          <w:sz w:val="22"/>
          <w:lang w:val="en-US"/>
        </w:rPr>
        <w:t>are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infected with HIV</w:t>
      </w:r>
      <w:r>
        <w:rPr>
          <w:sz w:val="22"/>
          <w:lang w:val="en-US"/>
        </w:rPr>
        <w:t>.</w:t>
      </w:r>
    </w:p>
    <w:p w:rsidR="00884800" w:rsidRDefault="00884800" w:rsidP="00884800">
      <w:pPr>
        <w:ind w:left="0" w:firstLine="0"/>
        <w:rPr>
          <w:b/>
          <w:bCs/>
          <w:sz w:val="22"/>
          <w:lang w:val="it-IT"/>
        </w:rPr>
      </w:pPr>
    </w:p>
    <w:p w:rsidR="00884800" w:rsidRDefault="00884800" w:rsidP="00884800">
      <w:pPr>
        <w:ind w:left="0" w:firstLine="0"/>
        <w:rPr>
          <w:b/>
          <w:bCs/>
          <w:sz w:val="22"/>
          <w:lang w:val="it-IT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it-IT"/>
        </w:rPr>
        <w:lastRenderedPageBreak/>
        <w:t xml:space="preserve">PARASITOLOGICAL INFORMATION </w:t>
      </w: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tbl>
      <w:tblPr>
        <w:tblW w:w="9055" w:type="dxa"/>
        <w:tblCellMar>
          <w:left w:w="0" w:type="dxa"/>
          <w:right w:w="0" w:type="dxa"/>
        </w:tblCellMar>
        <w:tblLook w:val="04A0"/>
      </w:tblPr>
      <w:tblGrid>
        <w:gridCol w:w="2270"/>
        <w:gridCol w:w="1498"/>
        <w:gridCol w:w="3154"/>
        <w:gridCol w:w="2133"/>
      </w:tblGrid>
      <w:tr w:rsidR="00884800" w:rsidRPr="002C75B8" w:rsidTr="00A7768B">
        <w:trPr>
          <w:trHeight w:val="385"/>
        </w:trPr>
        <w:tc>
          <w:tcPr>
            <w:tcW w:w="2270" w:type="dxa"/>
            <w:tcBorders>
              <w:top w:val="single" w:sz="12" w:space="0" w:color="376092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498" w:type="dxa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4" w:type="dxa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33" w:type="dxa"/>
            <w:tcBorders>
              <w:top w:val="single" w:sz="12" w:space="0" w:color="376092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884800" w:rsidRPr="002C75B8" w:rsidTr="00A7768B">
        <w:trPr>
          <w:trHeight w:val="523"/>
        </w:trPr>
        <w:tc>
          <w:tcPr>
            <w:tcW w:w="2270" w:type="dxa"/>
            <w:tcBorders>
              <w:top w:val="single" w:sz="8" w:space="0" w:color="4F81BD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 xml:space="preserve"> </w:t>
            </w:r>
            <w:r w:rsidRPr="002C75B8">
              <w:rPr>
                <w:i/>
                <w:iCs/>
                <w:sz w:val="22"/>
                <w:lang w:val="en-US"/>
              </w:rPr>
              <w:t xml:space="preserve">L. infantum 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>ZVL, CL</w:t>
            </w:r>
          </w:p>
        </w:tc>
        <w:tc>
          <w:tcPr>
            <w:tcW w:w="31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i/>
                <w:iCs/>
                <w:sz w:val="22"/>
                <w:lang w:val="en-US"/>
              </w:rPr>
              <w:t xml:space="preserve">P.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longicuspis</w:t>
            </w:r>
            <w:proofErr w:type="spellEnd"/>
            <w:r w:rsidRPr="002C75B8">
              <w:rPr>
                <w:i/>
                <w:iCs/>
                <w:sz w:val="22"/>
                <w:lang w:val="en-US"/>
              </w:rPr>
              <w:t xml:space="preserve">, P.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perniciosus</w:t>
            </w:r>
            <w:proofErr w:type="spellEnd"/>
            <w:r w:rsidRPr="002C75B8">
              <w:rPr>
                <w:i/>
                <w:iCs/>
                <w:sz w:val="22"/>
                <w:lang w:val="en-US"/>
              </w:rPr>
              <w:t xml:space="preserve">, P.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perfiliewi</w:t>
            </w:r>
            <w:proofErr w:type="spellEnd"/>
            <w:r w:rsidRPr="002C75B8">
              <w:rPr>
                <w:i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21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proofErr w:type="spellStart"/>
            <w:r w:rsidRPr="0048061E">
              <w:rPr>
                <w:i/>
                <w:iCs/>
                <w:color w:val="000000"/>
                <w:sz w:val="22"/>
                <w:lang w:val="en-US"/>
              </w:rPr>
              <w:t>Canis</w:t>
            </w:r>
            <w:proofErr w:type="spellEnd"/>
            <w:r w:rsidRPr="0048061E">
              <w:rPr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8061E">
              <w:rPr>
                <w:i/>
                <w:iCs/>
                <w:color w:val="000000"/>
                <w:sz w:val="22"/>
                <w:lang w:val="en-US"/>
              </w:rPr>
              <w:t>familiaris</w:t>
            </w:r>
            <w:proofErr w:type="spellEnd"/>
          </w:p>
        </w:tc>
      </w:tr>
      <w:tr w:rsidR="00884800" w:rsidRPr="002C75B8" w:rsidTr="00A7768B">
        <w:trPr>
          <w:trHeight w:val="313"/>
        </w:trPr>
        <w:tc>
          <w:tcPr>
            <w:tcW w:w="2270" w:type="dxa"/>
            <w:tcBorders>
              <w:top w:val="single" w:sz="8" w:space="0" w:color="4F81BD"/>
              <w:left w:val="single" w:sz="12" w:space="0" w:color="376092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i/>
                <w:iCs/>
                <w:sz w:val="22"/>
                <w:lang w:val="en-US"/>
              </w:rPr>
              <w:t xml:space="preserve">L.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killicki</w:t>
            </w:r>
            <w:proofErr w:type="spellEnd"/>
            <w:r w:rsidRPr="002C75B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>CL</w:t>
            </w:r>
          </w:p>
        </w:tc>
        <w:tc>
          <w:tcPr>
            <w:tcW w:w="31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en-US"/>
              </w:rPr>
              <w:t>Unknown</w:t>
            </w:r>
          </w:p>
        </w:tc>
        <w:tc>
          <w:tcPr>
            <w:tcW w:w="21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376092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</w:p>
        </w:tc>
      </w:tr>
      <w:tr w:rsidR="00884800" w:rsidRPr="002C75B8" w:rsidTr="00A7768B">
        <w:trPr>
          <w:trHeight w:val="313"/>
        </w:trPr>
        <w:tc>
          <w:tcPr>
            <w:tcW w:w="2270" w:type="dxa"/>
            <w:tcBorders>
              <w:top w:val="single" w:sz="8" w:space="0" w:color="4F81BD"/>
              <w:left w:val="single" w:sz="12" w:space="0" w:color="376092"/>
              <w:bottom w:val="single" w:sz="12" w:space="0" w:color="376092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i/>
                <w:iCs/>
                <w:sz w:val="22"/>
                <w:lang w:val="pt-BR"/>
              </w:rPr>
              <w:t>L. major</w:t>
            </w:r>
            <w:r w:rsidRPr="002C75B8">
              <w:rPr>
                <w:sz w:val="22"/>
                <w:lang w:val="pt-BR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sz w:val="22"/>
                <w:lang w:val="pt-BR"/>
              </w:rPr>
              <w:t>ZCL</w:t>
            </w:r>
          </w:p>
        </w:tc>
        <w:tc>
          <w:tcPr>
            <w:tcW w:w="3154" w:type="dxa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8" w:space="0" w:color="4F81BD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i/>
                <w:iCs/>
                <w:sz w:val="22"/>
                <w:lang w:val="pt-BR"/>
              </w:rPr>
              <w:t>P. papatasi</w:t>
            </w:r>
            <w:r w:rsidRPr="002C75B8">
              <w:rPr>
                <w:sz w:val="22"/>
                <w:lang w:val="pt-BR"/>
              </w:rPr>
              <w:t xml:space="preserve"> </w:t>
            </w:r>
          </w:p>
        </w:tc>
        <w:tc>
          <w:tcPr>
            <w:tcW w:w="2133" w:type="dxa"/>
            <w:tcBorders>
              <w:top w:val="single" w:sz="8" w:space="0" w:color="4F81BD"/>
              <w:left w:val="single" w:sz="8" w:space="0" w:color="4F81BD"/>
              <w:bottom w:val="single" w:sz="12" w:space="0" w:color="376092"/>
              <w:right w:val="single" w:sz="12" w:space="0" w:color="376092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84800" w:rsidRPr="002C75B8" w:rsidRDefault="00884800" w:rsidP="00A7768B">
            <w:pPr>
              <w:ind w:left="0" w:firstLine="0"/>
              <w:rPr>
                <w:sz w:val="22"/>
                <w:lang w:val="es-ES"/>
              </w:rPr>
            </w:pPr>
            <w:r w:rsidRPr="002C75B8">
              <w:rPr>
                <w:i/>
                <w:iCs/>
                <w:sz w:val="22"/>
                <w:lang w:val="pt-BR"/>
              </w:rPr>
              <w:t xml:space="preserve">Psammomys </w:t>
            </w:r>
            <w:r w:rsidRPr="002C75B8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2C75B8">
              <w:rPr>
                <w:i/>
                <w:iCs/>
                <w:sz w:val="22"/>
                <w:lang w:val="en-US"/>
              </w:rPr>
              <w:t>obesus</w:t>
            </w:r>
            <w:proofErr w:type="spellEnd"/>
          </w:p>
        </w:tc>
      </w:tr>
    </w:tbl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Default="00884800" w:rsidP="00884800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</w:t>
      </w:r>
      <w:r w:rsidRPr="002C75B8">
        <w:rPr>
          <w:b/>
          <w:sz w:val="22"/>
          <w:lang w:val="en-US"/>
        </w:rPr>
        <w:t>utaneous</w:t>
      </w:r>
      <w:r>
        <w:rPr>
          <w:b/>
          <w:sz w:val="22"/>
          <w:lang w:val="en-US"/>
        </w:rPr>
        <w:t xml:space="preserve"> and v</w:t>
      </w:r>
      <w:r w:rsidRPr="002C75B8">
        <w:rPr>
          <w:b/>
          <w:sz w:val="22"/>
          <w:lang w:val="en-US"/>
        </w:rPr>
        <w:t>isceral</w:t>
      </w:r>
      <w:r>
        <w:rPr>
          <w:b/>
          <w:sz w:val="22"/>
          <w:lang w:val="en-US"/>
        </w:rPr>
        <w:t xml:space="preserve"> l</w:t>
      </w:r>
      <w:r w:rsidRPr="002C75B8">
        <w:rPr>
          <w:b/>
          <w:sz w:val="22"/>
          <w:lang w:val="en-US"/>
        </w:rPr>
        <w:t>eishmaniasis</w:t>
      </w:r>
    </w:p>
    <w:p w:rsidR="00884800" w:rsidRPr="00C7323A" w:rsidRDefault="00884800" w:rsidP="00884800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130810</wp:posOffset>
            </wp:positionV>
            <wp:extent cx="3456305" cy="24434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130810</wp:posOffset>
            </wp:positionV>
            <wp:extent cx="3564255" cy="2540000"/>
            <wp:effectExtent l="19050" t="0" r="0" b="0"/>
            <wp:wrapNone/>
            <wp:docPr id="4" name="Picture 4" descr="DZ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C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Pr="00DF08C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noProof/>
          <w:sz w:val="22"/>
          <w:lang w:val="es-E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151130</wp:posOffset>
            </wp:positionV>
            <wp:extent cx="6743700" cy="240030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eastAsia="Times New Roman"/>
          <w:b/>
          <w:bCs/>
          <w:sz w:val="22"/>
          <w:lang w:val="en-US" w:eastAsia="es-ES"/>
        </w:rPr>
        <w:t>Visceral leishmaniasis trend</w:t>
      </w: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>
        <w:rPr>
          <w:rFonts w:eastAsia="Times New Roman"/>
          <w:b/>
          <w:bCs/>
          <w:sz w:val="22"/>
          <w:lang w:val="en-US" w:eastAsia="es-ES"/>
        </w:rPr>
        <w:lastRenderedPageBreak/>
        <w:t>Cutaneous leishmaniasis trend</w:t>
      </w: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123190</wp:posOffset>
            </wp:positionV>
            <wp:extent cx="6745605" cy="257365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884800" w:rsidRPr="002C75B8" w:rsidRDefault="00884800" w:rsidP="00884800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Cs/>
          <w:sz w:val="22"/>
          <w:lang w:val="en-US" w:eastAsia="es-ES"/>
        </w:rPr>
      </w:pPr>
      <w:r w:rsidRPr="002C75B8">
        <w:rPr>
          <w:rFonts w:eastAsia="Times New Roman"/>
          <w:bCs/>
          <w:sz w:val="22"/>
          <w:lang w:val="en-GB" w:eastAsia="es-ES"/>
        </w:rPr>
        <w:t xml:space="preserve">The notification of leishmaniasis is mandatory in the country and a </w:t>
      </w:r>
      <w:r w:rsidRPr="002C75B8">
        <w:rPr>
          <w:rFonts w:eastAsia="Times New Roman"/>
          <w:bCs/>
          <w:sz w:val="22"/>
          <w:lang w:val="en-US" w:eastAsia="es-ES"/>
        </w:rPr>
        <w:t xml:space="preserve">national </w:t>
      </w:r>
      <w:r>
        <w:rPr>
          <w:rFonts w:eastAsia="Times New Roman"/>
          <w:bCs/>
          <w:sz w:val="22"/>
          <w:lang w:val="en-US" w:eastAsia="es-ES"/>
        </w:rPr>
        <w:t>l</w:t>
      </w:r>
      <w:r w:rsidRPr="002C75B8">
        <w:rPr>
          <w:rFonts w:eastAsia="Times New Roman"/>
          <w:bCs/>
          <w:sz w:val="22"/>
          <w:lang w:val="en-US" w:eastAsia="es-ES"/>
        </w:rPr>
        <w:t xml:space="preserve">eishmaniasis control program for VL and CL </w:t>
      </w:r>
      <w:r>
        <w:rPr>
          <w:rFonts w:eastAsia="Times New Roman"/>
          <w:bCs/>
          <w:sz w:val="22"/>
          <w:lang w:val="en-US" w:eastAsia="es-ES"/>
        </w:rPr>
        <w:t xml:space="preserve">has been in place </w:t>
      </w:r>
      <w:r w:rsidRPr="002C75B8">
        <w:rPr>
          <w:rFonts w:eastAsia="Times New Roman"/>
          <w:bCs/>
          <w:sz w:val="22"/>
          <w:lang w:val="en-US" w:eastAsia="es-ES"/>
        </w:rPr>
        <w:t xml:space="preserve">since 2006. There is a leishmaniasis vector control program. It does not include </w:t>
      </w:r>
      <w:proofErr w:type="spellStart"/>
      <w:r w:rsidRPr="002C75B8">
        <w:rPr>
          <w:rFonts w:eastAsia="Times New Roman"/>
          <w:bCs/>
          <w:sz w:val="22"/>
          <w:lang w:val="en-US" w:eastAsia="es-ES"/>
        </w:rPr>
        <w:t>bednet</w:t>
      </w:r>
      <w:proofErr w:type="spellEnd"/>
      <w:r w:rsidRPr="002C75B8">
        <w:rPr>
          <w:rFonts w:eastAsia="Times New Roman"/>
          <w:bCs/>
          <w:sz w:val="22"/>
          <w:lang w:val="en-US" w:eastAsia="es-ES"/>
        </w:rPr>
        <w:t xml:space="preserve"> distribution. Insecticide spraying is regularly done. There is a leishmaniasis reservoir control program. Serological surveys of dogs are occasionally performed. Positive dogs are sacrificed and rodent control is regularly performed</w:t>
      </w:r>
      <w:r>
        <w:rPr>
          <w:rFonts w:eastAsia="Times New Roman"/>
          <w:bCs/>
          <w:sz w:val="22"/>
          <w:lang w:val="en-US" w:eastAsia="es-ES"/>
        </w:rPr>
        <w:t>.</w:t>
      </w:r>
    </w:p>
    <w:p w:rsidR="00884800" w:rsidRPr="002C75B8" w:rsidRDefault="00884800" w:rsidP="00884800">
      <w:pPr>
        <w:ind w:left="0" w:firstLine="0"/>
        <w:rPr>
          <w:rFonts w:eastAsia="Times New Roman"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rFonts w:eastAsia="Times New Roman"/>
          <w:bCs/>
          <w:sz w:val="22"/>
          <w:lang w:val="en-US" w:eastAsia="es-ES"/>
        </w:rPr>
      </w:pP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DIAGNOSIS, TREATMENT </w:t>
      </w: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Default="00884800" w:rsidP="00884800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Diagnosis </w:t>
      </w: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Pr="00EF6EC8" w:rsidRDefault="00884800" w:rsidP="00884800">
      <w:pPr>
        <w:ind w:left="0" w:firstLine="0"/>
        <w:rPr>
          <w:sz w:val="22"/>
        </w:rPr>
      </w:pPr>
      <w:r w:rsidRPr="00EF6EC8">
        <w:rPr>
          <w:sz w:val="22"/>
        </w:rPr>
        <w:t>VL:</w:t>
      </w:r>
      <w:r>
        <w:rPr>
          <w:sz w:val="22"/>
        </w:rPr>
        <w:t xml:space="preserve">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tissue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 w:rsidRPr="00EF6EC8">
        <w:rPr>
          <w:sz w:val="22"/>
        </w:rPr>
        <w:t xml:space="preserve"> in </w:t>
      </w:r>
      <w:proofErr w:type="spellStart"/>
      <w:r w:rsidRPr="00EF6EC8">
        <w:rPr>
          <w:sz w:val="22"/>
        </w:rPr>
        <w:t>specialized</w:t>
      </w:r>
      <w:proofErr w:type="spellEnd"/>
      <w:r w:rsidRPr="00EF6EC8">
        <w:rPr>
          <w:sz w:val="22"/>
        </w:rPr>
        <w:t xml:space="preserve"> centers, </w:t>
      </w:r>
      <w:proofErr w:type="spellStart"/>
      <w:r w:rsidRPr="00EF6EC8">
        <w:rPr>
          <w:sz w:val="22"/>
        </w:rPr>
        <w:t>cultures</w:t>
      </w:r>
      <w:proofErr w:type="spellEnd"/>
      <w:r w:rsidRPr="00EF6EC8">
        <w:rPr>
          <w:sz w:val="22"/>
        </w:rPr>
        <w:t xml:space="preserve">, IFAT and Western </w:t>
      </w:r>
      <w:proofErr w:type="spellStart"/>
      <w:r w:rsidRPr="00EF6EC8">
        <w:rPr>
          <w:sz w:val="22"/>
        </w:rPr>
        <w:t>blotting</w:t>
      </w:r>
      <w:proofErr w:type="spellEnd"/>
      <w:r w:rsidRPr="00EF6EC8">
        <w:rPr>
          <w:sz w:val="22"/>
        </w:rPr>
        <w:t xml:space="preserve"> are </w:t>
      </w:r>
      <w:proofErr w:type="spellStart"/>
      <w:r w:rsidRPr="00EF6EC8">
        <w:rPr>
          <w:sz w:val="22"/>
        </w:rPr>
        <w:t>used</w:t>
      </w:r>
      <w:proofErr w:type="spellEnd"/>
      <w:r w:rsidRPr="00EF6EC8">
        <w:rPr>
          <w:sz w:val="22"/>
        </w:rPr>
        <w:t>.</w:t>
      </w:r>
    </w:p>
    <w:p w:rsidR="00884800" w:rsidRPr="00EF6EC8" w:rsidRDefault="00884800" w:rsidP="00884800">
      <w:pPr>
        <w:ind w:left="0" w:firstLine="0"/>
        <w:rPr>
          <w:sz w:val="22"/>
        </w:rPr>
      </w:pPr>
      <w:r w:rsidRPr="00EF6EC8">
        <w:rPr>
          <w:sz w:val="22"/>
        </w:rPr>
        <w:t>CL:</w:t>
      </w:r>
      <w:r>
        <w:rPr>
          <w:sz w:val="22"/>
        </w:rPr>
        <w:t xml:space="preserve"> </w:t>
      </w:r>
      <w:proofErr w:type="spellStart"/>
      <w:r w:rsidRPr="00EF6EC8">
        <w:rPr>
          <w:sz w:val="22"/>
        </w:rPr>
        <w:t>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clinical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grounds</w:t>
      </w:r>
      <w:proofErr w:type="spellEnd"/>
      <w:r w:rsidRPr="00EF6EC8">
        <w:rPr>
          <w:sz w:val="22"/>
        </w:rPr>
        <w:t xml:space="preserve">,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</w:t>
      </w:r>
      <w:proofErr w:type="spellStart"/>
      <w:r w:rsidRPr="00EF6EC8">
        <w:rPr>
          <w:sz w:val="22"/>
        </w:rPr>
        <w:t>skin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lesion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 w:rsidRPr="00EF6EC8">
        <w:rPr>
          <w:sz w:val="22"/>
        </w:rPr>
        <w:t xml:space="preserve">. </w:t>
      </w:r>
    </w:p>
    <w:p w:rsidR="00884800" w:rsidRPr="00EF6EC8" w:rsidRDefault="00884800" w:rsidP="00884800">
      <w:pPr>
        <w:ind w:left="0" w:firstLine="0"/>
        <w:rPr>
          <w:sz w:val="22"/>
        </w:rPr>
      </w:pPr>
    </w:p>
    <w:p w:rsidR="00884800" w:rsidRDefault="00884800" w:rsidP="00884800">
      <w:pPr>
        <w:ind w:left="0" w:firstLine="0"/>
        <w:rPr>
          <w:b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  <w:r w:rsidRPr="002C75B8">
        <w:rPr>
          <w:b/>
          <w:sz w:val="22"/>
          <w:lang w:val="en-US"/>
        </w:rPr>
        <w:t xml:space="preserve"> </w:t>
      </w: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Pr="00EF6EC8" w:rsidRDefault="00884800" w:rsidP="00884800">
      <w:pPr>
        <w:ind w:left="0" w:firstLine="0"/>
        <w:rPr>
          <w:sz w:val="22"/>
        </w:rPr>
      </w:pPr>
      <w:r w:rsidRPr="00EF6EC8">
        <w:rPr>
          <w:sz w:val="22"/>
        </w:rPr>
        <w:t xml:space="preserve">VL: antimonials, 20 mg </w:t>
      </w:r>
      <w:proofErr w:type="spellStart"/>
      <w:r w:rsidRPr="00EF6EC8"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>
        <w:rPr>
          <w:sz w:val="22"/>
        </w:rPr>
        <w:t>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for</w:t>
      </w:r>
      <w:proofErr w:type="spellEnd"/>
      <w:r w:rsidRPr="00EF6EC8">
        <w:rPr>
          <w:sz w:val="22"/>
        </w:rPr>
        <w:t xml:space="preserve"> 30 </w:t>
      </w:r>
      <w:proofErr w:type="spellStart"/>
      <w:r w:rsidRPr="00EF6EC8">
        <w:rPr>
          <w:sz w:val="22"/>
        </w:rPr>
        <w:t>days</w:t>
      </w:r>
      <w:proofErr w:type="spellEnd"/>
      <w:r w:rsidRPr="00EF6EC8">
        <w:rPr>
          <w:sz w:val="22"/>
        </w:rPr>
        <w:t xml:space="preserve">.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85-90%,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recurring</w:t>
      </w:r>
      <w:proofErr w:type="spellEnd"/>
      <w:r w:rsidRPr="00EF6EC8">
        <w:rPr>
          <w:sz w:val="22"/>
        </w:rPr>
        <w:t xml:space="preserve"> cases in 5-10% and a </w:t>
      </w:r>
      <w:proofErr w:type="spellStart"/>
      <w:r w:rsidRPr="00EF6EC8">
        <w:rPr>
          <w:sz w:val="22"/>
        </w:rPr>
        <w:t>fatality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of &lt; 6%. </w:t>
      </w:r>
    </w:p>
    <w:p w:rsidR="00884800" w:rsidRPr="00EF6EC8" w:rsidRDefault="00884800" w:rsidP="00884800">
      <w:pPr>
        <w:ind w:left="0" w:firstLine="0"/>
        <w:rPr>
          <w:sz w:val="22"/>
        </w:rPr>
      </w:pPr>
      <w:r w:rsidRPr="00EF6EC8">
        <w:rPr>
          <w:sz w:val="22"/>
        </w:rPr>
        <w:t xml:space="preserve">CL: antimonials, intralesional </w:t>
      </w:r>
      <w:proofErr w:type="spellStart"/>
      <w:r w:rsidRPr="00EF6EC8">
        <w:rPr>
          <w:sz w:val="22"/>
        </w:rPr>
        <w:t>or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systemic</w:t>
      </w:r>
      <w:proofErr w:type="spellEnd"/>
      <w:r w:rsidRPr="00EF6EC8">
        <w:rPr>
          <w:sz w:val="22"/>
        </w:rPr>
        <w:t xml:space="preserve">, 20 mg </w:t>
      </w:r>
      <w:proofErr w:type="spellStart"/>
      <w:r w:rsidRPr="00EF6EC8"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>
        <w:rPr>
          <w:sz w:val="22"/>
        </w:rPr>
        <w:t>/kg/</w:t>
      </w:r>
      <w:proofErr w:type="spellStart"/>
      <w:r w:rsidRPr="00EF6EC8">
        <w:rPr>
          <w:sz w:val="22"/>
        </w:rPr>
        <w:t>day</w:t>
      </w:r>
      <w:proofErr w:type="spellEnd"/>
      <w:r w:rsidRPr="00EF6EC8">
        <w:rPr>
          <w:sz w:val="22"/>
        </w:rPr>
        <w:t xml:space="preserve">. The cure </w:t>
      </w:r>
      <w:proofErr w:type="spellStart"/>
      <w:r w:rsidRPr="00EF6EC8">
        <w:rPr>
          <w:sz w:val="22"/>
        </w:rPr>
        <w:t>rate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95%, </w:t>
      </w:r>
      <w:proofErr w:type="spellStart"/>
      <w:r w:rsidRPr="00EF6EC8">
        <w:rPr>
          <w:sz w:val="22"/>
        </w:rPr>
        <w:t>with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recurring</w:t>
      </w:r>
      <w:proofErr w:type="spellEnd"/>
      <w:r w:rsidRPr="00EF6EC8">
        <w:rPr>
          <w:sz w:val="22"/>
        </w:rPr>
        <w:t xml:space="preserve"> cases in 2%. </w:t>
      </w:r>
    </w:p>
    <w:p w:rsidR="00884800" w:rsidRPr="002C75B8" w:rsidRDefault="00884800" w:rsidP="00884800">
      <w:pPr>
        <w:ind w:left="360" w:hanging="360"/>
        <w:rPr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Second line treatment is with conventional amphotericin B.</w:t>
      </w:r>
      <w:r w:rsidRPr="002C75B8">
        <w:rPr>
          <w:sz w:val="22"/>
          <w:lang w:val="en-GB"/>
        </w:rPr>
        <w:t xml:space="preserve"> </w:t>
      </w: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p w:rsidR="00884800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Pr="00B37375" w:rsidRDefault="00884800" w:rsidP="00884800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Care for leishmaniasis is provided for free. Diagnosis of CL takes place at health cent</w:t>
      </w:r>
      <w:r>
        <w:rPr>
          <w:sz w:val="22"/>
          <w:lang w:val="en-GB"/>
        </w:rPr>
        <w:t>r</w:t>
      </w:r>
      <w:r>
        <w:rPr>
          <w:sz w:val="22"/>
          <w:lang w:val="en-GB"/>
        </w:rPr>
        <w:t>e</w:t>
      </w:r>
      <w:r w:rsidRPr="002C75B8">
        <w:rPr>
          <w:sz w:val="22"/>
          <w:lang w:val="en-GB"/>
        </w:rPr>
        <w:t xml:space="preserve"> level. VL can only be diagnosed in hospitals. </w:t>
      </w:r>
      <w:r w:rsidRPr="002C75B8">
        <w:rPr>
          <w:sz w:val="22"/>
          <w:lang w:val="en-US"/>
        </w:rPr>
        <w:t xml:space="preserve">The private sector is not used for the treatment of leishmaniasis. </w:t>
      </w:r>
      <w:r w:rsidRPr="002C75B8">
        <w:rPr>
          <w:sz w:val="22"/>
          <w:lang w:val="en-GB"/>
        </w:rPr>
        <w:t xml:space="preserve">All patients are </w:t>
      </w:r>
      <w:r>
        <w:rPr>
          <w:sz w:val="22"/>
          <w:lang w:val="en-GB"/>
        </w:rPr>
        <w:t>believed</w:t>
      </w:r>
      <w:r w:rsidRPr="002C75B8">
        <w:rPr>
          <w:sz w:val="22"/>
          <w:lang w:val="en-GB"/>
        </w:rPr>
        <w:t xml:space="preserve"> to have access to care. </w:t>
      </w:r>
    </w:p>
    <w:p w:rsidR="00884800" w:rsidRDefault="00884800" w:rsidP="00884800">
      <w:pPr>
        <w:ind w:left="0" w:firstLine="0"/>
        <w:rPr>
          <w:b/>
          <w:bCs/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>ACCESS TO DRUGS</w:t>
      </w: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p w:rsidR="00884800" w:rsidRPr="00F84250" w:rsidRDefault="00884800" w:rsidP="00884800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Meglumine antimoniate (CL and VL) and conventional amphotericin B (VL) are included in the National Essential Drug List. Drugs for leishmaniasis are not available in pharmacies and unregulated drug markets. Meglumine antimoniate (Glucantime, </w:t>
      </w:r>
      <w:proofErr w:type="spellStart"/>
      <w:r>
        <w:rPr>
          <w:sz w:val="22"/>
          <w:lang w:val="en-GB"/>
        </w:rPr>
        <w:t>Sanofi</w:t>
      </w:r>
      <w:proofErr w:type="spellEnd"/>
      <w:r w:rsidRPr="002C75B8">
        <w:rPr>
          <w:sz w:val="22"/>
          <w:lang w:val="en-GB"/>
        </w:rPr>
        <w:t xml:space="preserve">) is registered in Algeria. </w:t>
      </w: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ind w:left="0" w:firstLine="0"/>
        <w:rPr>
          <w:sz w:val="22"/>
          <w:lang w:val="en-US"/>
        </w:rPr>
      </w:pPr>
    </w:p>
    <w:p w:rsidR="00884800" w:rsidRDefault="00884800" w:rsidP="00884800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884800" w:rsidRPr="002C75B8" w:rsidRDefault="00884800" w:rsidP="00884800">
      <w:pPr>
        <w:ind w:left="0" w:firstLine="0"/>
        <w:rPr>
          <w:b/>
          <w:sz w:val="22"/>
          <w:lang w:val="en-US"/>
        </w:rPr>
      </w:pPr>
    </w:p>
    <w:p w:rsidR="00884800" w:rsidRPr="00C16214" w:rsidRDefault="00884800" w:rsidP="00884800">
      <w:pPr>
        <w:numPr>
          <w:ilvl w:val="0"/>
          <w:numId w:val="5"/>
        </w:numPr>
        <w:rPr>
          <w:sz w:val="22"/>
          <w:lang w:val="en-US"/>
        </w:rPr>
      </w:pPr>
      <w:proofErr w:type="spellStart"/>
      <w:r w:rsidRPr="00C16214">
        <w:rPr>
          <w:sz w:val="22"/>
          <w:lang w:val="fr-FR"/>
        </w:rPr>
        <w:t>Drs</w:t>
      </w:r>
      <w:proofErr w:type="spellEnd"/>
      <w:r w:rsidRPr="00C16214">
        <w:rPr>
          <w:sz w:val="22"/>
          <w:lang w:val="fr-FR"/>
        </w:rPr>
        <w:t xml:space="preserve"> </w:t>
      </w:r>
      <w:proofErr w:type="spellStart"/>
      <w:r w:rsidRPr="00C16214">
        <w:rPr>
          <w:sz w:val="22"/>
          <w:lang w:val="fr-FR"/>
        </w:rPr>
        <w:t>Seridi</w:t>
      </w:r>
      <w:proofErr w:type="spellEnd"/>
      <w:r w:rsidRPr="00C16214">
        <w:rPr>
          <w:sz w:val="22"/>
          <w:lang w:val="fr-FR"/>
        </w:rPr>
        <w:t xml:space="preserve"> Nabila and </w:t>
      </w:r>
      <w:proofErr w:type="spellStart"/>
      <w:r w:rsidRPr="00C16214">
        <w:rPr>
          <w:sz w:val="22"/>
          <w:lang w:val="fr-FR"/>
        </w:rPr>
        <w:t>Boudrissa</w:t>
      </w:r>
      <w:proofErr w:type="spellEnd"/>
      <w:r w:rsidRPr="00C16214">
        <w:rPr>
          <w:sz w:val="22"/>
          <w:lang w:val="fr-FR"/>
        </w:rPr>
        <w:t xml:space="preserve"> A, Institut Pasteur d’Algérie. </w:t>
      </w:r>
    </w:p>
    <w:p w:rsidR="00884800" w:rsidRDefault="00884800" w:rsidP="00884800">
      <w:pPr>
        <w:numPr>
          <w:ilvl w:val="0"/>
          <w:numId w:val="5"/>
        </w:numPr>
        <w:rPr>
          <w:sz w:val="22"/>
          <w:lang w:val="fr-FR"/>
        </w:rPr>
      </w:pPr>
      <w:r w:rsidRPr="002C75B8">
        <w:rPr>
          <w:sz w:val="22"/>
          <w:lang w:val="fr-FR"/>
        </w:rPr>
        <w:t xml:space="preserve">Relevé Epidémiologique Mensuel (REM – INSP). INSP: Institut National de Santé Publique. </w:t>
      </w:r>
    </w:p>
    <w:p w:rsidR="00884800" w:rsidRPr="002C75B8" w:rsidRDefault="00884800" w:rsidP="00884800">
      <w:pPr>
        <w:ind w:left="0" w:firstLine="0"/>
        <w:rPr>
          <w:sz w:val="22"/>
          <w:lang w:val="fr-FR"/>
        </w:rPr>
      </w:pPr>
    </w:p>
    <w:p w:rsidR="00884800" w:rsidRPr="00B37375" w:rsidRDefault="00884800" w:rsidP="00884800">
      <w:pPr>
        <w:ind w:left="0" w:firstLine="0"/>
        <w:rPr>
          <w:b/>
          <w:sz w:val="22"/>
          <w:u w:val="single"/>
          <w:lang w:val="fr-FR"/>
        </w:rPr>
      </w:pP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proofErr w:type="spellStart"/>
      <w:r w:rsidRPr="002C75B8">
        <w:rPr>
          <w:sz w:val="22"/>
          <w:lang w:val="en-US"/>
        </w:rPr>
        <w:t>Addadi</w:t>
      </w:r>
      <w:proofErr w:type="spellEnd"/>
      <w:r w:rsidRPr="002C75B8">
        <w:rPr>
          <w:sz w:val="22"/>
          <w:lang w:val="en-US"/>
        </w:rPr>
        <w:t xml:space="preserve"> K, </w:t>
      </w:r>
      <w:proofErr w:type="spellStart"/>
      <w:r w:rsidRPr="002C75B8">
        <w:rPr>
          <w:sz w:val="22"/>
          <w:lang w:val="en-US"/>
        </w:rPr>
        <w:t>Dedet</w:t>
      </w:r>
      <w:proofErr w:type="spellEnd"/>
      <w:r w:rsidRPr="002C75B8">
        <w:rPr>
          <w:sz w:val="22"/>
          <w:lang w:val="en-US"/>
        </w:rPr>
        <w:t xml:space="preserve"> JP. </w:t>
      </w:r>
      <w:hyperlink r:id="rId10" w:history="1">
        <w:proofErr w:type="gramStart"/>
        <w:r w:rsidRPr="002C75B8">
          <w:rPr>
            <w:sz w:val="22"/>
            <w:u w:color="0022C0"/>
            <w:lang w:val="en-US"/>
          </w:rPr>
          <w:t>Epidemiology of leishmaniasis in Algeria</w:t>
        </w:r>
        <w:r>
          <w:rPr>
            <w:sz w:val="22"/>
            <w:u w:color="0022C0"/>
            <w:lang w:val="en-US"/>
          </w:rPr>
          <w:t xml:space="preserve"> (1976)</w:t>
        </w:r>
        <w:r w:rsidRPr="002C75B8">
          <w:rPr>
            <w:sz w:val="22"/>
            <w:u w:color="0022C0"/>
            <w:lang w:val="en-US"/>
          </w:rPr>
          <w:t>.</w:t>
        </w:r>
        <w:proofErr w:type="gramEnd"/>
        <w:r w:rsidRPr="002C75B8">
          <w:rPr>
            <w:sz w:val="22"/>
            <w:u w:color="0022C0"/>
            <w:lang w:val="en-US"/>
          </w:rPr>
          <w:t xml:space="preserve"> 6. Survey of clinical cases of infantile visceral leishmaniasis from 1965 to 1974</w:t>
        </w:r>
      </w:hyperlink>
      <w:r w:rsidRPr="002C75B8">
        <w:rPr>
          <w:sz w:val="22"/>
          <w:lang w:val="en-US"/>
        </w:rPr>
        <w:t xml:space="preserve">. Bull Soc </w:t>
      </w:r>
      <w:proofErr w:type="spellStart"/>
      <w:r w:rsidRPr="002C75B8">
        <w:rPr>
          <w:sz w:val="22"/>
          <w:lang w:val="en-US"/>
        </w:rPr>
        <w:t>Pathol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Exot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Filiales</w:t>
      </w:r>
      <w:proofErr w:type="spellEnd"/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69(1):68-75. </w:t>
      </w: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2. </w:t>
      </w:r>
      <w:proofErr w:type="spellStart"/>
      <w:r w:rsidRPr="002C75B8">
        <w:rPr>
          <w:sz w:val="22"/>
          <w:lang w:val="en-US"/>
        </w:rPr>
        <w:t>Harrat</w:t>
      </w:r>
      <w:proofErr w:type="spellEnd"/>
      <w:r w:rsidRPr="002C75B8">
        <w:rPr>
          <w:sz w:val="22"/>
          <w:lang w:val="en-US"/>
        </w:rPr>
        <w:t xml:space="preserve"> Z, </w:t>
      </w:r>
      <w:proofErr w:type="spellStart"/>
      <w:r w:rsidRPr="002C75B8">
        <w:rPr>
          <w:sz w:val="22"/>
          <w:lang w:val="en-US"/>
        </w:rPr>
        <w:t>Addadi</w:t>
      </w:r>
      <w:proofErr w:type="spellEnd"/>
      <w:r w:rsidRPr="002C75B8">
        <w:rPr>
          <w:sz w:val="22"/>
          <w:lang w:val="en-US"/>
        </w:rPr>
        <w:t xml:space="preserve"> K, </w:t>
      </w:r>
      <w:proofErr w:type="spellStart"/>
      <w:r w:rsidRPr="002C75B8">
        <w:rPr>
          <w:sz w:val="22"/>
          <w:lang w:val="en-US"/>
        </w:rPr>
        <w:t>Belkaid</w:t>
      </w:r>
      <w:proofErr w:type="spellEnd"/>
      <w:r w:rsidRPr="002C75B8">
        <w:rPr>
          <w:sz w:val="22"/>
          <w:lang w:val="en-US"/>
        </w:rPr>
        <w:t xml:space="preserve"> M, </w:t>
      </w:r>
      <w:proofErr w:type="spellStart"/>
      <w:r w:rsidRPr="002C75B8">
        <w:rPr>
          <w:sz w:val="22"/>
          <w:lang w:val="en-US"/>
        </w:rPr>
        <w:t>Tabet-Derraz</w:t>
      </w:r>
      <w:proofErr w:type="spellEnd"/>
      <w:r w:rsidRPr="002C75B8">
        <w:rPr>
          <w:sz w:val="22"/>
          <w:lang w:val="en-US"/>
        </w:rPr>
        <w:t xml:space="preserve"> O</w:t>
      </w:r>
      <w:r>
        <w:rPr>
          <w:sz w:val="22"/>
          <w:lang w:val="en-US"/>
        </w:rPr>
        <w:t xml:space="preserve"> (1992)</w:t>
      </w:r>
      <w:r w:rsidRPr="002C75B8">
        <w:rPr>
          <w:sz w:val="22"/>
          <w:lang w:val="en-US"/>
        </w:rPr>
        <w:t>.</w:t>
      </w:r>
      <w:proofErr w:type="gramEnd"/>
      <w:r w:rsidRPr="002C75B8">
        <w:rPr>
          <w:sz w:val="22"/>
          <w:lang w:val="en-US"/>
        </w:rPr>
        <w:t xml:space="preserve"> </w:t>
      </w:r>
      <w:hyperlink r:id="rId11" w:history="1">
        <w:proofErr w:type="gramStart"/>
        <w:r w:rsidRPr="002C75B8">
          <w:rPr>
            <w:sz w:val="22"/>
            <w:u w:color="0022C0"/>
            <w:lang w:val="en-US"/>
          </w:rPr>
          <w:t>Visceral leishmaniasis in Algeria.</w:t>
        </w:r>
        <w:proofErr w:type="gramEnd"/>
        <w:r w:rsidRPr="002C75B8">
          <w:rPr>
            <w:sz w:val="22"/>
            <w:u w:color="0022C0"/>
            <w:lang w:val="en-US"/>
          </w:rPr>
          <w:t xml:space="preserve"> Cases reported of visceral leishmaniasis (1985-1990)</w:t>
        </w:r>
      </w:hyperlink>
      <w:r w:rsidRPr="002C75B8">
        <w:rPr>
          <w:sz w:val="22"/>
          <w:lang w:val="en-US"/>
        </w:rPr>
        <w:t xml:space="preserve">. Bull Soc </w:t>
      </w:r>
      <w:proofErr w:type="spellStart"/>
      <w:r w:rsidRPr="002C75B8">
        <w:rPr>
          <w:sz w:val="22"/>
          <w:lang w:val="en-US"/>
        </w:rPr>
        <w:t>Pathol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Exot</w:t>
      </w:r>
      <w:proofErr w:type="spellEnd"/>
      <w:r w:rsidRPr="002C75B8">
        <w:rPr>
          <w:sz w:val="22"/>
          <w:lang w:val="en-US"/>
        </w:rPr>
        <w:t>.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85(4):296-301. </w:t>
      </w: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884800" w:rsidRPr="002A0072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  <w:r w:rsidRPr="00E76F54">
        <w:rPr>
          <w:sz w:val="22"/>
          <w:lang w:val="nl-NL"/>
        </w:rPr>
        <w:t>3. Harrat Z, Pratlong F, Belazzoug S, Dereure J, Deniau M et al</w:t>
      </w:r>
      <w:r>
        <w:rPr>
          <w:sz w:val="22"/>
          <w:lang w:val="nl-NL"/>
        </w:rPr>
        <w:t xml:space="preserve"> (1996)</w:t>
      </w:r>
      <w:r w:rsidRPr="00E76F54">
        <w:rPr>
          <w:sz w:val="22"/>
          <w:lang w:val="nl-NL"/>
        </w:rPr>
        <w:t xml:space="preserve">. </w:t>
      </w:r>
      <w:r w:rsidRPr="002A0072">
        <w:rPr>
          <w:sz w:val="22"/>
          <w:u w:color="0022C0"/>
          <w:lang w:val="en-US"/>
        </w:rPr>
        <w:t xml:space="preserve">Leishmania infantum and L. major in </w:t>
      </w:r>
      <w:smartTag w:uri="urn:schemas-microsoft-com:office:smarttags" w:element="place">
        <w:smartTag w:uri="urn:schemas-microsoft-com:office:smarttags" w:element="country-region">
          <w:r w:rsidRPr="002A0072">
            <w:rPr>
              <w:sz w:val="22"/>
              <w:u w:color="0022C0"/>
              <w:lang w:val="en-US"/>
            </w:rPr>
            <w:t>Algeria</w:t>
          </w:r>
        </w:smartTag>
      </w:smartTag>
      <w:r w:rsidRPr="002A0072">
        <w:rPr>
          <w:sz w:val="22"/>
          <w:u w:color="0022C0"/>
          <w:lang w:val="en-US"/>
        </w:rPr>
        <w:t xml:space="preserve">. </w:t>
      </w:r>
      <w:r w:rsidRPr="002A0072">
        <w:rPr>
          <w:sz w:val="22"/>
          <w:lang w:val="en-US"/>
        </w:rPr>
        <w:t xml:space="preserve">Trans R Soc </w:t>
      </w:r>
      <w:proofErr w:type="spellStart"/>
      <w:r w:rsidRPr="002A0072">
        <w:rPr>
          <w:sz w:val="22"/>
          <w:lang w:val="en-US"/>
        </w:rPr>
        <w:t>Trop</w:t>
      </w:r>
      <w:proofErr w:type="spellEnd"/>
      <w:r w:rsidRPr="002A0072">
        <w:rPr>
          <w:sz w:val="22"/>
          <w:lang w:val="en-US"/>
        </w:rPr>
        <w:t xml:space="preserve"> Med </w:t>
      </w:r>
      <w:proofErr w:type="spellStart"/>
      <w:r w:rsidRPr="002A0072">
        <w:rPr>
          <w:sz w:val="22"/>
          <w:lang w:val="en-US"/>
        </w:rPr>
        <w:t>Hyg</w:t>
      </w:r>
      <w:proofErr w:type="spellEnd"/>
      <w:r>
        <w:rPr>
          <w:sz w:val="22"/>
          <w:lang w:val="en-US"/>
        </w:rPr>
        <w:t xml:space="preserve"> </w:t>
      </w:r>
      <w:r w:rsidRPr="002A0072">
        <w:rPr>
          <w:sz w:val="22"/>
          <w:lang w:val="en-US"/>
        </w:rPr>
        <w:t>90(6):625-9.</w:t>
      </w:r>
    </w:p>
    <w:p w:rsidR="00884800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</w:p>
    <w:p w:rsidR="00884800" w:rsidRPr="002C75B8" w:rsidRDefault="00884800" w:rsidP="00884800">
      <w:pPr>
        <w:widowControl w:val="0"/>
        <w:autoSpaceDE w:val="0"/>
        <w:autoSpaceDN w:val="0"/>
        <w:adjustRightInd w:val="0"/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4. </w:t>
      </w:r>
      <w:hyperlink r:id="rId12" w:history="1">
        <w:proofErr w:type="spellStart"/>
        <w:r w:rsidRPr="002C75B8">
          <w:rPr>
            <w:sz w:val="22"/>
            <w:lang w:val="en-US"/>
          </w:rPr>
          <w:t>Benzerroug</w:t>
        </w:r>
        <w:proofErr w:type="spellEnd"/>
        <w:r w:rsidRPr="002C75B8">
          <w:rPr>
            <w:sz w:val="22"/>
            <w:lang w:val="en-US"/>
          </w:rPr>
          <w:t xml:space="preserve"> EH, </w:t>
        </w:r>
        <w:proofErr w:type="spellStart"/>
        <w:r w:rsidRPr="002C75B8">
          <w:rPr>
            <w:sz w:val="22"/>
            <w:lang w:val="en-US"/>
          </w:rPr>
          <w:t>Benhabylles</w:t>
        </w:r>
        <w:proofErr w:type="spellEnd"/>
        <w:r w:rsidRPr="002C75B8">
          <w:rPr>
            <w:sz w:val="22"/>
            <w:lang w:val="en-US"/>
          </w:rPr>
          <w:t xml:space="preserve"> N, </w:t>
        </w:r>
        <w:proofErr w:type="spellStart"/>
        <w:r w:rsidRPr="002C75B8">
          <w:rPr>
            <w:sz w:val="22"/>
            <w:lang w:val="en-US"/>
          </w:rPr>
          <w:t>Izri</w:t>
        </w:r>
        <w:proofErr w:type="spellEnd"/>
        <w:r w:rsidRPr="002C75B8">
          <w:rPr>
            <w:sz w:val="22"/>
            <w:lang w:val="en-US"/>
          </w:rPr>
          <w:t xml:space="preserve"> MA, </w:t>
        </w:r>
        <w:proofErr w:type="spellStart"/>
        <w:r w:rsidRPr="002C75B8">
          <w:rPr>
            <w:sz w:val="22"/>
            <w:lang w:val="en-US"/>
          </w:rPr>
          <w:t>Belahcene</w:t>
        </w:r>
        <w:proofErr w:type="spellEnd"/>
        <w:r w:rsidRPr="002C75B8">
          <w:rPr>
            <w:sz w:val="22"/>
            <w:lang w:val="en-US"/>
          </w:rPr>
          <w:t xml:space="preserve"> EK</w:t>
        </w:r>
        <w:r>
          <w:rPr>
            <w:sz w:val="22"/>
            <w:lang w:val="en-US"/>
          </w:rPr>
          <w:t xml:space="preserve"> (1992)</w:t>
        </w:r>
        <w:r w:rsidRPr="002C75B8">
          <w:rPr>
            <w:sz w:val="22"/>
            <w:lang w:val="en-US"/>
          </w:rPr>
          <w:t xml:space="preserve">. </w:t>
        </w:r>
        <w:proofErr w:type="gramStart"/>
        <w:r w:rsidRPr="002C75B8">
          <w:rPr>
            <w:sz w:val="22"/>
            <w:u w:color="0022C0"/>
            <w:lang w:val="en-US"/>
          </w:rPr>
          <w:t xml:space="preserve">Indoor and outdoor </w:t>
        </w:r>
        <w:proofErr w:type="spellStart"/>
        <w:r w:rsidRPr="002C75B8">
          <w:rPr>
            <w:sz w:val="22"/>
            <w:u w:color="0022C0"/>
            <w:lang w:val="en-US"/>
          </w:rPr>
          <w:t>nebulization</w:t>
        </w:r>
        <w:proofErr w:type="spellEnd"/>
        <w:r w:rsidRPr="002C75B8">
          <w:rPr>
            <w:sz w:val="22"/>
            <w:u w:color="0022C0"/>
            <w:lang w:val="en-US"/>
          </w:rPr>
          <w:t xml:space="preserve"> of DDT in the campaign against cutaneous zoonotic leishmaniasis in Algeria</w:t>
        </w:r>
      </w:hyperlink>
      <w:r w:rsidRPr="002C75B8">
        <w:rPr>
          <w:sz w:val="22"/>
          <w:lang w:val="en-US"/>
        </w:rPr>
        <w:t>.</w:t>
      </w:r>
      <w:proofErr w:type="gramEnd"/>
      <w:r w:rsidRPr="002C75B8">
        <w:rPr>
          <w:sz w:val="22"/>
          <w:lang w:val="en-US"/>
        </w:rPr>
        <w:t xml:space="preserve"> Ann Soc </w:t>
      </w:r>
      <w:proofErr w:type="spellStart"/>
      <w:r w:rsidRPr="002C75B8">
        <w:rPr>
          <w:sz w:val="22"/>
          <w:lang w:val="en-US"/>
        </w:rPr>
        <w:t>Belg</w:t>
      </w:r>
      <w:proofErr w:type="spellEnd"/>
      <w:r w:rsidRPr="002C75B8">
        <w:rPr>
          <w:sz w:val="22"/>
          <w:lang w:val="en-US"/>
        </w:rPr>
        <w:t xml:space="preserve"> Med </w:t>
      </w:r>
      <w:proofErr w:type="spellStart"/>
      <w:r w:rsidRPr="002C75B8">
        <w:rPr>
          <w:sz w:val="22"/>
          <w:lang w:val="en-US"/>
        </w:rPr>
        <w:t>Trop</w:t>
      </w:r>
      <w:proofErr w:type="spellEnd"/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72(1):5-12. </w:t>
      </w:r>
    </w:p>
    <w:p w:rsidR="002F7C1A" w:rsidRDefault="002F7C1A" w:rsidP="00884800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946"/>
    <w:multiLevelType w:val="hybridMultilevel"/>
    <w:tmpl w:val="D8B66E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4800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14431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84800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00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00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/1567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/144617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/1036477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9586776859504161E-2"/>
          <c:w val="0.90401146131805155"/>
          <c:h val="0.739669421487603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2"/>
                <c:pt idx="0">
                  <c:v>89</c:v>
                </c:pt>
                <c:pt idx="1">
                  <c:v>231</c:v>
                </c:pt>
                <c:pt idx="2">
                  <c:v>183</c:v>
                </c:pt>
                <c:pt idx="3">
                  <c:v>221</c:v>
                </c:pt>
                <c:pt idx="4">
                  <c:v>146</c:v>
                </c:pt>
                <c:pt idx="5">
                  <c:v>123</c:v>
                </c:pt>
                <c:pt idx="6">
                  <c:v>106</c:v>
                </c:pt>
                <c:pt idx="7">
                  <c:v>154</c:v>
                </c:pt>
                <c:pt idx="8">
                  <c:v>109</c:v>
                </c:pt>
                <c:pt idx="9">
                  <c:v>106</c:v>
                </c:pt>
                <c:pt idx="10">
                  <c:v>104</c:v>
                </c:pt>
                <c:pt idx="11">
                  <c:v>80</c:v>
                </c:pt>
              </c:numCache>
            </c:numRef>
          </c:val>
        </c:ser>
        <c:gapDepth val="0"/>
        <c:shape val="box"/>
        <c:axId val="392246784"/>
        <c:axId val="524765056"/>
        <c:axId val="0"/>
      </c:bar3DChart>
      <c:catAx>
        <c:axId val="392246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765056"/>
        <c:crosses val="autoZero"/>
        <c:auto val="1"/>
        <c:lblAlgn val="ctr"/>
        <c:lblOffset val="100"/>
        <c:tickLblSkip val="1"/>
        <c:tickMarkSkip val="1"/>
      </c:catAx>
      <c:valAx>
        <c:axId val="5247650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2246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2307692307692331E-2"/>
          <c:w val="0.90401146131805155"/>
          <c:h val="0.761538461538461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1"/>
                <c:pt idx="0">
                  <c:v>2253</c:v>
                </c:pt>
                <c:pt idx="1">
                  <c:v>1985</c:v>
                </c:pt>
                <c:pt idx="2">
                  <c:v>1444</c:v>
                </c:pt>
                <c:pt idx="3">
                  <c:v>1403</c:v>
                </c:pt>
                <c:pt idx="4">
                  <c:v>2486</c:v>
                </c:pt>
                <c:pt idx="5">
                  <c:v>4576</c:v>
                </c:pt>
                <c:pt idx="6">
                  <c:v>5137</c:v>
                </c:pt>
                <c:pt idx="7">
                  <c:v>815</c:v>
                </c:pt>
                <c:pt idx="8">
                  <c:v>4482</c:v>
                </c:pt>
                <c:pt idx="9">
                  <c:v>2022</c:v>
                </c:pt>
                <c:pt idx="10">
                  <c:v>2254</c:v>
                </c:pt>
              </c:numCache>
            </c:numRef>
          </c:val>
        </c:ser>
        <c:gapDepth val="0"/>
        <c:shape val="box"/>
        <c:axId val="525042816"/>
        <c:axId val="525044352"/>
        <c:axId val="0"/>
      </c:bar3DChart>
      <c:catAx>
        <c:axId val="52504281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44352"/>
        <c:crosses val="autoZero"/>
        <c:auto val="1"/>
        <c:lblAlgn val="ctr"/>
        <c:lblOffset val="100"/>
        <c:tickLblSkip val="1"/>
        <c:tickMarkSkip val="1"/>
      </c:catAx>
      <c:valAx>
        <c:axId val="525044352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42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2012-04-01T19:10:00Z</dcterms:created>
  <dcterms:modified xsi:type="dcterms:W3CDTF">2012-04-01T19:14:00Z</dcterms:modified>
</cp:coreProperties>
</file>