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C" w:rsidRPr="00BC2D7B" w:rsidRDefault="0068464C" w:rsidP="0068464C">
      <w:pPr>
        <w:keepNext/>
        <w:spacing w:before="100" w:beforeAutospacing="1" w:after="100" w:afterAutospacing="1"/>
        <w:rPr>
          <w:b/>
        </w:rPr>
      </w:pPr>
      <w:r w:rsidRPr="00BC2D7B">
        <w:rPr>
          <w:b/>
        </w:rPr>
        <w:t>Table S4. Sensitivity of program cost estimates to trends in ARV price and co</w:t>
      </w:r>
      <w:r>
        <w:rPr>
          <w:b/>
        </w:rPr>
        <w:t>verage of viral load monitoring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68464C" w:rsidRPr="00A9572B" w:rsidTr="00306647">
        <w:tc>
          <w:tcPr>
            <w:tcW w:w="2954" w:type="dxa"/>
          </w:tcPr>
          <w:p w:rsidR="0068464C" w:rsidRPr="00A9572B" w:rsidRDefault="0068464C" w:rsidP="00306647">
            <w:pPr>
              <w:keepNext/>
              <w:spacing w:before="100" w:beforeAutospacing="1" w:after="100" w:afterAutospacing="1"/>
              <w:rPr>
                <w:b/>
              </w:rPr>
            </w:pPr>
            <w:r w:rsidRPr="00A9572B">
              <w:rPr>
                <w:b/>
              </w:rPr>
              <w:t>Alternative assumptions</w:t>
            </w:r>
          </w:p>
        </w:tc>
        <w:tc>
          <w:tcPr>
            <w:tcW w:w="2954" w:type="dxa"/>
          </w:tcPr>
          <w:p w:rsidR="0068464C" w:rsidRPr="00A9572B" w:rsidRDefault="0068464C" w:rsidP="00306647">
            <w:pPr>
              <w:keepNext/>
              <w:spacing w:before="100" w:beforeAutospacing="1" w:after="100" w:afterAutospacing="1"/>
              <w:rPr>
                <w:b/>
              </w:rPr>
            </w:pPr>
            <w:r w:rsidRPr="00A9572B">
              <w:rPr>
                <w:b/>
              </w:rPr>
              <w:t>Change in 10-year program cost (discounted)</w:t>
            </w:r>
          </w:p>
        </w:tc>
        <w:tc>
          <w:tcPr>
            <w:tcW w:w="2954" w:type="dxa"/>
          </w:tcPr>
          <w:p w:rsidR="0068464C" w:rsidRPr="00A9572B" w:rsidRDefault="0068464C" w:rsidP="00306647">
            <w:pPr>
              <w:keepNext/>
              <w:spacing w:before="100" w:beforeAutospacing="1" w:after="100" w:afterAutospacing="1"/>
              <w:rPr>
                <w:b/>
              </w:rPr>
            </w:pPr>
            <w:r w:rsidRPr="00A9572B">
              <w:rPr>
                <w:b/>
              </w:rPr>
              <w:t>Change as a percent of base case</w:t>
            </w:r>
          </w:p>
        </w:tc>
      </w:tr>
      <w:tr w:rsidR="0068464C" w:rsidRPr="00A9572B" w:rsidTr="00306647"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First-line ARV cost decline by 5% per year through 2020 and second-line ARV cost declines 15% per year until 2015</w:t>
            </w:r>
          </w:p>
        </w:tc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$2.1 billion</w:t>
            </w:r>
          </w:p>
        </w:tc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15%</w:t>
            </w:r>
          </w:p>
        </w:tc>
      </w:tr>
      <w:tr w:rsidR="0068464C" w:rsidRPr="00A9572B" w:rsidTr="00306647"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Viral load monitoring uptake increases transition rate to second-line regimens from 2.6% per year to 6% per year</w:t>
            </w:r>
          </w:p>
        </w:tc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$3.5 billion</w:t>
            </w:r>
          </w:p>
        </w:tc>
        <w:tc>
          <w:tcPr>
            <w:tcW w:w="2954" w:type="dxa"/>
          </w:tcPr>
          <w:p w:rsidR="0068464C" w:rsidRPr="006871FA" w:rsidRDefault="0068464C" w:rsidP="00306647">
            <w:pPr>
              <w:keepNext/>
              <w:spacing w:before="100" w:beforeAutospacing="1" w:after="100" w:afterAutospacing="1"/>
            </w:pPr>
            <w:r w:rsidRPr="006871FA">
              <w:t>25%</w:t>
            </w:r>
          </w:p>
        </w:tc>
      </w:tr>
    </w:tbl>
    <w:p w:rsidR="00322031" w:rsidRDefault="00322031"/>
    <w:sectPr w:rsidR="0032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4C"/>
    <w:rsid w:val="00322031"/>
    <w:rsid w:val="006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CHDS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1</cp:revision>
  <dcterms:created xsi:type="dcterms:W3CDTF">2011-09-15T13:37:00Z</dcterms:created>
  <dcterms:modified xsi:type="dcterms:W3CDTF">2011-09-15T13:37:00Z</dcterms:modified>
</cp:coreProperties>
</file>