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17B8" w:rsidRPr="00EF6C4E" w:rsidRDefault="005E17B8" w:rsidP="00415958">
      <w:pPr>
        <w:spacing w:line="360" w:lineRule="auto"/>
        <w:outlineLvl w:val="0"/>
        <w:rPr>
          <w:rFonts w:ascii="Calibri" w:hAnsi="Calibri"/>
          <w:b/>
          <w:sz w:val="24"/>
          <w:szCs w:val="22"/>
        </w:rPr>
      </w:pPr>
      <w:r w:rsidRPr="00EF6C4E">
        <w:rPr>
          <w:rFonts w:ascii="Calibri" w:hAnsi="Calibri"/>
          <w:b/>
          <w:sz w:val="24"/>
          <w:szCs w:val="22"/>
        </w:rPr>
        <w:t>Su</w:t>
      </w:r>
      <w:r w:rsidR="00AC61F2">
        <w:rPr>
          <w:rFonts w:ascii="Calibri" w:hAnsi="Calibri"/>
          <w:b/>
          <w:sz w:val="24"/>
          <w:szCs w:val="22"/>
        </w:rPr>
        <w:t>pporting Information</w:t>
      </w:r>
      <w:r w:rsidRPr="00EF6C4E">
        <w:rPr>
          <w:rFonts w:ascii="Calibri" w:hAnsi="Calibri"/>
          <w:b/>
          <w:sz w:val="24"/>
          <w:szCs w:val="22"/>
        </w:rPr>
        <w:t xml:space="preserve"> S1. Extended </w:t>
      </w:r>
      <w:r w:rsidR="00E70029" w:rsidRPr="00EF6C4E">
        <w:rPr>
          <w:rFonts w:ascii="Calibri" w:hAnsi="Calibri"/>
          <w:b/>
          <w:sz w:val="24"/>
          <w:szCs w:val="22"/>
        </w:rPr>
        <w:t>Methods, Results and Sensitivity Analysis</w:t>
      </w:r>
    </w:p>
    <w:p w:rsidR="005E17B8" w:rsidRPr="00EF6C4E" w:rsidRDefault="005E17B8" w:rsidP="00415958">
      <w:pPr>
        <w:spacing w:line="360" w:lineRule="auto"/>
        <w:outlineLvl w:val="0"/>
        <w:rPr>
          <w:rFonts w:ascii="Calibri" w:hAnsi="Calibri"/>
          <w:b/>
          <w:sz w:val="24"/>
          <w:szCs w:val="22"/>
        </w:rPr>
      </w:pPr>
    </w:p>
    <w:p w:rsidR="00415958" w:rsidRPr="00EF6C4E" w:rsidRDefault="004065B4" w:rsidP="00415958">
      <w:pPr>
        <w:spacing w:line="360" w:lineRule="auto"/>
        <w:rPr>
          <w:rFonts w:ascii="Calibri" w:hAnsi="Calibri"/>
          <w:b/>
          <w:sz w:val="24"/>
          <w:szCs w:val="22"/>
        </w:rPr>
      </w:pPr>
      <w:r w:rsidRPr="00EF6C4E">
        <w:rPr>
          <w:rFonts w:ascii="Calibri" w:hAnsi="Calibri"/>
          <w:b/>
          <w:sz w:val="24"/>
          <w:szCs w:val="22"/>
        </w:rPr>
        <w:t>Expanded m</w:t>
      </w:r>
      <w:r w:rsidR="00415958" w:rsidRPr="00EF6C4E">
        <w:rPr>
          <w:rFonts w:ascii="Calibri" w:hAnsi="Calibri"/>
          <w:b/>
          <w:sz w:val="24"/>
          <w:szCs w:val="22"/>
        </w:rPr>
        <w:t>odel description</w:t>
      </w:r>
      <w:r w:rsidR="00541FFC">
        <w:rPr>
          <w:rFonts w:ascii="Calibri" w:hAnsi="Calibri"/>
          <w:b/>
          <w:sz w:val="24"/>
          <w:szCs w:val="22"/>
        </w:rPr>
        <w:t xml:space="preserve"> </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A set of deterministic compartmental models were developed, which can be expressed as sets of differential equations. For each model, the equations were integrated using the fourth order Runge-Kutta method with a time-step of 0.5 days using Berkeley-Madonna software (version 8). Results of the model were consistent when time-step size was varied between 0.02 and 1 day.</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For simplicity, there is no mosquito component </w:t>
      </w:r>
      <w:r w:rsidR="002475B4" w:rsidRPr="00EF6C4E">
        <w:rPr>
          <w:rFonts w:ascii="Calibri" w:hAnsi="Calibri"/>
          <w:sz w:val="24"/>
          <w:szCs w:val="22"/>
        </w:rPr>
        <w:t>in the model;</w:t>
      </w:r>
      <w:r w:rsidRPr="00EF6C4E">
        <w:rPr>
          <w:rFonts w:ascii="Calibri" w:hAnsi="Calibri"/>
          <w:sz w:val="24"/>
          <w:szCs w:val="22"/>
        </w:rPr>
        <w:t xml:space="preserve"> this is replaced with a function fitted to EIR data from the Navrongo site (described in detail below).  Implicitly, this approach assumes that the IPT interventions applied to infants do not influence the population-level of transmission. The infection status of the human population is </w:t>
      </w:r>
      <w:r w:rsidR="00255CF5">
        <w:rPr>
          <w:rFonts w:ascii="Calibri" w:hAnsi="Calibri"/>
          <w:sz w:val="24"/>
          <w:szCs w:val="22"/>
        </w:rPr>
        <w:t>described by a compartmental model developed by a series of extensions to the well-known</w:t>
      </w:r>
      <w:r w:rsidR="002475B4" w:rsidRPr="00EF6C4E">
        <w:rPr>
          <w:rFonts w:ascii="Calibri" w:hAnsi="Calibri"/>
          <w:sz w:val="24"/>
          <w:szCs w:val="22"/>
        </w:rPr>
        <w:t xml:space="preserve"> </w:t>
      </w:r>
      <w:r w:rsidRPr="00EF6C4E">
        <w:rPr>
          <w:rFonts w:ascii="Calibri" w:hAnsi="Calibri"/>
          <w:sz w:val="24"/>
          <w:szCs w:val="22"/>
        </w:rPr>
        <w:t>Ross-MacDonald</w:t>
      </w:r>
      <w:r w:rsidR="002475B4" w:rsidRPr="00EF6C4E">
        <w:rPr>
          <w:rFonts w:ascii="Calibri" w:hAnsi="Calibri"/>
          <w:sz w:val="24"/>
          <w:szCs w:val="22"/>
        </w:rPr>
        <w:t xml:space="preserve"> model</w:t>
      </w:r>
      <w:r w:rsidR="00255CF5">
        <w:rPr>
          <w:rFonts w:ascii="Calibri" w:hAnsi="Calibri"/>
          <w:sz w:val="24"/>
          <w:szCs w:val="22"/>
        </w:rPr>
        <w:t xml:space="preserve"> of malaria transmission</w:t>
      </w:r>
      <w:r w:rsidR="002475B4" w:rsidRPr="00EF6C4E">
        <w:rPr>
          <w:rFonts w:ascii="Calibri" w:hAnsi="Calibri"/>
          <w:sz w:val="24"/>
          <w:szCs w:val="22"/>
        </w:rPr>
        <w:t xml:space="preserve">. </w:t>
      </w:r>
      <w:r w:rsidRPr="00EF6C4E">
        <w:rPr>
          <w:rFonts w:ascii="Calibri" w:hAnsi="Calibri"/>
          <w:sz w:val="24"/>
          <w:szCs w:val="22"/>
        </w:rPr>
        <w:t>The key amendments in the basic model are the incorporation of 1) a latent period between infection and development of parasitaemia, 2) superinfection, 3) distinction between symptomatic and asymptomatic parasitaemia, and 4) the effect of treatment. Incorporation of the effect of IPT and seasonal changes in transmission intensity are discussed in a separate section later.</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 xml:space="preserve">An overview of the basic model structure is shown in figure </w:t>
      </w:r>
      <w:r w:rsidR="0068531B" w:rsidRPr="00EF6C4E">
        <w:rPr>
          <w:rFonts w:ascii="Calibri" w:hAnsi="Calibri"/>
          <w:sz w:val="24"/>
          <w:szCs w:val="22"/>
        </w:rPr>
        <w:t>S1</w:t>
      </w:r>
      <w:r w:rsidRPr="00EF6C4E">
        <w:rPr>
          <w:rFonts w:ascii="Calibri" w:hAnsi="Calibri"/>
          <w:sz w:val="24"/>
          <w:szCs w:val="22"/>
        </w:rPr>
        <w:t xml:space="preserve">. A description of the meaning of parameters for reference is given in table </w:t>
      </w:r>
      <w:r w:rsidR="0068531B" w:rsidRPr="00EF6C4E">
        <w:rPr>
          <w:rFonts w:ascii="Calibri" w:hAnsi="Calibri"/>
          <w:sz w:val="24"/>
          <w:szCs w:val="22"/>
        </w:rPr>
        <w:t>S1</w:t>
      </w:r>
      <w:r w:rsidRPr="00EF6C4E">
        <w:rPr>
          <w:rFonts w:ascii="Calibri" w:hAnsi="Calibri"/>
          <w:sz w:val="24"/>
          <w:szCs w:val="22"/>
        </w:rPr>
        <w:t xml:space="preserve">. Values of the parameters and references from the literature related to these are given in table </w:t>
      </w:r>
      <w:r w:rsidR="00845607" w:rsidRPr="00EF6C4E">
        <w:rPr>
          <w:rFonts w:ascii="Calibri" w:hAnsi="Calibri"/>
          <w:sz w:val="24"/>
          <w:szCs w:val="22"/>
        </w:rPr>
        <w:t>S3</w:t>
      </w:r>
      <w:r w:rsidRPr="00EF6C4E">
        <w:rPr>
          <w:rFonts w:ascii="Calibri" w:hAnsi="Calibri"/>
          <w:sz w:val="24"/>
          <w:szCs w:val="22"/>
        </w:rPr>
        <w:t xml:space="preserve">. Developments and refinements to the model are explained as appropriate. </w:t>
      </w:r>
    </w:p>
    <w:p w:rsidR="00415958" w:rsidRPr="00EF6C4E" w:rsidRDefault="00415958" w:rsidP="00415958">
      <w:pPr>
        <w:spacing w:line="360" w:lineRule="auto"/>
        <w:rPr>
          <w:rFonts w:ascii="Calibri" w:hAnsi="Calibri"/>
          <w:b/>
          <w:sz w:val="24"/>
          <w:szCs w:val="22"/>
        </w:rPr>
      </w:pPr>
    </w:p>
    <w:p w:rsidR="00415958" w:rsidRPr="00EF6C4E" w:rsidRDefault="002475B4" w:rsidP="00415958">
      <w:pPr>
        <w:spacing w:line="360" w:lineRule="auto"/>
        <w:rPr>
          <w:rFonts w:ascii="Calibri" w:hAnsi="Calibri"/>
          <w:b/>
          <w:sz w:val="24"/>
          <w:szCs w:val="22"/>
          <w:u w:val="single"/>
        </w:rPr>
      </w:pPr>
      <w:r w:rsidRPr="00EF6C4E">
        <w:rPr>
          <w:rFonts w:ascii="Calibri" w:hAnsi="Calibri"/>
          <w:b/>
          <w:sz w:val="24"/>
          <w:szCs w:val="22"/>
        </w:rPr>
        <w:br w:type="page"/>
      </w:r>
      <w:r w:rsidR="00415958" w:rsidRPr="00EF6C4E">
        <w:rPr>
          <w:rFonts w:ascii="Calibri" w:hAnsi="Calibri"/>
          <w:b/>
          <w:sz w:val="24"/>
          <w:szCs w:val="22"/>
        </w:rPr>
        <w:lastRenderedPageBreak/>
        <w:t xml:space="preserve">Figure </w:t>
      </w:r>
      <w:r w:rsidR="0068531B" w:rsidRPr="00EF6C4E">
        <w:rPr>
          <w:rFonts w:ascii="Calibri" w:hAnsi="Calibri"/>
          <w:b/>
          <w:sz w:val="24"/>
          <w:szCs w:val="22"/>
        </w:rPr>
        <w:t>S1</w:t>
      </w:r>
      <w:r w:rsidR="00B96760" w:rsidRPr="00EF6C4E">
        <w:rPr>
          <w:rFonts w:ascii="Calibri" w:hAnsi="Calibri"/>
          <w:b/>
          <w:sz w:val="24"/>
          <w:szCs w:val="22"/>
        </w:rPr>
        <w:t>.</w:t>
      </w:r>
      <w:r w:rsidR="00415958" w:rsidRPr="00EF6C4E">
        <w:rPr>
          <w:rFonts w:ascii="Calibri" w:hAnsi="Calibri"/>
          <w:b/>
          <w:sz w:val="24"/>
          <w:szCs w:val="22"/>
        </w:rPr>
        <w:t xml:space="preserve"> Simplified view of the model structure</w:t>
      </w:r>
    </w:p>
    <w:p w:rsidR="00415958" w:rsidRPr="00EF6C4E" w:rsidRDefault="00AA2259" w:rsidP="00415958">
      <w:pPr>
        <w:rPr>
          <w:rFonts w:ascii="Calibri" w:hAnsi="Calibri"/>
          <w:sz w:val="24"/>
          <w:szCs w:val="22"/>
        </w:rPr>
      </w:pPr>
      <w:r>
        <w:rPr>
          <w:rFonts w:ascii="Calibri" w:hAnsi="Calibri"/>
          <w:sz w:val="24"/>
          <w:szCs w:val="22"/>
        </w:rPr>
      </w:r>
      <w:r>
        <w:rPr>
          <w:rFonts w:ascii="Calibri" w:hAnsi="Calibri"/>
          <w:sz w:val="24"/>
          <w:szCs w:val="22"/>
        </w:rPr>
        <w:pict>
          <v:group id="_x0000_s1231" editas="canvas" style="width:342.15pt;height:178.05pt;mso-position-horizontal-relative:char;mso-position-vertical-relative:line" coordorigin="1711,3584" coordsize="7948,4236">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32" type="#_x0000_t75" style="position:absolute;left:1711;top:3584;width:7948;height:4236" o:preferrelative="f">
              <v:fill o:detectmouseclick="t"/>
              <v:path o:extrusionok="t" o:connecttype="none"/>
              <o:lock v:ext="edit" text="t"/>
            </v:shape>
            <v:shapetype id="_x0000_t202" coordsize="21600,21600" o:spt="202" path="m,l,21600r21600,l21600,xe">
              <v:stroke joinstyle="miter"/>
              <v:path gradientshapeok="t" o:connecttype="rect"/>
            </v:shapetype>
            <v:shape id="_x0000_s1233" type="#_x0000_t202" style="position:absolute;left:2849;top:5467;width:837;height:772">
              <v:textbox style="mso-next-textbox:#_x0000_s1233" inset="1.82881mm,.91439mm,1.82881mm,.91439mm">
                <w:txbxContent>
                  <w:p w:rsidR="00896728" w:rsidRPr="002C2DA3" w:rsidRDefault="00896728" w:rsidP="00415958">
                    <w:pPr>
                      <w:jc w:val="center"/>
                      <w:rPr>
                        <w:sz w:val="17"/>
                      </w:rPr>
                    </w:pPr>
                  </w:p>
                  <w:p w:rsidR="00896728" w:rsidRPr="002C2DA3" w:rsidRDefault="00896728" w:rsidP="00415958">
                    <w:pPr>
                      <w:jc w:val="center"/>
                      <w:rPr>
                        <w:sz w:val="17"/>
                      </w:rPr>
                    </w:pPr>
                    <w:r w:rsidRPr="002C2DA3">
                      <w:rPr>
                        <w:sz w:val="17"/>
                      </w:rPr>
                      <w:t>U</w:t>
                    </w:r>
                  </w:p>
                </w:txbxContent>
              </v:textbox>
            </v:shape>
            <v:shape id="_x0000_s1234" type="#_x0000_t202" style="position:absolute;left:4439;top:5467;width:837;height:772">
              <v:textbox style="mso-next-textbox:#_x0000_s1234" inset="1.82881mm,.91439mm,1.82881mm,.91439mm">
                <w:txbxContent>
                  <w:p w:rsidR="00896728" w:rsidRPr="002C2DA3" w:rsidRDefault="00896728" w:rsidP="00415958">
                    <w:pPr>
                      <w:jc w:val="center"/>
                      <w:rPr>
                        <w:sz w:val="17"/>
                      </w:rPr>
                    </w:pPr>
                  </w:p>
                  <w:p w:rsidR="00896728" w:rsidRPr="002C2DA3" w:rsidRDefault="00896728" w:rsidP="00415958">
                    <w:pPr>
                      <w:jc w:val="center"/>
                      <w:rPr>
                        <w:sz w:val="17"/>
                        <w:vertAlign w:val="subscript"/>
                      </w:rPr>
                    </w:pPr>
                    <w:r w:rsidRPr="002C2DA3">
                      <w:rPr>
                        <w:sz w:val="17"/>
                      </w:rPr>
                      <w:t>E</w:t>
                    </w:r>
                    <w:r w:rsidRPr="002C2DA3">
                      <w:rPr>
                        <w:sz w:val="17"/>
                        <w:vertAlign w:val="subscript"/>
                      </w:rPr>
                      <w:t>1</w:t>
                    </w:r>
                  </w:p>
                </w:txbxContent>
              </v:textbox>
            </v:shape>
            <v:shape id="_x0000_s1235" type="#_x0000_t202" style="position:absolute;left:6449;top:6701;width:835;height:773">
              <v:textbox style="mso-next-textbox:#_x0000_s1235" inset="1.82881mm,.91439mm,1.82881mm,.91439mm">
                <w:txbxContent>
                  <w:p w:rsidR="00896728" w:rsidRPr="002C2DA3" w:rsidRDefault="00896728" w:rsidP="00415958">
                    <w:pPr>
                      <w:jc w:val="center"/>
                      <w:rPr>
                        <w:sz w:val="17"/>
                      </w:rPr>
                    </w:pPr>
                  </w:p>
                  <w:p w:rsidR="00896728" w:rsidRPr="002C2DA3" w:rsidRDefault="00896728" w:rsidP="00415958">
                    <w:pPr>
                      <w:jc w:val="center"/>
                      <w:rPr>
                        <w:sz w:val="17"/>
                        <w:vertAlign w:val="subscript"/>
                      </w:rPr>
                    </w:pPr>
                    <w:r w:rsidRPr="002C2DA3">
                      <w:rPr>
                        <w:sz w:val="17"/>
                      </w:rPr>
                      <w:t>A</w:t>
                    </w:r>
                  </w:p>
                </w:txbxContent>
              </v:textbox>
            </v:shape>
            <v:shape id="_x0000_s1236" type="#_x0000_t202" style="position:absolute;left:6449;top:4233;width:835;height:771">
              <v:textbox style="mso-next-textbox:#_x0000_s1236" inset="1.82881mm,.91439mm,1.82881mm,.91439mm">
                <w:txbxContent>
                  <w:p w:rsidR="00896728" w:rsidRPr="002C2DA3" w:rsidRDefault="00896728" w:rsidP="00415958">
                    <w:pPr>
                      <w:jc w:val="center"/>
                      <w:rPr>
                        <w:sz w:val="17"/>
                      </w:rPr>
                    </w:pPr>
                  </w:p>
                  <w:p w:rsidR="00896728" w:rsidRPr="002C2DA3" w:rsidRDefault="00896728" w:rsidP="00415958">
                    <w:pPr>
                      <w:jc w:val="center"/>
                      <w:rPr>
                        <w:sz w:val="17"/>
                      </w:rPr>
                    </w:pPr>
                    <w:r w:rsidRPr="002C2DA3">
                      <w:rPr>
                        <w:sz w:val="17"/>
                      </w:rPr>
                      <w:t>S</w:t>
                    </w:r>
                  </w:p>
                </w:txbxContent>
              </v:textbox>
            </v:shape>
            <v:line id="_x0000_s1237" style="position:absolute" from="3687,5831" to="4441,5832">
              <v:stroke endarrow="block"/>
            </v:line>
            <v:shapetype id="_x0000_t32" coordsize="21600,21600" o:spt="32" o:oned="t" path="m,l21600,21600e" filled="f">
              <v:path arrowok="t" fillok="f" o:connecttype="none"/>
              <o:lock v:ext="edit" shapetype="t"/>
            </v:shapetype>
            <v:shape id="_x0000_s1238" type="#_x0000_t32" style="position:absolute;left:5276;top:5854;width:1173;height:1233" o:connectortype="straight">
              <v:stroke endarrow="block"/>
            </v:shape>
            <v:shape id="_x0000_s1239" type="#_x0000_t32" style="position:absolute;left:5276;top:4619;width:1173;height:1235;flip:y"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40" type="#_x0000_t34" style="position:absolute;left:4450;top:3050;width:1234;height:3600;rotation:270;flip:x y" o:connectortype="elbow" adj="-7499,16749,129079">
              <v:stroke endarrow="block"/>
            </v:shape>
            <v:shape id="_x0000_s1241" type="#_x0000_t34" style="position:absolute;left:4449;top:5057;width:1235;height:3600;rotation:90;flip:y" o:connectortype="elbow" adj="-7491,-35735,128955">
              <v:stroke endarrow="block"/>
            </v:shape>
            <v:shape id="_x0000_s1242" type="#_x0000_t202" style="position:absolute;left:8676;top:4224;width:837;height:772">
              <v:textbox style="mso-next-textbox:#_x0000_s1242" inset="1.82881mm,.91439mm,1.82881mm,.91439mm">
                <w:txbxContent>
                  <w:p w:rsidR="00896728" w:rsidRPr="002C2DA3" w:rsidRDefault="00896728" w:rsidP="00415958">
                    <w:pPr>
                      <w:jc w:val="center"/>
                      <w:rPr>
                        <w:sz w:val="17"/>
                      </w:rPr>
                    </w:pPr>
                  </w:p>
                  <w:p w:rsidR="00896728" w:rsidRPr="002C2DA3" w:rsidRDefault="00896728" w:rsidP="00415958">
                    <w:pPr>
                      <w:jc w:val="center"/>
                      <w:rPr>
                        <w:sz w:val="17"/>
                        <w:vertAlign w:val="subscript"/>
                      </w:rPr>
                    </w:pPr>
                    <w:r w:rsidRPr="002C2DA3">
                      <w:rPr>
                        <w:sz w:val="17"/>
                      </w:rPr>
                      <w:t>E</w:t>
                    </w:r>
                    <w:r w:rsidRPr="002C2DA3">
                      <w:rPr>
                        <w:sz w:val="17"/>
                        <w:vertAlign w:val="subscript"/>
                      </w:rPr>
                      <w:t>2</w:t>
                    </w:r>
                  </w:p>
                </w:txbxContent>
              </v:textbox>
            </v:shape>
            <v:shape id="_x0000_s1243" type="#_x0000_t32" style="position:absolute;left:7284;top:4610;width:1392;height:9;flip:x" o:connectortype="straight">
              <v:stroke endarrow="block"/>
            </v:shape>
            <v:shape id="_x0000_s1244" type="#_x0000_t32" style="position:absolute;left:7302;top:4980;width:1470;height:1717;flip:y" o:connectortype="straight">
              <v:stroke endarrow="block"/>
            </v:shape>
            <v:shape id="_x0000_s1245" type="#_x0000_t32" style="position:absolute;left:6867;top:4610;width:1809;height:2091;flip:x" o:connectortype="straight">
              <v:stroke endarrow="block"/>
            </v:shape>
            <v:shape id="_x0000_s1246" type="#_x0000_t202" style="position:absolute;left:3760;top:5312;width:1087;height:413" filled="f" stroked="f">
              <v:fill opacity="0"/>
              <v:textbox style="mso-next-textbox:#_x0000_s1246" inset="6.48pt,3.24pt,6.48pt,3.24pt">
                <w:txbxContent>
                  <w:p w:rsidR="00896728" w:rsidRPr="002C2DA3" w:rsidRDefault="00896728" w:rsidP="00415958">
                    <w:pPr>
                      <w:rPr>
                        <w:rFonts w:ascii="Times New Roman" w:hAnsi="Times New Roman"/>
                        <w:i/>
                        <w:sz w:val="22"/>
                      </w:rPr>
                    </w:pPr>
                    <w:r w:rsidRPr="002C2DA3">
                      <w:rPr>
                        <w:rFonts w:ascii="Times New Roman" w:hAnsi="Times New Roman"/>
                        <w:i/>
                        <w:sz w:val="22"/>
                      </w:rPr>
                      <w:t>λ</w:t>
                    </w:r>
                    <w:r>
                      <w:rPr>
                        <w:rFonts w:ascii="Times New Roman" w:hAnsi="Times New Roman"/>
                        <w:i/>
                        <w:sz w:val="22"/>
                      </w:rPr>
                      <w:t>(t)</w:t>
                    </w:r>
                  </w:p>
                </w:txbxContent>
              </v:textbox>
            </v:shape>
            <v:shape id="_x0000_s1247" type="#_x0000_t202" style="position:absolute;left:7943;top:5698;width:1201;height:385" filled="f" stroked="f">
              <v:fill opacity="0"/>
              <v:textbox style="mso-next-textbox:#_x0000_s1247" inset="6.48pt,3.24pt,6.48pt,3.24pt">
                <w:txbxContent>
                  <w:p w:rsidR="00896728" w:rsidRPr="002C2DA3" w:rsidRDefault="00896728" w:rsidP="00415958">
                    <w:pPr>
                      <w:rPr>
                        <w:rFonts w:ascii="Times New Roman" w:hAnsi="Times New Roman"/>
                        <w:i/>
                        <w:sz w:val="22"/>
                      </w:rPr>
                    </w:pPr>
                    <w:r w:rsidRPr="002C2DA3">
                      <w:rPr>
                        <w:rFonts w:ascii="Times New Roman" w:hAnsi="Times New Roman"/>
                        <w:i/>
                        <w:sz w:val="22"/>
                      </w:rPr>
                      <w:t>λ</w:t>
                    </w:r>
                    <w:r>
                      <w:rPr>
                        <w:rFonts w:ascii="Times New Roman" w:hAnsi="Times New Roman"/>
                        <w:i/>
                        <w:sz w:val="22"/>
                      </w:rPr>
                      <w:t>(t)</w:t>
                    </w:r>
                  </w:p>
                </w:txbxContent>
              </v:textbox>
            </v:shape>
            <v:shape id="_x0000_s1248" type="#_x0000_t202" style="position:absolute;left:5316;top:4746;width:732;height:578" filled="f" stroked="f">
              <v:fill opacity="0"/>
              <v:textbox style="mso-next-textbox:#_x0000_s1248" inset="6.48pt,3.24pt,6.48pt,3.24pt">
                <w:txbxContent>
                  <w:p w:rsidR="00896728" w:rsidRPr="002C2DA3" w:rsidRDefault="00896728" w:rsidP="00415958">
                    <w:pPr>
                      <w:rPr>
                        <w:rFonts w:ascii="Times New Roman" w:hAnsi="Times New Roman"/>
                        <w:sz w:val="22"/>
                        <w:vertAlign w:val="subscript"/>
                      </w:rPr>
                    </w:pPr>
                    <w:r w:rsidRPr="002C2DA3">
                      <w:rPr>
                        <w:rFonts w:ascii="Times New Roman" w:hAnsi="Times New Roman"/>
                        <w:sz w:val="22"/>
                      </w:rPr>
                      <w:t>θ</w:t>
                    </w:r>
                    <w:r w:rsidRPr="002C2DA3">
                      <w:rPr>
                        <w:rFonts w:ascii="Times New Roman" w:hAnsi="Times New Roman"/>
                        <w:i/>
                        <w:sz w:val="22"/>
                      </w:rPr>
                      <w:t xml:space="preserve"> f</w:t>
                    </w:r>
                  </w:p>
                </w:txbxContent>
              </v:textbox>
            </v:shape>
            <v:shape id="_x0000_s1249" type="#_x0000_t202" style="position:absolute;left:4953;top:6469;width:1359;height:578" filled="f" stroked="f">
              <v:fill opacity="0"/>
              <v:textbox style="mso-next-textbox:#_x0000_s1249" inset="6.48pt,3.24pt,6.48pt,3.24pt">
                <w:txbxContent>
                  <w:p w:rsidR="00896728" w:rsidRPr="002C2DA3" w:rsidRDefault="00896728" w:rsidP="00415958">
                    <w:pPr>
                      <w:rPr>
                        <w:rFonts w:ascii="Times New Roman" w:hAnsi="Times New Roman"/>
                        <w:sz w:val="22"/>
                      </w:rPr>
                    </w:pPr>
                    <w:r w:rsidRPr="002C2DA3">
                      <w:rPr>
                        <w:rFonts w:ascii="Times New Roman" w:hAnsi="Times New Roman"/>
                        <w:sz w:val="22"/>
                      </w:rPr>
                      <w:t>(1-θ)</w:t>
                    </w:r>
                    <w:r w:rsidRPr="002C2DA3">
                      <w:rPr>
                        <w:rFonts w:ascii="Times New Roman" w:hAnsi="Times New Roman"/>
                        <w:i/>
                        <w:sz w:val="22"/>
                      </w:rPr>
                      <w:t xml:space="preserve"> f</w:t>
                    </w:r>
                  </w:p>
                </w:txbxContent>
              </v:textbox>
            </v:shape>
            <v:shape id="_x0000_s1250" type="#_x0000_t202" style="position:absolute;left:7630;top:4156;width:733;height:578" filled="f" stroked="f">
              <v:fill opacity="0"/>
              <v:textbox style="mso-next-textbox:#_x0000_s1250" inset="6.48pt,3.24pt,6.48pt,3.24pt">
                <w:txbxContent>
                  <w:p w:rsidR="00896728" w:rsidRPr="002C2DA3" w:rsidRDefault="00896728" w:rsidP="00415958">
                    <w:pPr>
                      <w:rPr>
                        <w:rFonts w:ascii="Times New Roman" w:hAnsi="Times New Roman"/>
                        <w:sz w:val="22"/>
                        <w:vertAlign w:val="subscript"/>
                      </w:rPr>
                    </w:pPr>
                    <w:r w:rsidRPr="002C2DA3">
                      <w:rPr>
                        <w:rFonts w:ascii="Times New Roman" w:hAnsi="Times New Roman"/>
                        <w:sz w:val="22"/>
                      </w:rPr>
                      <w:t>θ</w:t>
                    </w:r>
                    <w:r w:rsidRPr="002C2DA3">
                      <w:rPr>
                        <w:rFonts w:ascii="Times New Roman" w:hAnsi="Times New Roman"/>
                        <w:i/>
                        <w:sz w:val="22"/>
                      </w:rPr>
                      <w:t xml:space="preserve"> f</w:t>
                    </w:r>
                  </w:p>
                </w:txbxContent>
              </v:textbox>
            </v:shape>
            <v:shape id="_x0000_s1251" type="#_x0000_t202" style="position:absolute;left:6898;top:5312;width:1360;height:579" filled="f" stroked="f">
              <v:fill opacity="0"/>
              <v:textbox style="mso-next-textbox:#_x0000_s1251" inset="6.48pt,3.24pt,6.48pt,3.24pt">
                <w:txbxContent>
                  <w:p w:rsidR="00896728" w:rsidRPr="002C2DA3" w:rsidRDefault="00896728" w:rsidP="00415958">
                    <w:pPr>
                      <w:rPr>
                        <w:rFonts w:ascii="Times New Roman" w:hAnsi="Times New Roman"/>
                        <w:sz w:val="22"/>
                      </w:rPr>
                    </w:pPr>
                    <w:r w:rsidRPr="002C2DA3">
                      <w:rPr>
                        <w:rFonts w:ascii="Times New Roman" w:hAnsi="Times New Roman"/>
                        <w:sz w:val="22"/>
                      </w:rPr>
                      <w:t>(1-θ)</w:t>
                    </w:r>
                    <w:r w:rsidRPr="002C2DA3">
                      <w:rPr>
                        <w:rFonts w:ascii="Times New Roman" w:hAnsi="Times New Roman"/>
                        <w:i/>
                        <w:sz w:val="22"/>
                      </w:rPr>
                      <w:t>f</w:t>
                    </w:r>
                  </w:p>
                </w:txbxContent>
              </v:textbox>
            </v:shape>
            <v:shape id="_x0000_s1252" type="#_x0000_t202" style="position:absolute;left:4639;top:7433;width:417;height:387" filled="f" stroked="f">
              <v:fill opacity="0"/>
              <v:textbox style="mso-next-textbox:#_x0000_s1252" inset="6.48pt,3.24pt,6.48pt,3.24pt">
                <w:txbxContent>
                  <w:p w:rsidR="00896728" w:rsidRPr="002C2DA3" w:rsidRDefault="00896728" w:rsidP="00415958">
                    <w:pPr>
                      <w:rPr>
                        <w:rFonts w:ascii="Times New Roman" w:hAnsi="Times New Roman"/>
                        <w:i/>
                        <w:sz w:val="22"/>
                      </w:rPr>
                    </w:pPr>
                    <w:r w:rsidRPr="002C2DA3">
                      <w:rPr>
                        <w:rFonts w:ascii="Times New Roman" w:hAnsi="Times New Roman"/>
                        <w:i/>
                        <w:sz w:val="22"/>
                      </w:rPr>
                      <w:t>r</w:t>
                    </w:r>
                  </w:p>
                </w:txbxContent>
              </v:textbox>
            </v:shape>
            <v:shape id="_x0000_s1253" type="#_x0000_t202" style="position:absolute;left:4639;top:3770;width:523;height:578" filled="f" stroked="f">
              <v:textbox style="mso-next-textbox:#_x0000_s1253" inset="6.48pt,3.24pt,6.48pt,3.24pt">
                <w:txbxContent>
                  <w:p w:rsidR="00896728" w:rsidRPr="002C2DA3" w:rsidRDefault="00896728" w:rsidP="00415958">
                    <w:pPr>
                      <w:rPr>
                        <w:rFonts w:ascii="Times New Roman" w:hAnsi="Times New Roman"/>
                        <w:sz w:val="22"/>
                      </w:rPr>
                    </w:pPr>
                    <w:r w:rsidRPr="002C2DA3">
                      <w:rPr>
                        <w:rFonts w:ascii="Times New Roman" w:hAnsi="Times New Roman" w:cs="Arial"/>
                        <w:sz w:val="22"/>
                        <w:lang w:val="en-US"/>
                      </w:rPr>
                      <w:t>q</w:t>
                    </w:r>
                  </w:p>
                </w:txbxContent>
              </v:textbox>
            </v:shape>
            <w10:anchorlock/>
          </v:group>
        </w:pict>
      </w:r>
    </w:p>
    <w:p w:rsidR="00415958" w:rsidRPr="00EF6C4E" w:rsidRDefault="00415958" w:rsidP="00415958">
      <w:pPr>
        <w:rPr>
          <w:rFonts w:ascii="Calibri" w:hAnsi="Calibri"/>
          <w:sz w:val="24"/>
          <w:szCs w:val="22"/>
        </w:rPr>
      </w:pPr>
    </w:p>
    <w:p w:rsidR="00415958" w:rsidRPr="00EF6C4E" w:rsidRDefault="00415958" w:rsidP="00415958">
      <w:pPr>
        <w:rPr>
          <w:rFonts w:ascii="Calibri" w:hAnsi="Calibri"/>
          <w:sz w:val="24"/>
          <w:szCs w:val="22"/>
        </w:rPr>
      </w:pPr>
      <w:r w:rsidRPr="00EF6C4E">
        <w:rPr>
          <w:rFonts w:ascii="Calibri" w:hAnsi="Calibri"/>
          <w:sz w:val="24"/>
          <w:szCs w:val="22"/>
        </w:rPr>
        <w:t>Overview of different compartments in the model. U, uninfected; E</w:t>
      </w:r>
      <w:r w:rsidRPr="00EF6C4E">
        <w:rPr>
          <w:rFonts w:ascii="Calibri" w:hAnsi="Calibri"/>
          <w:sz w:val="24"/>
          <w:szCs w:val="22"/>
          <w:vertAlign w:val="subscript"/>
        </w:rPr>
        <w:t>1</w:t>
      </w:r>
      <w:r w:rsidRPr="00EF6C4E">
        <w:rPr>
          <w:rFonts w:ascii="Calibri" w:hAnsi="Calibri"/>
          <w:sz w:val="24"/>
          <w:szCs w:val="22"/>
        </w:rPr>
        <w:t>, latent/incubating primary infection; A, asymptomatic infection; E</w:t>
      </w:r>
      <w:r w:rsidRPr="00EF6C4E">
        <w:rPr>
          <w:rFonts w:ascii="Calibri" w:hAnsi="Calibri"/>
          <w:sz w:val="24"/>
          <w:szCs w:val="22"/>
          <w:vertAlign w:val="subscript"/>
        </w:rPr>
        <w:t>2</w:t>
      </w:r>
      <w:r w:rsidRPr="00EF6C4E">
        <w:rPr>
          <w:rFonts w:ascii="Calibri" w:hAnsi="Calibri"/>
          <w:sz w:val="24"/>
          <w:szCs w:val="22"/>
        </w:rPr>
        <w:t xml:space="preserve"> latent/incubating superinfection; S, symptomatic infection that is treated. Arrows indicate transfers between different states and are described in the text and in table </w:t>
      </w:r>
      <w:r w:rsidR="0068531B" w:rsidRPr="00EF6C4E">
        <w:rPr>
          <w:rFonts w:ascii="Calibri" w:hAnsi="Calibri"/>
          <w:sz w:val="24"/>
          <w:szCs w:val="22"/>
        </w:rPr>
        <w:t>S1</w:t>
      </w:r>
      <w:r w:rsidRPr="00EF6C4E">
        <w:rPr>
          <w:rFonts w:ascii="Calibri" w:hAnsi="Calibri"/>
          <w:sz w:val="24"/>
          <w:szCs w:val="22"/>
        </w:rPr>
        <w:t>.</w:t>
      </w:r>
    </w:p>
    <w:p w:rsidR="00415958" w:rsidRPr="00EF6C4E" w:rsidRDefault="00415958" w:rsidP="00415958">
      <w:pPr>
        <w:rPr>
          <w:rFonts w:ascii="Calibri" w:hAnsi="Calibri"/>
          <w:sz w:val="24"/>
          <w:szCs w:val="22"/>
        </w:rPr>
      </w:pPr>
    </w:p>
    <w:p w:rsidR="00415958" w:rsidRPr="00EF6C4E" w:rsidRDefault="00415958" w:rsidP="00415958">
      <w:pPr>
        <w:spacing w:line="360" w:lineRule="auto"/>
        <w:rPr>
          <w:rFonts w:ascii="Calibri" w:hAnsi="Calibri"/>
          <w:b/>
          <w:sz w:val="24"/>
        </w:rPr>
      </w:pPr>
      <w:r w:rsidRPr="00EF6C4E">
        <w:rPr>
          <w:rFonts w:ascii="Calibri" w:hAnsi="Calibri"/>
          <w:sz w:val="24"/>
          <w:szCs w:val="22"/>
        </w:rPr>
        <w:br w:type="page"/>
      </w:r>
      <w:r w:rsidRPr="00EF6C4E">
        <w:rPr>
          <w:rFonts w:ascii="Calibri" w:hAnsi="Calibri"/>
          <w:b/>
          <w:sz w:val="24"/>
        </w:rPr>
        <w:lastRenderedPageBreak/>
        <w:t>Table</w:t>
      </w:r>
      <w:r w:rsidR="00B96760" w:rsidRPr="00EF6C4E">
        <w:rPr>
          <w:rFonts w:ascii="Calibri" w:hAnsi="Calibri"/>
          <w:b/>
          <w:sz w:val="24"/>
        </w:rPr>
        <w:t xml:space="preserve"> </w:t>
      </w:r>
      <w:r w:rsidR="0068531B" w:rsidRPr="00EF6C4E">
        <w:rPr>
          <w:rFonts w:ascii="Calibri" w:hAnsi="Calibri"/>
          <w:b/>
          <w:sz w:val="24"/>
        </w:rPr>
        <w:t>S1</w:t>
      </w:r>
      <w:r w:rsidRPr="00EF6C4E">
        <w:rPr>
          <w:rFonts w:ascii="Calibri" w:hAnsi="Calibri"/>
          <w:b/>
          <w:sz w:val="24"/>
        </w:rPr>
        <w:t>. Description of parameters used in the basic model of IPT (model 1)</w:t>
      </w:r>
    </w:p>
    <w:tbl>
      <w:tblPr>
        <w:tblW w:w="0" w:type="auto"/>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96"/>
        <w:gridCol w:w="7111"/>
      </w:tblGrid>
      <w:tr w:rsidR="00415958" w:rsidRPr="00EF6C4E" w:rsidTr="00415958">
        <w:tc>
          <w:tcPr>
            <w:tcW w:w="0" w:type="auto"/>
            <w:tcBorders>
              <w:top w:val="single" w:sz="4" w:space="0" w:color="auto"/>
              <w:bottom w:val="single" w:sz="4" w:space="0" w:color="auto"/>
            </w:tcBorders>
          </w:tcPr>
          <w:p w:rsidR="00415958" w:rsidRPr="00EF6C4E" w:rsidRDefault="00415958" w:rsidP="00415958">
            <w:pPr>
              <w:rPr>
                <w:rFonts w:ascii="Calibri" w:hAnsi="Calibri"/>
                <w:b/>
                <w:szCs w:val="18"/>
              </w:rPr>
            </w:pPr>
          </w:p>
          <w:p w:rsidR="00415958" w:rsidRPr="00EF6C4E" w:rsidRDefault="00415958" w:rsidP="00415958">
            <w:pPr>
              <w:rPr>
                <w:rFonts w:ascii="Calibri" w:hAnsi="Calibri"/>
                <w:b/>
                <w:szCs w:val="18"/>
              </w:rPr>
            </w:pPr>
            <w:r w:rsidRPr="00EF6C4E">
              <w:rPr>
                <w:rFonts w:ascii="Calibri" w:hAnsi="Calibri"/>
                <w:b/>
                <w:szCs w:val="18"/>
              </w:rPr>
              <w:t>Parameter</w:t>
            </w:r>
          </w:p>
        </w:tc>
        <w:tc>
          <w:tcPr>
            <w:tcW w:w="7111" w:type="dxa"/>
            <w:tcBorders>
              <w:top w:val="single" w:sz="4" w:space="0" w:color="auto"/>
              <w:bottom w:val="single" w:sz="4" w:space="0" w:color="auto"/>
            </w:tcBorders>
          </w:tcPr>
          <w:p w:rsidR="00415958" w:rsidRPr="00EF6C4E" w:rsidRDefault="00415958" w:rsidP="00415958">
            <w:pPr>
              <w:rPr>
                <w:rFonts w:ascii="Calibri" w:hAnsi="Calibri"/>
                <w:b/>
                <w:szCs w:val="18"/>
              </w:rPr>
            </w:pPr>
          </w:p>
          <w:p w:rsidR="00415958" w:rsidRPr="00EF6C4E" w:rsidRDefault="00415958" w:rsidP="00415958">
            <w:pPr>
              <w:rPr>
                <w:rFonts w:ascii="Calibri" w:hAnsi="Calibri"/>
                <w:b/>
                <w:szCs w:val="18"/>
              </w:rPr>
            </w:pPr>
            <w:r w:rsidRPr="00EF6C4E">
              <w:rPr>
                <w:rFonts w:ascii="Calibri" w:hAnsi="Calibri"/>
                <w:b/>
                <w:szCs w:val="18"/>
              </w:rPr>
              <w:t>Description / details</w:t>
            </w:r>
          </w:p>
        </w:tc>
      </w:tr>
      <w:tr w:rsidR="00415958" w:rsidRPr="00EF6C4E" w:rsidTr="00415958">
        <w:tc>
          <w:tcPr>
            <w:tcW w:w="0" w:type="auto"/>
            <w:tcBorders>
              <w:top w:val="single" w:sz="4" w:space="0" w:color="auto"/>
              <w:bottom w:val="single" w:sz="4" w:space="0" w:color="C0C0C0"/>
            </w:tcBorders>
            <w:vAlign w:val="bottom"/>
          </w:tcPr>
          <w:p w:rsidR="00415958" w:rsidRPr="00EF6C4E" w:rsidRDefault="00415958" w:rsidP="00415958">
            <w:pPr>
              <w:rPr>
                <w:rFonts w:ascii="Calibri" w:hAnsi="Calibri" w:cs="Arial"/>
                <w:sz w:val="18"/>
                <w:szCs w:val="18"/>
              </w:rPr>
            </w:pPr>
          </w:p>
          <w:p w:rsidR="00415958" w:rsidRPr="00EF6C4E" w:rsidRDefault="00415958" w:rsidP="00415958">
            <w:pPr>
              <w:rPr>
                <w:rFonts w:ascii="Calibri" w:hAnsi="Calibri"/>
                <w:sz w:val="24"/>
                <w:szCs w:val="18"/>
              </w:rPr>
            </w:pPr>
            <w:r w:rsidRPr="00EF6C4E">
              <w:rPr>
                <w:rFonts w:ascii="Calibri" w:hAnsi="Calibri" w:cs="Arial"/>
                <w:sz w:val="24"/>
                <w:szCs w:val="18"/>
              </w:rPr>
              <w:t>ε</w:t>
            </w:r>
          </w:p>
        </w:tc>
        <w:tc>
          <w:tcPr>
            <w:tcW w:w="7111" w:type="dxa"/>
            <w:tcBorders>
              <w:top w:val="single" w:sz="4" w:space="0" w:color="auto"/>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Enrolment rate</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α</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 xml:space="preserve">Ageing </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EIR</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Entomological inoculation rate</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b</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probability an infective bite results in infection in a child</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i/>
                <w:sz w:val="18"/>
                <w:szCs w:val="18"/>
              </w:rPr>
            </w:pPr>
          </w:p>
          <w:p w:rsidR="00415958" w:rsidRPr="00EF6C4E" w:rsidRDefault="00415958" w:rsidP="00415958">
            <w:pPr>
              <w:rPr>
                <w:rFonts w:ascii="Calibri" w:hAnsi="Calibri"/>
                <w:i/>
                <w:sz w:val="24"/>
                <w:szCs w:val="18"/>
              </w:rPr>
            </w:pPr>
            <w:r w:rsidRPr="00EF6C4E">
              <w:rPr>
                <w:rFonts w:ascii="Calibri" w:hAnsi="Calibri"/>
                <w:i/>
                <w:sz w:val="24"/>
                <w:szCs w:val="18"/>
              </w:rPr>
              <w:t>λ</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Force of infection = EIR*b</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d</w:t>
            </w:r>
            <w:r w:rsidRPr="00EF6C4E">
              <w:rPr>
                <w:rFonts w:ascii="Calibri" w:hAnsi="Calibri"/>
                <w:sz w:val="24"/>
                <w:szCs w:val="18"/>
                <w:vertAlign w:val="subscript"/>
              </w:rPr>
              <w:t>e</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Mean duration of incubation period</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f</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vertAlign w:val="subscript"/>
              </w:rPr>
            </w:pPr>
            <w:r w:rsidRPr="00EF6C4E">
              <w:rPr>
                <w:rFonts w:ascii="Calibri" w:hAnsi="Calibri"/>
                <w:szCs w:val="18"/>
              </w:rPr>
              <w:t>rate infected children progress through incubation period = 1/d</w:t>
            </w:r>
            <w:r w:rsidRPr="00EF6C4E">
              <w:rPr>
                <w:rFonts w:ascii="Calibri" w:hAnsi="Calibri"/>
                <w:szCs w:val="18"/>
                <w:vertAlign w:val="subscript"/>
              </w:rPr>
              <w:t>e</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d</w:t>
            </w:r>
            <w:r w:rsidRPr="00EF6C4E">
              <w:rPr>
                <w:rFonts w:ascii="Calibri" w:hAnsi="Calibri"/>
                <w:sz w:val="24"/>
                <w:szCs w:val="18"/>
                <w:vertAlign w:val="subscript"/>
              </w:rPr>
              <w:t>a</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Mean time spent with asymptomatic parasitaemia if untreated</w:t>
            </w:r>
          </w:p>
        </w:tc>
      </w:tr>
      <w:tr w:rsidR="00415958" w:rsidRPr="00EF6C4E" w:rsidTr="00415958">
        <w:trPr>
          <w:trHeight w:val="235"/>
        </w:trPr>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r</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Recovery rate between each asymptomatic compartment (4/d</w:t>
            </w:r>
            <w:r w:rsidRPr="00EF6C4E">
              <w:rPr>
                <w:rFonts w:ascii="Calibri" w:hAnsi="Calibri"/>
                <w:szCs w:val="18"/>
                <w:vertAlign w:val="subscript"/>
              </w:rPr>
              <w:t>a</w:t>
            </w:r>
            <w:r w:rsidRPr="00EF6C4E">
              <w:rPr>
                <w:rFonts w:ascii="Calibri" w:hAnsi="Calibri"/>
                <w:szCs w:val="18"/>
              </w:rPr>
              <w:t>)</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lang w:val="fr-FR"/>
              </w:rPr>
            </w:pPr>
            <w:r w:rsidRPr="00EF6C4E">
              <w:rPr>
                <w:rFonts w:ascii="Calibri" w:hAnsi="Calibri"/>
                <w:sz w:val="24"/>
                <w:szCs w:val="18"/>
              </w:rPr>
              <w:t>θ</w:t>
            </w:r>
            <w:r w:rsidRPr="00EF6C4E">
              <w:rPr>
                <w:rFonts w:ascii="Calibri" w:hAnsi="Calibri"/>
                <w:sz w:val="24"/>
                <w:szCs w:val="18"/>
                <w:vertAlign w:val="subscript"/>
              </w:rPr>
              <w:t>0</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 xml:space="preserve">Proportion of new infections symptomatic </w:t>
            </w:r>
            <w:r w:rsidRPr="00EF6C4E">
              <w:rPr>
                <w:rFonts w:ascii="Calibri" w:hAnsi="Calibri"/>
                <w:i/>
                <w:szCs w:val="18"/>
              </w:rPr>
              <w:t>and treated</w:t>
            </w:r>
            <w:r w:rsidRPr="00EF6C4E">
              <w:rPr>
                <w:rFonts w:ascii="Calibri" w:hAnsi="Calibri"/>
                <w:szCs w:val="18"/>
              </w:rPr>
              <w:t xml:space="preserve">  in infants</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θ</w:t>
            </w:r>
            <w:r w:rsidRPr="00EF6C4E">
              <w:rPr>
                <w:rFonts w:ascii="Calibri" w:hAnsi="Calibri"/>
                <w:sz w:val="24"/>
                <w:szCs w:val="18"/>
                <w:vertAlign w:val="subscript"/>
              </w:rPr>
              <w:t>1</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 xml:space="preserve">Proportion of superinfections that are symptomatic </w:t>
            </w:r>
            <w:r w:rsidRPr="00EF6C4E">
              <w:rPr>
                <w:rFonts w:ascii="Calibri" w:hAnsi="Calibri"/>
                <w:i/>
                <w:szCs w:val="18"/>
              </w:rPr>
              <w:t>and treated</w:t>
            </w:r>
            <w:r w:rsidRPr="00EF6C4E">
              <w:rPr>
                <w:rFonts w:ascii="Calibri" w:hAnsi="Calibri"/>
                <w:szCs w:val="18"/>
              </w:rPr>
              <w:t xml:space="preserve"> in 1 year olds</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d</w:t>
            </w:r>
            <w:r w:rsidRPr="00EF6C4E">
              <w:rPr>
                <w:rFonts w:ascii="Calibri" w:hAnsi="Calibri"/>
                <w:sz w:val="24"/>
                <w:szCs w:val="18"/>
                <w:vertAlign w:val="subscript"/>
              </w:rPr>
              <w:t>t</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Mean duration of prophylaxis after treatment</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q</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Rate of loss of prophylactic protection after treatment (5/d</w:t>
            </w:r>
            <w:r w:rsidRPr="00EF6C4E">
              <w:rPr>
                <w:rFonts w:ascii="Calibri" w:hAnsi="Calibri"/>
                <w:szCs w:val="18"/>
                <w:vertAlign w:val="subscript"/>
              </w:rPr>
              <w:t>t</w:t>
            </w:r>
            <w:r w:rsidRPr="00EF6C4E">
              <w:rPr>
                <w:rFonts w:ascii="Calibri" w:hAnsi="Calibri"/>
                <w:szCs w:val="18"/>
              </w:rPr>
              <w:t>)</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IPT</w:t>
            </w:r>
            <w:r w:rsidRPr="00EF6C4E">
              <w:rPr>
                <w:rFonts w:ascii="Calibri" w:hAnsi="Calibri"/>
                <w:sz w:val="24"/>
                <w:szCs w:val="18"/>
                <w:vertAlign w:val="subscript"/>
              </w:rPr>
              <w:t>cov</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IPT Coverage</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IPT</w:t>
            </w:r>
            <w:r w:rsidRPr="00EF6C4E">
              <w:rPr>
                <w:rFonts w:ascii="Calibri" w:hAnsi="Calibri"/>
                <w:sz w:val="24"/>
                <w:szCs w:val="18"/>
                <w:vertAlign w:val="subscript"/>
              </w:rPr>
              <w:t>eff</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IPT Efficacy</w:t>
            </w:r>
          </w:p>
        </w:tc>
      </w:tr>
      <w:tr w:rsidR="00415958" w:rsidRPr="00EF6C4E" w:rsidTr="00415958">
        <w:tc>
          <w:tcPr>
            <w:tcW w:w="0" w:type="auto"/>
            <w:tcBorders>
              <w:top w:val="single" w:sz="4" w:space="0" w:color="C0C0C0"/>
              <w:bottom w:val="single" w:sz="4" w:space="0" w:color="C0C0C0"/>
            </w:tcBorders>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vertAlign w:val="subscript"/>
              </w:rPr>
            </w:pPr>
            <w:r w:rsidRPr="00EF6C4E">
              <w:rPr>
                <w:rFonts w:ascii="Calibri" w:hAnsi="Calibri"/>
                <w:sz w:val="24"/>
                <w:szCs w:val="18"/>
              </w:rPr>
              <w:t>τ</w:t>
            </w:r>
            <w:r w:rsidRPr="00EF6C4E">
              <w:rPr>
                <w:rFonts w:ascii="Calibri" w:hAnsi="Calibri"/>
                <w:sz w:val="24"/>
                <w:szCs w:val="18"/>
                <w:vertAlign w:val="subscript"/>
              </w:rPr>
              <w:t xml:space="preserve"> max</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Rate individuals should receive IPT (i.e. potential rate if 100% coverage and 100% efficacious):</w:t>
            </w:r>
          </w:p>
          <w:p w:rsidR="00415958" w:rsidRPr="00EF6C4E" w:rsidRDefault="00415958" w:rsidP="00415958">
            <w:pPr>
              <w:rPr>
                <w:rFonts w:ascii="Calibri" w:hAnsi="Calibri"/>
                <w:szCs w:val="18"/>
              </w:rPr>
            </w:pPr>
            <w:r w:rsidRPr="00EF6C4E">
              <w:rPr>
                <w:rFonts w:ascii="Calibri" w:hAnsi="Calibri"/>
                <w:szCs w:val="18"/>
              </w:rPr>
              <w:t>-EPI: as enrolment + delay (30.4, 60.8, 212.9, 304.2)</w:t>
            </w:r>
          </w:p>
          <w:p w:rsidR="00415958" w:rsidRPr="00EF6C4E" w:rsidRDefault="00415958" w:rsidP="00415958">
            <w:pPr>
              <w:rPr>
                <w:rFonts w:ascii="Calibri" w:hAnsi="Calibri"/>
                <w:szCs w:val="18"/>
              </w:rPr>
            </w:pPr>
            <w:r w:rsidRPr="00EF6C4E">
              <w:rPr>
                <w:rFonts w:ascii="Calibri" w:hAnsi="Calibri"/>
                <w:szCs w:val="18"/>
              </w:rPr>
              <w:t>-sIPT: pulse at intervals</w:t>
            </w:r>
          </w:p>
        </w:tc>
      </w:tr>
      <w:tr w:rsidR="00415958" w:rsidRPr="00EF6C4E" w:rsidTr="00415958">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τ</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Rate individuals actually receive IPT = τ</w:t>
            </w:r>
            <w:r w:rsidRPr="00EF6C4E">
              <w:rPr>
                <w:rFonts w:ascii="Calibri" w:hAnsi="Calibri"/>
                <w:szCs w:val="18"/>
                <w:vertAlign w:val="subscript"/>
              </w:rPr>
              <w:t xml:space="preserve"> max</w:t>
            </w:r>
            <w:r w:rsidRPr="00EF6C4E">
              <w:rPr>
                <w:rFonts w:ascii="Calibri" w:hAnsi="Calibri"/>
                <w:szCs w:val="18"/>
              </w:rPr>
              <w:t>*IPT</w:t>
            </w:r>
            <w:r w:rsidRPr="00EF6C4E">
              <w:rPr>
                <w:rFonts w:ascii="Calibri" w:hAnsi="Calibri"/>
                <w:szCs w:val="18"/>
                <w:vertAlign w:val="subscript"/>
              </w:rPr>
              <w:t>cov</w:t>
            </w:r>
            <w:r w:rsidRPr="00EF6C4E">
              <w:rPr>
                <w:rFonts w:ascii="Calibri" w:hAnsi="Calibri"/>
                <w:szCs w:val="18"/>
              </w:rPr>
              <w:t>*IPT</w:t>
            </w:r>
            <w:r w:rsidRPr="00EF6C4E">
              <w:rPr>
                <w:rFonts w:ascii="Calibri" w:hAnsi="Calibri"/>
                <w:szCs w:val="18"/>
                <w:vertAlign w:val="subscript"/>
              </w:rPr>
              <w:t>eff</w:t>
            </w:r>
          </w:p>
        </w:tc>
      </w:tr>
      <w:tr w:rsidR="00415958" w:rsidRPr="00EF6C4E" w:rsidTr="00415958">
        <w:tblPrEx>
          <w:tblBorders>
            <w:top w:val="single" w:sz="4" w:space="0" w:color="auto"/>
          </w:tblBorders>
        </w:tblPrEx>
        <w:trPr>
          <w:trHeight w:val="79"/>
        </w:trPr>
        <w:tc>
          <w:tcPr>
            <w:tcW w:w="0" w:type="auto"/>
            <w:tcBorders>
              <w:top w:val="single" w:sz="4" w:space="0" w:color="C0C0C0"/>
              <w:bottom w:val="single" w:sz="4" w:space="0" w:color="C0C0C0"/>
            </w:tcBorders>
            <w:vAlign w:val="bottom"/>
          </w:tcPr>
          <w:p w:rsidR="00415958" w:rsidRPr="00EF6C4E" w:rsidRDefault="00415958" w:rsidP="00415958">
            <w:pPr>
              <w:rPr>
                <w:rFonts w:ascii="Calibri" w:hAnsi="Calibri"/>
                <w:sz w:val="18"/>
                <w:szCs w:val="18"/>
              </w:rPr>
            </w:pPr>
          </w:p>
          <w:p w:rsidR="00415958" w:rsidRPr="00EF6C4E" w:rsidRDefault="00415958" w:rsidP="00415958">
            <w:pPr>
              <w:rPr>
                <w:rFonts w:ascii="Calibri" w:hAnsi="Calibri"/>
                <w:sz w:val="24"/>
                <w:szCs w:val="18"/>
              </w:rPr>
            </w:pPr>
            <w:r w:rsidRPr="00EF6C4E">
              <w:rPr>
                <w:rFonts w:ascii="Calibri" w:hAnsi="Calibri"/>
                <w:sz w:val="24"/>
                <w:szCs w:val="18"/>
              </w:rPr>
              <w:t>d</w:t>
            </w:r>
            <w:r w:rsidRPr="00EF6C4E">
              <w:rPr>
                <w:rFonts w:ascii="Calibri" w:hAnsi="Calibri"/>
                <w:sz w:val="24"/>
                <w:szCs w:val="18"/>
                <w:vertAlign w:val="subscript"/>
              </w:rPr>
              <w:t>IPT</w:t>
            </w:r>
            <w:r w:rsidRPr="00EF6C4E">
              <w:rPr>
                <w:rFonts w:ascii="Calibri" w:hAnsi="Calibri"/>
                <w:sz w:val="24"/>
                <w:szCs w:val="18"/>
              </w:rPr>
              <w:t xml:space="preserve"> </w:t>
            </w:r>
          </w:p>
        </w:tc>
        <w:tc>
          <w:tcPr>
            <w:tcW w:w="7111"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Duration of prophylaxis after IPT</w:t>
            </w:r>
          </w:p>
        </w:tc>
      </w:tr>
      <w:tr w:rsidR="00415958" w:rsidRPr="00EF6C4E" w:rsidTr="00415958">
        <w:tblPrEx>
          <w:tblBorders>
            <w:top w:val="single" w:sz="4" w:space="0" w:color="auto"/>
          </w:tblBorders>
        </w:tblPrEx>
        <w:tc>
          <w:tcPr>
            <w:tcW w:w="0" w:type="auto"/>
            <w:tcBorders>
              <w:top w:val="single" w:sz="4" w:space="0" w:color="C0C0C0"/>
            </w:tcBorders>
            <w:vAlign w:val="bottom"/>
          </w:tcPr>
          <w:p w:rsidR="00415958" w:rsidRPr="00EF6C4E" w:rsidRDefault="00415958" w:rsidP="00415958">
            <w:pPr>
              <w:rPr>
                <w:rFonts w:ascii="Calibri" w:hAnsi="Calibri" w:cs="Arial"/>
                <w:sz w:val="18"/>
                <w:szCs w:val="18"/>
              </w:rPr>
            </w:pPr>
          </w:p>
          <w:p w:rsidR="00415958" w:rsidRPr="00EF6C4E" w:rsidRDefault="00415958" w:rsidP="00415958">
            <w:pPr>
              <w:rPr>
                <w:rFonts w:ascii="Calibri" w:hAnsi="Calibri"/>
                <w:sz w:val="24"/>
                <w:szCs w:val="18"/>
              </w:rPr>
            </w:pPr>
            <w:r w:rsidRPr="00EF6C4E">
              <w:rPr>
                <w:rFonts w:ascii="Calibri" w:hAnsi="Calibri" w:cs="Arial"/>
                <w:sz w:val="24"/>
                <w:szCs w:val="18"/>
              </w:rPr>
              <w:t>ψ</w:t>
            </w:r>
          </w:p>
        </w:tc>
        <w:tc>
          <w:tcPr>
            <w:tcW w:w="7111" w:type="dxa"/>
            <w:tcBorders>
              <w:top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Rate of loss of IPT protection (5/d</w:t>
            </w:r>
            <w:r w:rsidRPr="00EF6C4E">
              <w:rPr>
                <w:rFonts w:ascii="Calibri" w:hAnsi="Calibri"/>
                <w:szCs w:val="18"/>
                <w:vertAlign w:val="subscript"/>
              </w:rPr>
              <w:t>IPT</w:t>
            </w:r>
            <w:r w:rsidRPr="00EF6C4E">
              <w:rPr>
                <w:rFonts w:ascii="Calibri" w:hAnsi="Calibri"/>
                <w:szCs w:val="18"/>
              </w:rPr>
              <w:t>)</w:t>
            </w:r>
          </w:p>
        </w:tc>
      </w:tr>
    </w:tbl>
    <w:p w:rsidR="00415958" w:rsidRPr="00EF6C4E" w:rsidRDefault="00415958" w:rsidP="00415958">
      <w:pPr>
        <w:rPr>
          <w:rFonts w:ascii="Calibri" w:hAnsi="Calibri"/>
          <w:sz w:val="24"/>
        </w:rPr>
      </w:pPr>
      <w:r w:rsidRPr="00EF6C4E">
        <w:rPr>
          <w:rFonts w:ascii="Calibri" w:hAnsi="Calibri"/>
          <w:sz w:val="24"/>
        </w:rPr>
        <w:t xml:space="preserve">This table is provided for reference of the meaning of parameters described in the following section. For values of parameters used in the model and references, see table </w:t>
      </w:r>
      <w:r w:rsidR="00845607" w:rsidRPr="00EF6C4E">
        <w:rPr>
          <w:rFonts w:ascii="Calibri" w:hAnsi="Calibri"/>
          <w:sz w:val="24"/>
        </w:rPr>
        <w:t>S3</w:t>
      </w:r>
      <w:r w:rsidRPr="00EF6C4E">
        <w:rPr>
          <w:rFonts w:ascii="Calibri" w:hAnsi="Calibri"/>
          <w:sz w:val="24"/>
        </w:rPr>
        <w:t>.</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br w:type="page"/>
      </w:r>
      <w:r w:rsidRPr="00EF6C4E">
        <w:rPr>
          <w:rFonts w:ascii="Calibri" w:hAnsi="Calibri"/>
          <w:sz w:val="24"/>
          <w:szCs w:val="22"/>
        </w:rPr>
        <w:lastRenderedPageBreak/>
        <w:t>In the model children can be in one of the following states: uninfected (U), previously uninfected incubating infection (E</w:t>
      </w:r>
      <w:r w:rsidRPr="00EF6C4E">
        <w:rPr>
          <w:rFonts w:ascii="Calibri" w:hAnsi="Calibri"/>
          <w:sz w:val="24"/>
          <w:szCs w:val="22"/>
          <w:vertAlign w:val="subscript"/>
        </w:rPr>
        <w:t>1</w:t>
      </w:r>
      <w:r w:rsidRPr="00EF6C4E">
        <w:rPr>
          <w:rFonts w:ascii="Calibri" w:hAnsi="Calibri"/>
          <w:sz w:val="24"/>
          <w:szCs w:val="22"/>
        </w:rPr>
        <w:t>), previously asymptomatic incubating superinfection (E</w:t>
      </w:r>
      <w:r w:rsidRPr="00EF6C4E">
        <w:rPr>
          <w:rFonts w:ascii="Calibri" w:hAnsi="Calibri"/>
          <w:sz w:val="24"/>
          <w:szCs w:val="22"/>
        </w:rPr>
        <w:softHyphen/>
      </w:r>
      <w:r w:rsidRPr="00EF6C4E">
        <w:rPr>
          <w:rFonts w:ascii="Calibri" w:hAnsi="Calibri"/>
          <w:sz w:val="24"/>
          <w:szCs w:val="22"/>
          <w:vertAlign w:val="subscript"/>
        </w:rPr>
        <w:t>2</w:t>
      </w:r>
      <w:r w:rsidRPr="00EF6C4E">
        <w:rPr>
          <w:rFonts w:ascii="Calibri" w:hAnsi="Calibri"/>
          <w:sz w:val="24"/>
          <w:szCs w:val="22"/>
        </w:rPr>
        <w:t xml:space="preserve">), asymptomatic parasitaemia (A), symptomatic (S).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Children entering the trial are assumed to be uninfected and hence in state U. Children become infected at rate, </w:t>
      </w:r>
      <w:r w:rsidRPr="00EF6C4E">
        <w:rPr>
          <w:rFonts w:ascii="Calibri" w:hAnsi="Calibri"/>
          <w:i/>
          <w:sz w:val="24"/>
          <w:szCs w:val="22"/>
        </w:rPr>
        <w:t>λ(t)</w:t>
      </w:r>
      <w:r w:rsidRPr="00EF6C4E">
        <w:rPr>
          <w:rFonts w:ascii="Calibri" w:hAnsi="Calibri"/>
          <w:sz w:val="24"/>
          <w:szCs w:val="22"/>
        </w:rPr>
        <w:t xml:space="preserve">, which is the product of the entomological inoculation rate at time (t) and the probability that an infective bite results in infection, </w:t>
      </w:r>
      <w:r w:rsidRPr="00EF6C4E">
        <w:rPr>
          <w:rFonts w:ascii="Calibri" w:hAnsi="Calibri"/>
          <w:i/>
          <w:sz w:val="24"/>
          <w:szCs w:val="22"/>
        </w:rPr>
        <w:t>b</w:t>
      </w:r>
      <w:r w:rsidRPr="00EF6C4E">
        <w:rPr>
          <w:rFonts w:ascii="Calibri" w:hAnsi="Calibri"/>
          <w:sz w:val="24"/>
          <w:szCs w:val="22"/>
        </w:rPr>
        <w:t xml:space="preserve"> (thus </w:t>
      </w:r>
      <w:r w:rsidRPr="00EF6C4E">
        <w:rPr>
          <w:rFonts w:ascii="Calibri" w:hAnsi="Calibri"/>
          <w:i/>
          <w:sz w:val="24"/>
          <w:szCs w:val="22"/>
        </w:rPr>
        <w:t>λ(t)</w:t>
      </w:r>
      <w:r w:rsidRPr="00EF6C4E">
        <w:rPr>
          <w:rFonts w:ascii="Calibri" w:hAnsi="Calibri"/>
          <w:sz w:val="24"/>
          <w:szCs w:val="22"/>
        </w:rPr>
        <w:t xml:space="preserve"> = </w:t>
      </w:r>
      <w:r w:rsidRPr="00EF6C4E">
        <w:rPr>
          <w:rFonts w:ascii="Calibri" w:hAnsi="Calibri"/>
          <w:i/>
          <w:sz w:val="24"/>
          <w:szCs w:val="22"/>
        </w:rPr>
        <w:t>b*EIR(t)</w:t>
      </w:r>
      <w:r w:rsidRPr="00EF6C4E">
        <w:rPr>
          <w:rFonts w:ascii="Calibri" w:hAnsi="Calibri"/>
          <w:sz w:val="24"/>
          <w:szCs w:val="22"/>
        </w:rPr>
        <w:t>). Infected individuals move into E</w:t>
      </w:r>
      <w:r w:rsidRPr="00EF6C4E">
        <w:rPr>
          <w:rFonts w:ascii="Calibri" w:hAnsi="Calibri"/>
          <w:sz w:val="24"/>
          <w:szCs w:val="22"/>
          <w:vertAlign w:val="subscript"/>
        </w:rPr>
        <w:t>1</w:t>
      </w:r>
      <w:r w:rsidRPr="00EF6C4E">
        <w:rPr>
          <w:rFonts w:ascii="Calibri" w:hAnsi="Calibri"/>
          <w:sz w:val="24"/>
          <w:szCs w:val="22"/>
        </w:rPr>
        <w:t>. The incubation period is modelled with an exponential distribution, i.e. the rate individuals develop symptoms or asymptomatic parasitaemia and leave E</w:t>
      </w:r>
      <w:r w:rsidRPr="00EF6C4E">
        <w:rPr>
          <w:rFonts w:ascii="Calibri" w:hAnsi="Calibri"/>
          <w:sz w:val="24"/>
          <w:szCs w:val="22"/>
          <w:vertAlign w:val="subscript"/>
        </w:rPr>
        <w:t>1</w:t>
      </w:r>
      <w:r w:rsidRPr="00EF6C4E">
        <w:rPr>
          <w:rFonts w:ascii="Calibri" w:hAnsi="Calibri"/>
          <w:sz w:val="24"/>
          <w:szCs w:val="22"/>
        </w:rPr>
        <w:t xml:space="preserve"> is </w:t>
      </w:r>
      <w:r w:rsidRPr="00EF6C4E">
        <w:rPr>
          <w:rFonts w:ascii="Calibri" w:hAnsi="Calibri"/>
          <w:i/>
          <w:sz w:val="24"/>
          <w:szCs w:val="22"/>
        </w:rPr>
        <w:t>f=1/d</w:t>
      </w:r>
      <w:r w:rsidRPr="00EF6C4E">
        <w:rPr>
          <w:rFonts w:ascii="Calibri" w:hAnsi="Calibri"/>
          <w:i/>
          <w:sz w:val="24"/>
          <w:szCs w:val="22"/>
          <w:vertAlign w:val="subscript"/>
        </w:rPr>
        <w:t>e</w:t>
      </w:r>
      <w:r w:rsidRPr="00EF6C4E">
        <w:rPr>
          <w:rFonts w:ascii="Calibri" w:hAnsi="Calibri"/>
          <w:sz w:val="24"/>
          <w:szCs w:val="22"/>
        </w:rPr>
        <w:t xml:space="preserve"> where </w:t>
      </w:r>
      <w:r w:rsidRPr="00EF6C4E">
        <w:rPr>
          <w:rFonts w:ascii="Calibri" w:hAnsi="Calibri"/>
          <w:i/>
          <w:sz w:val="24"/>
          <w:szCs w:val="22"/>
        </w:rPr>
        <w:t>d</w:t>
      </w:r>
      <w:r w:rsidRPr="00EF6C4E">
        <w:rPr>
          <w:rFonts w:ascii="Calibri" w:hAnsi="Calibri"/>
          <w:i/>
          <w:sz w:val="24"/>
          <w:szCs w:val="22"/>
          <w:vertAlign w:val="subscript"/>
        </w:rPr>
        <w:t xml:space="preserve">e </w:t>
      </w:r>
      <w:r w:rsidRPr="00EF6C4E">
        <w:rPr>
          <w:rFonts w:ascii="Calibri" w:hAnsi="Calibri"/>
          <w:sz w:val="24"/>
          <w:szCs w:val="22"/>
        </w:rPr>
        <w:t xml:space="preserve">is the expected duration of the incubation period. </w:t>
      </w: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Symptomatic and asymptomatic infections</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A proportion, </w:t>
      </w:r>
      <w:r w:rsidRPr="00EF6C4E">
        <w:rPr>
          <w:rFonts w:ascii="Times New Roman" w:hAnsi="Times New Roman"/>
          <w:i/>
          <w:sz w:val="24"/>
          <w:szCs w:val="22"/>
        </w:rPr>
        <w:t>θ</w:t>
      </w:r>
      <w:r w:rsidRPr="00EF6C4E">
        <w:rPr>
          <w:rFonts w:ascii="Calibri" w:hAnsi="Calibri"/>
          <w:sz w:val="24"/>
          <w:szCs w:val="22"/>
        </w:rPr>
        <w:t xml:space="preserve">, of new infections become symptomatic at the end of the incubation period and move into compartment S. The remainder </w:t>
      </w:r>
      <w:r w:rsidRPr="00EF6C4E">
        <w:rPr>
          <w:rFonts w:ascii="Calibri" w:hAnsi="Calibri"/>
          <w:i/>
          <w:sz w:val="24"/>
          <w:szCs w:val="22"/>
        </w:rPr>
        <w:t>(1</w:t>
      </w:r>
      <w:r w:rsidRPr="00EF6C4E">
        <w:rPr>
          <w:rFonts w:ascii="Calibri" w:hAnsi="Calibri"/>
          <w:sz w:val="24"/>
          <w:szCs w:val="22"/>
        </w:rPr>
        <w:t>-</w:t>
      </w:r>
      <w:r w:rsidR="00764ABC" w:rsidRPr="00EF6C4E">
        <w:rPr>
          <w:rFonts w:ascii="Times New Roman" w:hAnsi="Times New Roman"/>
          <w:i/>
          <w:sz w:val="24"/>
          <w:szCs w:val="22"/>
        </w:rPr>
        <w:t xml:space="preserve"> θ</w:t>
      </w:r>
      <w:r w:rsidRPr="00EF6C4E">
        <w:rPr>
          <w:rFonts w:ascii="Calibri" w:hAnsi="Calibri"/>
          <w:i/>
          <w:sz w:val="24"/>
          <w:szCs w:val="22"/>
        </w:rPr>
        <w:t>)</w:t>
      </w:r>
      <w:r w:rsidRPr="00EF6C4E">
        <w:rPr>
          <w:rFonts w:ascii="Calibri" w:hAnsi="Calibri"/>
          <w:sz w:val="24"/>
          <w:szCs w:val="22"/>
        </w:rPr>
        <w:t xml:space="preserve"> develop asymptomatic parasitaemia and move into A. For simplicity it is assumed that once asymptomatic, children do not subsequently develop symptoms unless reinfected. The simplified structure shown </w:t>
      </w:r>
      <w:r w:rsidR="00115C2D" w:rsidRPr="00EF6C4E">
        <w:rPr>
          <w:rFonts w:ascii="Calibri" w:hAnsi="Calibri"/>
          <w:sz w:val="24"/>
          <w:szCs w:val="22"/>
        </w:rPr>
        <w:t xml:space="preserve">in figure S1 </w:t>
      </w:r>
      <w:r w:rsidRPr="00EF6C4E">
        <w:rPr>
          <w:rFonts w:ascii="Calibri" w:hAnsi="Calibri"/>
          <w:sz w:val="24"/>
          <w:szCs w:val="22"/>
        </w:rPr>
        <w:t>is developed so that children with asymptomatic parasitaemia recover via three additional compartments (A</w:t>
      </w:r>
      <w:r w:rsidRPr="00EF6C4E">
        <w:rPr>
          <w:rFonts w:ascii="Calibri" w:hAnsi="Calibri"/>
          <w:sz w:val="24"/>
          <w:szCs w:val="22"/>
          <w:vertAlign w:val="subscript"/>
        </w:rPr>
        <w:t>2</w:t>
      </w:r>
      <w:r w:rsidRPr="00EF6C4E">
        <w:rPr>
          <w:rFonts w:ascii="Calibri" w:hAnsi="Calibri"/>
          <w:sz w:val="24"/>
          <w:szCs w:val="22"/>
        </w:rPr>
        <w:t>, A</w:t>
      </w:r>
      <w:r w:rsidRPr="00EF6C4E">
        <w:rPr>
          <w:rFonts w:ascii="Calibri" w:hAnsi="Calibri"/>
          <w:sz w:val="24"/>
          <w:szCs w:val="22"/>
          <w:vertAlign w:val="subscript"/>
        </w:rPr>
        <w:t>3</w:t>
      </w:r>
      <w:r w:rsidRPr="00EF6C4E">
        <w:rPr>
          <w:rFonts w:ascii="Calibri" w:hAnsi="Calibri"/>
          <w:sz w:val="24"/>
          <w:szCs w:val="22"/>
        </w:rPr>
        <w:t>, A</w:t>
      </w:r>
      <w:r w:rsidRPr="00EF6C4E">
        <w:rPr>
          <w:rFonts w:ascii="Calibri" w:hAnsi="Calibri"/>
          <w:sz w:val="24"/>
          <w:szCs w:val="22"/>
          <w:vertAlign w:val="subscript"/>
        </w:rPr>
        <w:t>4</w:t>
      </w:r>
      <w:r w:rsidRPr="00EF6C4E">
        <w:rPr>
          <w:rFonts w:ascii="Calibri" w:hAnsi="Calibri"/>
          <w:sz w:val="24"/>
          <w:szCs w:val="22"/>
        </w:rPr>
        <w:t xml:space="preserve">) before returning to the susceptible state. Four asymptomatic compartments are used because this makes the distribution of time spent infected more realistic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&lt;EndNote&gt;&lt;Cite&gt;&lt;Author&gt;Wearing&lt;/Author&gt;&lt;Year&gt;2005&lt;/Year&gt;&lt;RecNum&gt;753&lt;/RecNum&gt;&lt;record&gt;&lt;rec-number&gt;753&lt;/rec-number&gt;&lt;foreign-keys&gt;&lt;key app="EN" db-id="50vzxafd505dzseevvi5prdyd0vsefrtrrpx"&gt;753&lt;/key&gt;&lt;/foreign-keys&gt;&lt;ref-type name="Journal Article"&gt;17&lt;/ref-type&gt;&lt;contributors&gt;&lt;authors&gt;&lt;author&gt;Wearing, H. J.&lt;/author&gt;&lt;author&gt;Rohani, P.&lt;/author&gt;&lt;author&gt;Keeling, M. J.&lt;/author&gt;&lt;/authors&gt;&lt;/contributors&gt;&lt;auth-address&gt;Institute of Ecology, University of Georgia, Athens, Georgia, USA. hjw@uga.edu&lt;/auth-address&gt;&lt;titles&gt;&lt;title&gt;Appropriate models for the management of infectious diseases&lt;/title&gt;&lt;secondary-title&gt;PLoS Med&lt;/secondary-title&gt;&lt;/titles&gt;&lt;periodical&gt;&lt;full-title&gt;PLoS Med&lt;/full-title&gt;&lt;/periodical&gt;&lt;pages&gt;e174&lt;/pages&gt;&lt;volume&gt;2&lt;/volume&gt;&lt;number&gt;7&lt;/number&gt;&lt;keywords&gt;&lt;keyword&gt;Communicable Diseases/ epidemiology/therapy&lt;/keyword&gt;&lt;keyword&gt;Disease Outbreaks&lt;/keyword&gt;&lt;keyword&gt;Epidemiologic Methods&lt;/keyword&gt;&lt;keyword&gt;Epidemiology&lt;/keyword&gt;&lt;keyword&gt;Humans&lt;/keyword&gt;&lt;keyword&gt;Influenza, Human/ epidemiology/therapy&lt;/keyword&gt;&lt;keyword&gt;Models, Biological&lt;/keyword&gt;&lt;keyword&gt;Models, Theoretical&lt;/keyword&gt;&lt;keyword&gt;Public Health&lt;/keyword&gt;&lt;/keywords&gt;&lt;dates&gt;&lt;year&gt;2005&lt;/year&gt;&lt;pub-dates&gt;&lt;date&gt;Jul&lt;/date&gt;&lt;/pub-dates&gt;&lt;/dates&gt;&lt;isbn&gt;1549-1676 (Electronic)&lt;/isbn&gt;&lt;accession-num&gt;16013892&lt;/accession-num&gt;&lt;urls&gt;&lt;/urls&gt;&lt;/record&gt;&lt;/Cite&gt;&lt;/EndNote&gt;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[1]</w:t>
      </w:r>
      <w:r w:rsidR="00AA2259" w:rsidRPr="00EF6C4E">
        <w:rPr>
          <w:rFonts w:ascii="Calibri" w:hAnsi="Calibri"/>
          <w:sz w:val="24"/>
          <w:szCs w:val="22"/>
        </w:rPr>
        <w:fldChar w:fldCharType="end"/>
      </w:r>
      <w:r w:rsidRPr="00EF6C4E">
        <w:rPr>
          <w:rFonts w:ascii="Calibri" w:hAnsi="Calibri"/>
          <w:sz w:val="24"/>
          <w:szCs w:val="22"/>
        </w:rPr>
        <w:t xml:space="preserve">; it also allows a simple means to include the effect of superinfection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&lt;EndNote&gt;&lt;Cite&gt;&lt;Author&gt;Okell&lt;/Author&gt;&lt;Year&gt;2008&lt;/Year&gt;&lt;RecNum&gt;661&lt;/RecNum&gt;&lt;record&gt;&lt;rec-number&gt;661&lt;/rec-number&gt;&lt;foreign-keys&gt;&lt;key app="EN" db-id="50vzxafd505dzseevvi5prdyd0vsefrtrrpx"&gt;661&lt;/key&gt;&lt;/foreign-keys&gt;&lt;ref-type name="Journal Article"&gt;17&lt;/ref-type&gt;&lt;contributors&gt;&lt;authors&gt;&lt;author&gt;Okell, L. C.&lt;/author&gt;&lt;author&gt;Drakeley, C. J.&lt;/author&gt;&lt;author&gt;Bousema, T.&lt;/author&gt;&lt;author&gt;Whitty, C. J.&lt;/author&gt;&lt;author&gt;Ghani, A. C.&lt;/author&gt;&lt;/authors&gt;&lt;/contributors&gt;&lt;auth-address&gt;Department of Infectious and Tropical Diseases, London School of Hygiene &amp;amp; Tropical Medicine, London, UK. Lucy.Okell@lshtm.ac.uk&lt;/auth-address&gt;&lt;titles&gt;&lt;title&gt;Modelling the impact of artemisinin combination therapy and long-acting treatments on malaria transmission intensity&lt;/title&gt;&lt;secondary-title&gt;PLoS Med&lt;/secondary-title&gt;&lt;/titles&gt;&lt;periodical&gt;&lt;full-title&gt;PLoS Med&lt;/full-title&gt;&lt;/periodical&gt;&lt;pages&gt;e226; discussion e226&lt;/pages&gt;&lt;volume&gt;5&lt;/volume&gt;&lt;number&gt;11&lt;/number&gt;&lt;dates&gt;&lt;year&gt;2008&lt;/year&gt;&lt;pub-dates&gt;&lt;date&gt;Nov 25&lt;/date&gt;&lt;/pub-dates&gt;&lt;/dates&gt;&lt;isbn&gt;1549-1676 (Electronic)&lt;/isbn&gt;&lt;accession-num&gt;19067479&lt;/accession-num&gt;&lt;urls&gt;&lt;/urls&gt;&lt;/record&gt;&lt;/Cite&gt;&lt;/EndNote&gt;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[2]</w:t>
      </w:r>
      <w:r w:rsidR="00AA2259" w:rsidRPr="00EF6C4E">
        <w:rPr>
          <w:rFonts w:ascii="Calibri" w:hAnsi="Calibri"/>
          <w:sz w:val="24"/>
          <w:szCs w:val="22"/>
        </w:rPr>
        <w:fldChar w:fldCharType="end"/>
      </w:r>
      <w:r w:rsidRPr="00EF6C4E">
        <w:rPr>
          <w:rFonts w:ascii="Calibri" w:hAnsi="Calibri"/>
          <w:sz w:val="24"/>
          <w:szCs w:val="22"/>
        </w:rPr>
        <w:t xml:space="preserve">. Rate of transfer between each compartment is </w:t>
      </w:r>
      <w:r w:rsidRPr="00EF6C4E">
        <w:rPr>
          <w:rFonts w:ascii="Calibri" w:hAnsi="Calibri"/>
          <w:i/>
          <w:sz w:val="24"/>
          <w:szCs w:val="22"/>
        </w:rPr>
        <w:t>r=4/d</w:t>
      </w:r>
      <w:r w:rsidRPr="00EF6C4E">
        <w:rPr>
          <w:rFonts w:ascii="Calibri" w:hAnsi="Calibri"/>
          <w:i/>
          <w:sz w:val="24"/>
          <w:szCs w:val="22"/>
          <w:vertAlign w:val="subscript"/>
        </w:rPr>
        <w:t>a</w:t>
      </w:r>
      <w:r w:rsidRPr="00EF6C4E">
        <w:rPr>
          <w:rFonts w:ascii="Calibri" w:hAnsi="Calibri"/>
          <w:sz w:val="24"/>
          <w:szCs w:val="22"/>
        </w:rPr>
        <w:t xml:space="preserve"> where </w:t>
      </w:r>
      <w:r w:rsidRPr="00EF6C4E">
        <w:rPr>
          <w:rFonts w:ascii="Calibri" w:hAnsi="Calibri"/>
          <w:i/>
          <w:sz w:val="24"/>
          <w:szCs w:val="22"/>
        </w:rPr>
        <w:t>d</w:t>
      </w:r>
      <w:r w:rsidRPr="00EF6C4E">
        <w:rPr>
          <w:rFonts w:ascii="Calibri" w:hAnsi="Calibri"/>
          <w:i/>
          <w:sz w:val="24"/>
          <w:szCs w:val="22"/>
          <w:vertAlign w:val="subscript"/>
        </w:rPr>
        <w:t>a</w:t>
      </w:r>
      <w:r w:rsidRPr="00EF6C4E">
        <w:rPr>
          <w:rFonts w:ascii="Calibri" w:hAnsi="Calibri"/>
          <w:sz w:val="24"/>
          <w:szCs w:val="22"/>
        </w:rPr>
        <w:t xml:space="preserve"> is the total expected duration of an untreated infection.</w:t>
      </w: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Superinfection</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Children with asymptomatic parasitaemia can be infected again in the same way as uninfected children. Individuals infected before they recover enter a second incubation period, E</w:t>
      </w:r>
      <w:r w:rsidRPr="00EF6C4E">
        <w:rPr>
          <w:rFonts w:ascii="Calibri" w:hAnsi="Calibri"/>
          <w:sz w:val="24"/>
          <w:szCs w:val="22"/>
          <w:vertAlign w:val="subscript"/>
        </w:rPr>
        <w:t>2</w:t>
      </w:r>
      <w:r w:rsidRPr="00EF6C4E">
        <w:rPr>
          <w:rFonts w:ascii="Calibri" w:hAnsi="Calibri"/>
          <w:sz w:val="24"/>
          <w:szCs w:val="22"/>
        </w:rPr>
        <w:t xml:space="preserve">, after which a proportion </w:t>
      </w:r>
      <w:r w:rsidR="00764ABC" w:rsidRPr="00EF6C4E">
        <w:rPr>
          <w:rFonts w:ascii="Times New Roman" w:hAnsi="Times New Roman"/>
          <w:i/>
          <w:sz w:val="24"/>
          <w:szCs w:val="22"/>
        </w:rPr>
        <w:t>θ</w:t>
      </w:r>
      <w:r w:rsidRPr="00EF6C4E">
        <w:rPr>
          <w:rFonts w:ascii="Calibri" w:hAnsi="Calibri"/>
          <w:sz w:val="24"/>
          <w:szCs w:val="22"/>
        </w:rPr>
        <w:t xml:space="preserve"> develop symptoms and are treated (moving from E</w:t>
      </w:r>
      <w:r w:rsidRPr="00EF6C4E">
        <w:rPr>
          <w:rFonts w:ascii="Calibri" w:hAnsi="Calibri"/>
          <w:sz w:val="24"/>
          <w:szCs w:val="22"/>
          <w:vertAlign w:val="subscript"/>
        </w:rPr>
        <w:t>2</w:t>
      </w:r>
      <w:r w:rsidRPr="00EF6C4E">
        <w:rPr>
          <w:rFonts w:ascii="Calibri" w:hAnsi="Calibri"/>
          <w:sz w:val="24"/>
          <w:szCs w:val="22"/>
        </w:rPr>
        <w:t xml:space="preserve"> into S), or remain asymptomatic and return to A</w:t>
      </w:r>
      <w:r w:rsidRPr="00EF6C4E">
        <w:rPr>
          <w:rFonts w:ascii="Calibri" w:hAnsi="Calibri"/>
          <w:sz w:val="24"/>
          <w:szCs w:val="22"/>
          <w:vertAlign w:val="subscript"/>
        </w:rPr>
        <w:t>1</w:t>
      </w:r>
      <w:r w:rsidRPr="00EF6C4E">
        <w:rPr>
          <w:rFonts w:ascii="Calibri" w:hAnsi="Calibri"/>
          <w:sz w:val="24"/>
          <w:szCs w:val="22"/>
        </w:rPr>
        <w:t xml:space="preserve">. In the simplest case, </w:t>
      </w:r>
      <w:r w:rsidR="00764ABC" w:rsidRPr="00EF6C4E">
        <w:rPr>
          <w:rFonts w:ascii="Times New Roman" w:hAnsi="Times New Roman"/>
          <w:i/>
          <w:sz w:val="24"/>
          <w:szCs w:val="22"/>
        </w:rPr>
        <w:t>θ</w:t>
      </w:r>
      <w:r w:rsidRPr="00EF6C4E">
        <w:rPr>
          <w:rFonts w:ascii="Calibri" w:hAnsi="Calibri"/>
          <w:i/>
          <w:sz w:val="24"/>
          <w:szCs w:val="22"/>
        </w:rPr>
        <w:t xml:space="preserve"> </w:t>
      </w:r>
      <w:r w:rsidRPr="00EF6C4E">
        <w:rPr>
          <w:rFonts w:ascii="Calibri" w:hAnsi="Calibri"/>
          <w:sz w:val="24"/>
          <w:szCs w:val="22"/>
          <w:vertAlign w:val="subscript"/>
        </w:rPr>
        <w:t xml:space="preserve"> </w:t>
      </w:r>
      <w:r w:rsidRPr="00EF6C4E">
        <w:rPr>
          <w:rFonts w:ascii="Calibri" w:hAnsi="Calibri"/>
          <w:sz w:val="24"/>
          <w:szCs w:val="22"/>
        </w:rPr>
        <w:t xml:space="preserve">takes the </w:t>
      </w:r>
      <w:r w:rsidRPr="00EF6C4E">
        <w:rPr>
          <w:rFonts w:ascii="Calibri" w:hAnsi="Calibri"/>
          <w:sz w:val="24"/>
          <w:szCs w:val="22"/>
        </w:rPr>
        <w:lastRenderedPageBreak/>
        <w:t xml:space="preserve">same value for both new infections and superinfections (i.e. there is no difference in the probability of symptoms when children have an existing infection). This </w:t>
      </w:r>
      <w:r w:rsidR="00764ABC" w:rsidRPr="00EF6C4E">
        <w:rPr>
          <w:rFonts w:ascii="Calibri" w:hAnsi="Calibri"/>
          <w:sz w:val="24"/>
          <w:szCs w:val="22"/>
        </w:rPr>
        <w:t xml:space="preserve">was </w:t>
      </w:r>
      <w:r w:rsidRPr="00EF6C4E">
        <w:rPr>
          <w:rFonts w:ascii="Calibri" w:hAnsi="Calibri"/>
          <w:sz w:val="24"/>
          <w:szCs w:val="22"/>
        </w:rPr>
        <w:t>varied in later versions of the model.</w:t>
      </w:r>
      <w:r w:rsidR="00764ABC" w:rsidRPr="00EF6C4E">
        <w:rPr>
          <w:rFonts w:ascii="Calibri" w:hAnsi="Calibri"/>
          <w:sz w:val="24"/>
          <w:szCs w:val="22"/>
        </w:rPr>
        <w:t xml:space="preserve">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Because the intention was to fit the model to trial data</w:t>
      </w:r>
      <w:r w:rsidR="00115C2D" w:rsidRPr="00EF6C4E">
        <w:rPr>
          <w:rFonts w:ascii="Calibri" w:hAnsi="Calibri"/>
          <w:sz w:val="24"/>
          <w:szCs w:val="22"/>
        </w:rPr>
        <w:t xml:space="preserve"> on malaria incidence</w:t>
      </w:r>
      <w:r w:rsidRPr="00EF6C4E">
        <w:rPr>
          <w:rFonts w:ascii="Calibri" w:hAnsi="Calibri"/>
          <w:sz w:val="24"/>
          <w:szCs w:val="22"/>
        </w:rPr>
        <w:t xml:space="preserve">, it was assumed that all symptomatic children who were detected by trial staff would have been treated. Children who had symptoms but did not report these can be considered to have asymptomatic parasitaemia, at least from the point of view of </w:t>
      </w:r>
      <w:r w:rsidR="00115C2D" w:rsidRPr="00EF6C4E">
        <w:rPr>
          <w:rFonts w:ascii="Calibri" w:hAnsi="Calibri"/>
          <w:sz w:val="24"/>
          <w:szCs w:val="22"/>
        </w:rPr>
        <w:t>malaria incidence data collected by the trial team</w:t>
      </w:r>
      <w:r w:rsidRPr="00EF6C4E">
        <w:rPr>
          <w:rFonts w:ascii="Calibri" w:hAnsi="Calibri"/>
          <w:sz w:val="24"/>
          <w:szCs w:val="22"/>
        </w:rPr>
        <w:t xml:space="preserve">.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Treatment and post-treatment prophylaxis</w:t>
      </w:r>
    </w:p>
    <w:p w:rsidR="004A69F5" w:rsidRDefault="00415958" w:rsidP="00415958">
      <w:pPr>
        <w:spacing w:line="360" w:lineRule="auto"/>
        <w:rPr>
          <w:rFonts w:ascii="Calibri" w:hAnsi="Calibri"/>
          <w:sz w:val="24"/>
          <w:szCs w:val="22"/>
        </w:rPr>
      </w:pPr>
      <w:r w:rsidRPr="00EF6C4E">
        <w:rPr>
          <w:rFonts w:ascii="Calibri" w:hAnsi="Calibri"/>
          <w:sz w:val="24"/>
          <w:szCs w:val="22"/>
        </w:rPr>
        <w:t>Children who are treated are assumed to recover faster than children who are not treated. Additionally, children given treatment receive a period of chemoprophylaxis when they cannot be infected. This is modelled by delaying the return of treated children to the uninfected (and susceptible) compartment, U, via a series of five sub-compartments, S</w:t>
      </w:r>
      <w:r w:rsidRPr="00EF6C4E">
        <w:rPr>
          <w:rFonts w:ascii="Calibri" w:hAnsi="Calibri"/>
          <w:sz w:val="24"/>
          <w:szCs w:val="22"/>
          <w:vertAlign w:val="subscript"/>
        </w:rPr>
        <w:t>i</w:t>
      </w:r>
      <w:r w:rsidRPr="00EF6C4E">
        <w:rPr>
          <w:rFonts w:ascii="Calibri" w:hAnsi="Calibri"/>
          <w:sz w:val="24"/>
          <w:szCs w:val="22"/>
        </w:rPr>
        <w:t xml:space="preserve">. The duration spent in each of these is exponentially distributed, </w:t>
      </w:r>
      <w:r w:rsidR="00115C2D" w:rsidRPr="00EF6C4E">
        <w:rPr>
          <w:rFonts w:ascii="Calibri" w:hAnsi="Calibri"/>
          <w:sz w:val="24"/>
          <w:szCs w:val="22"/>
        </w:rPr>
        <w:t>and t</w:t>
      </w:r>
      <w:r w:rsidRPr="00EF6C4E">
        <w:rPr>
          <w:rFonts w:ascii="Calibri" w:hAnsi="Calibri"/>
          <w:sz w:val="24"/>
          <w:szCs w:val="22"/>
        </w:rPr>
        <w:t xml:space="preserve">he rate of transfer between each compartment, </w:t>
      </w:r>
      <w:r w:rsidRPr="00EF6C4E">
        <w:rPr>
          <w:rFonts w:ascii="Calibri" w:hAnsi="Calibri"/>
          <w:i/>
          <w:sz w:val="24"/>
          <w:szCs w:val="22"/>
        </w:rPr>
        <w:t>q = 5/d</w:t>
      </w:r>
      <w:r w:rsidRPr="00EF6C4E">
        <w:rPr>
          <w:rFonts w:ascii="Calibri" w:hAnsi="Calibri"/>
          <w:i/>
          <w:sz w:val="24"/>
          <w:szCs w:val="22"/>
          <w:vertAlign w:val="subscript"/>
        </w:rPr>
        <w:t>t</w:t>
      </w:r>
      <w:r w:rsidRPr="00EF6C4E">
        <w:rPr>
          <w:rFonts w:ascii="Calibri" w:hAnsi="Calibri"/>
          <w:sz w:val="24"/>
          <w:szCs w:val="22"/>
        </w:rPr>
        <w:t xml:space="preserve"> where </w:t>
      </w:r>
      <w:r w:rsidRPr="00EF6C4E">
        <w:rPr>
          <w:rFonts w:ascii="Calibri" w:hAnsi="Calibri"/>
          <w:i/>
          <w:sz w:val="24"/>
          <w:szCs w:val="22"/>
        </w:rPr>
        <w:t>d</w:t>
      </w:r>
      <w:r w:rsidRPr="00EF6C4E">
        <w:rPr>
          <w:rFonts w:ascii="Calibri" w:hAnsi="Calibri"/>
          <w:i/>
          <w:sz w:val="24"/>
          <w:szCs w:val="22"/>
          <w:vertAlign w:val="subscript"/>
        </w:rPr>
        <w:t>t</w:t>
      </w:r>
      <w:r w:rsidRPr="00EF6C4E">
        <w:rPr>
          <w:rFonts w:ascii="Calibri" w:hAnsi="Calibri"/>
          <w:sz w:val="24"/>
          <w:szCs w:val="22"/>
        </w:rPr>
        <w:t xml:space="preserve"> is the expected total duration protected by treatment. The total duration of protection then follows a gamma distribution rather than an exponential distribution, which is a more plausible distribution because the mode will not be zero</w:t>
      </w:r>
      <w:r w:rsidR="0068531B" w:rsidRPr="00EF6C4E">
        <w:rPr>
          <w:rFonts w:ascii="Calibri" w:hAnsi="Calibri"/>
          <w:sz w:val="24"/>
          <w:szCs w:val="22"/>
        </w:rPr>
        <w:t>.</w:t>
      </w:r>
      <w:r w:rsidRPr="00EF6C4E">
        <w:rPr>
          <w:rFonts w:ascii="Calibri" w:hAnsi="Calibri"/>
          <w:sz w:val="24"/>
          <w:szCs w:val="22"/>
        </w:rPr>
        <w:t xml:space="preserve"> </w:t>
      </w:r>
    </w:p>
    <w:p w:rsidR="004A69F5" w:rsidRDefault="004A69F5" w:rsidP="00415958">
      <w:pPr>
        <w:spacing w:line="360" w:lineRule="auto"/>
        <w:rPr>
          <w:rFonts w:ascii="Calibri" w:hAnsi="Calibri"/>
          <w:sz w:val="24"/>
          <w:szCs w:val="22"/>
        </w:rPr>
      </w:pPr>
    </w:p>
    <w:p w:rsidR="004A69F5" w:rsidRDefault="004A69F5" w:rsidP="00415958">
      <w:pPr>
        <w:spacing w:line="360" w:lineRule="auto"/>
        <w:rPr>
          <w:rFonts w:ascii="Calibri" w:hAnsi="Calibri"/>
          <w:sz w:val="24"/>
          <w:szCs w:val="22"/>
        </w:rPr>
      </w:pPr>
      <w:r>
        <w:rPr>
          <w:rFonts w:ascii="Calibri" w:hAnsi="Calibri"/>
          <w:sz w:val="24"/>
          <w:szCs w:val="22"/>
        </w:rPr>
        <w:t>L</w:t>
      </w:r>
      <w:r w:rsidRPr="004A69F5">
        <w:rPr>
          <w:rFonts w:ascii="Calibri" w:hAnsi="Calibri"/>
          <w:sz w:val="24"/>
          <w:szCs w:val="22"/>
        </w:rPr>
        <w:t xml:space="preserve">evels of drugs </w:t>
      </w:r>
      <w:r>
        <w:rPr>
          <w:rFonts w:ascii="Calibri" w:hAnsi="Calibri"/>
          <w:sz w:val="24"/>
          <w:szCs w:val="22"/>
        </w:rPr>
        <w:t xml:space="preserve">are not modelled </w:t>
      </w:r>
      <w:r w:rsidRPr="004A69F5">
        <w:rPr>
          <w:rFonts w:ascii="Calibri" w:hAnsi="Calibri"/>
          <w:sz w:val="24"/>
          <w:szCs w:val="22"/>
        </w:rPr>
        <w:t>explicitly. However, the pattern of waning protection from malaria is described by the profile of the curve des</w:t>
      </w:r>
      <w:r>
        <w:rPr>
          <w:rFonts w:ascii="Calibri" w:hAnsi="Calibri"/>
          <w:sz w:val="24"/>
          <w:szCs w:val="22"/>
        </w:rPr>
        <w:t>cribing duration of protection, which</w:t>
      </w:r>
      <w:r w:rsidRPr="004A69F5">
        <w:rPr>
          <w:rFonts w:ascii="Calibri" w:hAnsi="Calibri"/>
          <w:sz w:val="24"/>
          <w:szCs w:val="22"/>
        </w:rPr>
        <w:t xml:space="preserve"> captures the fact that protection will be lower later in the prophylactic period (i.e. the majority of children given </w:t>
      </w:r>
      <w:r w:rsidR="0036002A">
        <w:rPr>
          <w:rFonts w:ascii="Calibri" w:hAnsi="Calibri"/>
          <w:sz w:val="24"/>
          <w:szCs w:val="22"/>
        </w:rPr>
        <w:t>treatment</w:t>
      </w:r>
      <w:r w:rsidRPr="004A69F5">
        <w:rPr>
          <w:rFonts w:ascii="Calibri" w:hAnsi="Calibri"/>
          <w:sz w:val="24"/>
          <w:szCs w:val="22"/>
        </w:rPr>
        <w:t xml:space="preserve"> will no longer be protected).  To model the levels of drugs explicitly, one would need to simulate the sensitivity thresholds of different circulating parasites and then model drug levels in individuals, rather than the compartmental structure.</w:t>
      </w:r>
      <w:r>
        <w:rPr>
          <w:rFonts w:ascii="Calibri" w:hAnsi="Calibri"/>
          <w:sz w:val="24"/>
          <w:szCs w:val="22"/>
        </w:rPr>
        <w:t xml:space="preserve"> The approach chosen is for simplicity, and because there is insufficient evidence of </w:t>
      </w:r>
      <w:r w:rsidR="0036002A">
        <w:rPr>
          <w:rFonts w:ascii="Calibri" w:hAnsi="Calibri"/>
          <w:sz w:val="24"/>
          <w:szCs w:val="22"/>
        </w:rPr>
        <w:t xml:space="preserve">what concentration of </w:t>
      </w:r>
      <w:r>
        <w:rPr>
          <w:rFonts w:ascii="Calibri" w:hAnsi="Calibri"/>
          <w:sz w:val="24"/>
          <w:szCs w:val="22"/>
        </w:rPr>
        <w:t>specific drug</w:t>
      </w:r>
      <w:r w:rsidR="0036002A">
        <w:rPr>
          <w:rFonts w:ascii="Calibri" w:hAnsi="Calibri"/>
          <w:sz w:val="24"/>
          <w:szCs w:val="22"/>
        </w:rPr>
        <w:t>s provides protection in vivo.</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lastRenderedPageBreak/>
        <w:t xml:space="preserve">Chloroquine (CQ) was the main antimalarial treatment used during the Navrongo trial. While prophylaxis times may be substantial for sensitive parasites, CQ was failing in KND at the time of the study (14 day adequate clinical and parasitological response 47%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&lt;EndNote&gt;&lt;Cite&gt;&lt;Author&gt;Oduro&lt;/Author&gt;&lt;Year&gt;2005&lt;/Year&gt;&lt;RecNum&gt;449&lt;/RecNum&gt;&lt;record&gt;&lt;rec-number&gt;449&lt;/rec-number&gt;&lt;foreign-keys&gt;&lt;key app="EN" db-id="50vzxafd505dzseevvi5prdyd0vsefrtrrpx"&gt;449&lt;/key&gt;&lt;/foreign-keys&gt;&lt;ref-type name="Journal Article"&gt;17&lt;/ref-type&gt;&lt;contributors&gt;&lt;authors&gt;&lt;author&gt;Oduro, A. R.&lt;/author&gt;&lt;author&gt;Anyorigiya, T.&lt;/author&gt;&lt;author&gt;Hodgson, A.&lt;/author&gt;&lt;author&gt;Ansah, P.&lt;/author&gt;&lt;author&gt;Anto, F.&lt;/author&gt;&lt;author&gt;Ansah, N. A.&lt;/author&gt;&lt;author&gt;Atuguba, F.&lt;/author&gt;&lt;author&gt;Mumuni, G.&lt;/author&gt;&lt;author&gt;Amankwa, J.&lt;/author&gt;&lt;/authors&gt;&lt;/contributors&gt;&lt;auth-address&gt;Navrongo Health Research Centre, Navrongo, Ghana. aoduro@navrongo.mimcom.net&lt;/auth-address&gt;&lt;titles&gt;&lt;title&gt;A randomized comparative study of chloroquine, amodiaquine and sulphadoxine-pyrimethamine for the treatment of uncomplicated malaria in Ghana&lt;/title&gt;&lt;secondary-title&gt;Trop Med Int Health&lt;/secondary-title&gt;&lt;/titles&gt;&lt;periodical&gt;&lt;full-title&gt;Trop Med Int Health&lt;/full-title&gt;&lt;/periodical&gt;&lt;pages&gt;279-84&lt;/pages&gt;&lt;volume&gt;10&lt;/volume&gt;&lt;number&gt;3&lt;/number&gt;&lt;keywords&gt;&lt;keyword&gt;Amodiaquine/adverse effects/therapeutic use&lt;/keyword&gt;&lt;keyword&gt;Antimalarials/adverse effects/ therapeutic use&lt;/keyword&gt;&lt;keyword&gt;Child, Preschool&lt;/keyword&gt;&lt;keyword&gt;Chloroquine/adverse effects/therapeutic use&lt;/keyword&gt;&lt;keyword&gt;Drug Combinations&lt;/keyword&gt;&lt;keyword&gt;Female&lt;/keyword&gt;&lt;keyword&gt;Fever/drug therapy/parasitology&lt;/keyword&gt;&lt;keyword&gt;Ghana&lt;/keyword&gt;&lt;keyword&gt;Humans&lt;/keyword&gt;&lt;keyword&gt;Infant&lt;/keyword&gt;&lt;keyword&gt;Malaria, Falciparum/ drug therapy/parasitology&lt;/keyword&gt;&lt;keyword&gt;Male&lt;/keyword&gt;&lt;keyword&gt;Parasitemia/drug therapy&lt;/keyword&gt;&lt;keyword&gt;Patient Dropouts&lt;/keyword&gt;&lt;keyword&gt;Pyrimethamine/adverse effects/therapeutic use&lt;/keyword&gt;&lt;keyword&gt;Sulfadoxine/adverse effects/therapeutic use&lt;/keyword&gt;&lt;keyword&gt;Treatment Failure&lt;/keyword&gt;&lt;keyword&gt;Treatment Outcome&lt;/keyword&gt;&lt;/keywords&gt;&lt;dates&gt;&lt;year&gt;2005&lt;/year&gt;&lt;pub-dates&gt;&lt;date&gt;Mar&lt;/date&gt;&lt;/pub-dates&gt;&lt;/dates&gt;&lt;isbn&gt;1360-2276 (Print)&lt;/isbn&gt;&lt;accession-num&gt;15730512&lt;/accession-num&gt;&lt;urls&gt;&lt;/urls&gt;&lt;/record&gt;&lt;/Cite&gt;&lt;/EndNote&gt;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[3]</w:t>
      </w:r>
      <w:r w:rsidR="00AA2259" w:rsidRPr="00EF6C4E">
        <w:rPr>
          <w:rFonts w:ascii="Calibri" w:hAnsi="Calibri"/>
          <w:sz w:val="24"/>
          <w:szCs w:val="22"/>
        </w:rPr>
        <w:fldChar w:fldCharType="end"/>
      </w:r>
      <w:r w:rsidRPr="00EF6C4E">
        <w:rPr>
          <w:rFonts w:ascii="Calibri" w:hAnsi="Calibri"/>
          <w:sz w:val="24"/>
          <w:szCs w:val="22"/>
        </w:rPr>
        <w:t xml:space="preserve">). Post-treatment prophylaxis against erythrocytic stages may last for as little as two weeks where CQ resistance is high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&lt;EndNote&gt;&lt;Cite&gt;&lt;Author&gt;White&lt;/Author&gt;&lt;Year&gt;2008&lt;/Year&gt;&lt;RecNum&gt;517&lt;/RecNum&gt;&lt;record&gt;&lt;rec-number&gt;517&lt;/rec-number&gt;&lt;foreign-keys&gt;&lt;key app="EN" db-id="50vzxafd505dzseevvi5prdyd0vsefrtrrpx"&gt;517&lt;/key&gt;&lt;/foreign-keys&gt;&lt;ref-type name="Journal Article"&gt;17&lt;/ref-type&gt;&lt;contributors&gt;&lt;authors&gt;&lt;author&gt;White, N. J.&lt;/author&gt;&lt;/authors&gt;&lt;/contributors&gt;&lt;titles&gt;&lt;title&gt;How antimalarial drug resistance affects post treatment prophylaxis&lt;/title&gt;&lt;secondary-title&gt;Malar J&lt;/secondary-title&gt;&lt;/titles&gt;&lt;periodical&gt;&lt;full-title&gt;Malar J&lt;/full-title&gt;&lt;/periodical&gt;&lt;pages&gt;9&lt;/pages&gt;&lt;volume&gt;7&lt;/volume&gt;&lt;number&gt;1&lt;/number&gt;&lt;dates&gt;&lt;year&gt;2008&lt;/year&gt;&lt;pub-dates&gt;&lt;date&gt;Jan 11&lt;/date&gt;&lt;/pub-dates&gt;&lt;/dates&gt;&lt;isbn&gt;1475-2875 (Electronic)&lt;/isbn&gt;&lt;accession-num&gt;18186948&lt;/accession-num&gt;&lt;urls&gt;&lt;pdf-urls&gt;&lt;url&gt;file:///C:/Documents%20and%20Settings/Matt%20Cairns/My%20Documents/My%20Documents/1%20PHD/OVERVIEW/WHITE%20-%20DR%20and%20post-treat%20proph%20(PTP)%20MAL%20J%202008.pdf&lt;/url&gt;&lt;/pdf-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[4]</w:t>
      </w:r>
      <w:r w:rsidR="00AA2259" w:rsidRPr="00EF6C4E">
        <w:rPr>
          <w:rFonts w:ascii="Calibri" w:hAnsi="Calibri"/>
          <w:sz w:val="24"/>
          <w:szCs w:val="22"/>
        </w:rPr>
        <w:fldChar w:fldCharType="end"/>
      </w:r>
      <w:r w:rsidRPr="00EF6C4E">
        <w:rPr>
          <w:rFonts w:ascii="Calibri" w:hAnsi="Calibri"/>
          <w:sz w:val="24"/>
          <w:szCs w:val="22"/>
        </w:rPr>
        <w:t>.</w:t>
      </w:r>
    </w:p>
    <w:p w:rsidR="0068531B" w:rsidRPr="00EF6C4E" w:rsidRDefault="0068531B" w:rsidP="00415958">
      <w:pPr>
        <w:spacing w:line="360" w:lineRule="auto"/>
        <w:rPr>
          <w:rFonts w:ascii="Calibri" w:hAnsi="Calibri"/>
          <w:b/>
          <w:sz w:val="24"/>
        </w:rPr>
      </w:pPr>
    </w:p>
    <w:p w:rsidR="00415958" w:rsidRPr="00EF6C4E" w:rsidRDefault="00415958" w:rsidP="00415958">
      <w:pPr>
        <w:spacing w:line="360" w:lineRule="auto"/>
        <w:rPr>
          <w:rFonts w:ascii="Calibri" w:hAnsi="Calibri"/>
          <w:b/>
          <w:sz w:val="24"/>
        </w:rPr>
      </w:pPr>
      <w:r w:rsidRPr="00EF6C4E">
        <w:rPr>
          <w:rFonts w:ascii="Calibri" w:hAnsi="Calibri"/>
          <w:b/>
          <w:sz w:val="24"/>
        </w:rPr>
        <w:t>The basic model excluding IPT</w:t>
      </w:r>
    </w:p>
    <w:p w:rsidR="00415958" w:rsidRPr="00EF6C4E" w:rsidRDefault="00415958" w:rsidP="00415958">
      <w:pPr>
        <w:spacing w:line="360" w:lineRule="auto"/>
        <w:rPr>
          <w:rFonts w:ascii="Calibri" w:hAnsi="Calibri"/>
          <w:sz w:val="24"/>
          <w:szCs w:val="22"/>
        </w:rPr>
      </w:pPr>
      <w:r w:rsidRPr="00EF6C4E">
        <w:rPr>
          <w:rFonts w:ascii="Calibri" w:hAnsi="Calibri"/>
          <w:sz w:val="24"/>
        </w:rPr>
        <w:t xml:space="preserve">A diagram of the basic model structure incorporating superinfection and prophylaxis after treatment is shown in figure </w:t>
      </w:r>
      <w:r w:rsidR="0068531B" w:rsidRPr="00EF6C4E">
        <w:rPr>
          <w:rFonts w:ascii="Calibri" w:hAnsi="Calibri"/>
          <w:sz w:val="24"/>
        </w:rPr>
        <w:t>S2</w:t>
      </w:r>
      <w:r w:rsidRPr="00EF6C4E">
        <w:rPr>
          <w:rFonts w:ascii="Calibri" w:hAnsi="Calibri"/>
          <w:sz w:val="24"/>
        </w:rPr>
        <w:t xml:space="preserve">. The </w:t>
      </w:r>
      <w:r w:rsidRPr="00EF6C4E">
        <w:rPr>
          <w:rFonts w:ascii="Calibri" w:hAnsi="Calibri"/>
          <w:sz w:val="24"/>
          <w:szCs w:val="22"/>
        </w:rPr>
        <w:t>differential equations describing movements between the compartments of the model are shown below. Incorporation of IPT and age group is discussed in the next section.</w:t>
      </w:r>
    </w:p>
    <w:p w:rsidR="00415958" w:rsidRPr="00EF6C4E" w:rsidRDefault="00415958" w:rsidP="00415958">
      <w:pPr>
        <w:spacing w:line="360" w:lineRule="auto"/>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Equations for the basic model excluding IPT</w:t>
      </w:r>
    </w:p>
    <w:p w:rsidR="00415958" w:rsidRPr="00EF6C4E" w:rsidRDefault="00AA2259" w:rsidP="00415958">
      <w:pPr>
        <w:spacing w:line="360" w:lineRule="auto"/>
        <w:outlineLvl w:val="0"/>
        <w:rPr>
          <w:rFonts w:ascii="Calibri" w:hAnsi="Calibri"/>
          <w:sz w:val="24"/>
          <w:szCs w:val="22"/>
        </w:rPr>
      </w:pPr>
      <w:r w:rsidRPr="00AA2259">
        <w:rPr>
          <w:rFonts w:ascii="Calibri" w:hAnsi="Calibri"/>
          <w:position w:val="-218"/>
          <w:sz w:val="24"/>
        </w:rPr>
        <w:pict>
          <v:shape id="_x0000_i1029" type="#_x0000_t75" style="width:175.6pt;height:228.65pt">
            <v:imagedata r:id="rId7" o:title=""/>
          </v:shape>
        </w:pict>
      </w:r>
    </w:p>
    <w:p w:rsidR="00415958" w:rsidRPr="00EF6C4E" w:rsidRDefault="00415958" w:rsidP="00415958">
      <w:pPr>
        <w:spacing w:line="360" w:lineRule="auto"/>
        <w:outlineLvl w:val="0"/>
        <w:rPr>
          <w:rFonts w:ascii="Calibri" w:hAnsi="Calibri"/>
          <w:sz w:val="24"/>
          <w:szCs w:val="22"/>
        </w:rPr>
      </w:pPr>
    </w:p>
    <w:p w:rsidR="00415958" w:rsidRPr="00EF6C4E" w:rsidRDefault="00415958" w:rsidP="005E701F">
      <w:pPr>
        <w:spacing w:line="360" w:lineRule="auto"/>
        <w:outlineLvl w:val="0"/>
        <w:rPr>
          <w:rFonts w:ascii="Calibri" w:hAnsi="Calibri"/>
          <w:b/>
          <w:sz w:val="24"/>
          <w:szCs w:val="22"/>
        </w:rPr>
      </w:pPr>
      <w:r w:rsidRPr="00EF6C4E">
        <w:rPr>
          <w:rFonts w:ascii="Calibri" w:hAnsi="Calibri"/>
          <w:b/>
          <w:sz w:val="24"/>
          <w:szCs w:val="22"/>
        </w:rPr>
        <w:t>Number of children under observation and initial conditions</w:t>
      </w:r>
    </w:p>
    <w:p w:rsidR="00415958" w:rsidRPr="00EF6C4E" w:rsidRDefault="00415958" w:rsidP="00415958">
      <w:pPr>
        <w:spacing w:line="360" w:lineRule="auto"/>
        <w:outlineLvl w:val="0"/>
        <w:rPr>
          <w:rFonts w:ascii="Calibri" w:hAnsi="Calibri"/>
          <w:sz w:val="24"/>
          <w:szCs w:val="22"/>
          <w:lang w:val="fr-FR"/>
        </w:rPr>
      </w:pPr>
      <w:r w:rsidRPr="00EF6C4E">
        <w:rPr>
          <w:rFonts w:ascii="Calibri" w:hAnsi="Calibri"/>
          <w:sz w:val="24"/>
          <w:szCs w:val="22"/>
        </w:rPr>
        <w:t xml:space="preserve">Because the number of children are modelled (rather than the prevalence in all children) the sum of the different states in the model is the total number of children currently under observation. All states of the model begin with the value zero. </w:t>
      </w:r>
      <w:r w:rsidRPr="00EF6C4E">
        <w:rPr>
          <w:rFonts w:ascii="Calibri" w:hAnsi="Calibri"/>
          <w:sz w:val="24"/>
          <w:szCs w:val="22"/>
          <w:lang w:val="fr-FR"/>
        </w:rPr>
        <w:t xml:space="preserve">Expressed mathematically, </w:t>
      </w:r>
    </w:p>
    <w:p w:rsidR="005E701F" w:rsidRDefault="00AA2259" w:rsidP="00415958">
      <w:pPr>
        <w:spacing w:line="360" w:lineRule="auto"/>
        <w:outlineLvl w:val="0"/>
        <w:rPr>
          <w:rFonts w:ascii="Calibri" w:hAnsi="Calibri"/>
          <w:position w:val="-64"/>
          <w:sz w:val="24"/>
        </w:rPr>
      </w:pPr>
      <w:r w:rsidRPr="00AA2259">
        <w:rPr>
          <w:rFonts w:ascii="Calibri" w:hAnsi="Calibri"/>
          <w:position w:val="-64"/>
          <w:sz w:val="24"/>
        </w:rPr>
        <w:lastRenderedPageBreak/>
        <w:pict>
          <v:shape id="_x0000_i1030" type="#_x0000_t75" style="width:300.65pt;height:70.75pt">
            <v:imagedata r:id="rId8" o:title=""/>
          </v:shape>
        </w:pict>
      </w:r>
    </w:p>
    <w:p w:rsidR="00935C31" w:rsidRDefault="00935C31" w:rsidP="005E701F">
      <w:pPr>
        <w:spacing w:line="360" w:lineRule="auto"/>
        <w:outlineLvl w:val="0"/>
        <w:rPr>
          <w:rFonts w:ascii="Calibri" w:hAnsi="Calibri"/>
          <w:b/>
          <w:sz w:val="24"/>
          <w:szCs w:val="22"/>
        </w:rPr>
      </w:pPr>
    </w:p>
    <w:p w:rsidR="005E701F" w:rsidRPr="00EF6C4E" w:rsidRDefault="005E701F" w:rsidP="005E701F">
      <w:pPr>
        <w:spacing w:line="360" w:lineRule="auto"/>
        <w:outlineLvl w:val="0"/>
        <w:rPr>
          <w:rFonts w:ascii="Calibri" w:hAnsi="Calibri"/>
          <w:b/>
          <w:sz w:val="24"/>
          <w:szCs w:val="22"/>
        </w:rPr>
      </w:pPr>
      <w:r>
        <w:rPr>
          <w:rFonts w:ascii="Calibri" w:hAnsi="Calibri"/>
          <w:b/>
          <w:sz w:val="24"/>
          <w:szCs w:val="22"/>
        </w:rPr>
        <w:t>Force of infection</w:t>
      </w:r>
    </w:p>
    <w:p w:rsidR="00935C31" w:rsidRDefault="005E701F" w:rsidP="00935C31">
      <w:pPr>
        <w:spacing w:line="360" w:lineRule="auto"/>
        <w:outlineLvl w:val="0"/>
        <w:rPr>
          <w:rFonts w:ascii="Calibri" w:hAnsi="Calibri"/>
          <w:sz w:val="24"/>
          <w:szCs w:val="22"/>
        </w:rPr>
      </w:pPr>
      <w:r>
        <w:rPr>
          <w:rFonts w:ascii="Calibri" w:hAnsi="Calibri"/>
          <w:sz w:val="24"/>
          <w:szCs w:val="22"/>
        </w:rPr>
        <w:t xml:space="preserve">The force of infection acting on children depends on the </w:t>
      </w:r>
      <w:r w:rsidR="00935C31">
        <w:rPr>
          <w:rFonts w:ascii="Calibri" w:hAnsi="Calibri"/>
          <w:sz w:val="24"/>
          <w:szCs w:val="22"/>
        </w:rPr>
        <w:t xml:space="preserve">entomological inoculation rate, </w:t>
      </w:r>
      <w:r w:rsidR="00006677" w:rsidRPr="00006677">
        <w:rPr>
          <w:rFonts w:ascii="Calibri" w:hAnsi="Calibri"/>
          <w:i/>
          <w:sz w:val="24"/>
          <w:szCs w:val="22"/>
        </w:rPr>
        <w:t>EIR</w:t>
      </w:r>
      <w:r w:rsidR="00935C31">
        <w:rPr>
          <w:rFonts w:ascii="Calibri" w:hAnsi="Calibri"/>
          <w:sz w:val="24"/>
          <w:szCs w:val="22"/>
        </w:rPr>
        <w:t xml:space="preserve">, (the number of potentially infective bites per human per unit time), </w:t>
      </w:r>
      <w:r>
        <w:rPr>
          <w:rFonts w:ascii="Calibri" w:hAnsi="Calibri"/>
          <w:sz w:val="24"/>
          <w:szCs w:val="22"/>
        </w:rPr>
        <w:t>and the proportion of infective bites that are infectious to humans</w:t>
      </w:r>
      <w:r w:rsidR="00935C31">
        <w:rPr>
          <w:rFonts w:ascii="Calibri" w:hAnsi="Calibri"/>
          <w:sz w:val="24"/>
          <w:szCs w:val="22"/>
        </w:rPr>
        <w:t xml:space="preserve">, </w:t>
      </w:r>
      <w:r w:rsidR="00006677" w:rsidRPr="00006677">
        <w:rPr>
          <w:rFonts w:ascii="Calibri" w:hAnsi="Calibri"/>
          <w:i/>
          <w:sz w:val="24"/>
          <w:szCs w:val="22"/>
        </w:rPr>
        <w:t>b</w:t>
      </w:r>
      <w:r>
        <w:rPr>
          <w:rFonts w:ascii="Calibri" w:hAnsi="Calibri"/>
          <w:sz w:val="24"/>
          <w:szCs w:val="22"/>
        </w:rPr>
        <w:t xml:space="preserve">. The EIR is either modelled as a function fitted to entomological data, or a hypothetical function </w:t>
      </w:r>
      <w:r w:rsidR="00935C31">
        <w:rPr>
          <w:rFonts w:ascii="Calibri" w:hAnsi="Calibri"/>
          <w:sz w:val="24"/>
          <w:szCs w:val="22"/>
        </w:rPr>
        <w:t xml:space="preserve">to simulate the EIR in a range of transmission patterns. Further details are given below in the section </w:t>
      </w:r>
      <w:r w:rsidR="00935C31" w:rsidRPr="00935C31">
        <w:rPr>
          <w:rFonts w:ascii="Calibri" w:hAnsi="Calibri"/>
          <w:sz w:val="24"/>
          <w:szCs w:val="22"/>
        </w:rPr>
        <w:t>‘</w:t>
      </w:r>
      <w:r w:rsidR="00006677" w:rsidRPr="00006677">
        <w:rPr>
          <w:rFonts w:ascii="Calibri" w:hAnsi="Calibri"/>
          <w:sz w:val="24"/>
          <w:szCs w:val="22"/>
        </w:rPr>
        <w:t>Fitting the entomological inoculation rate’</w:t>
      </w:r>
    </w:p>
    <w:p w:rsidR="00935C31" w:rsidRDefault="00935C31" w:rsidP="00935C31">
      <w:pPr>
        <w:spacing w:line="360" w:lineRule="auto"/>
        <w:outlineLvl w:val="0"/>
        <w:rPr>
          <w:rFonts w:ascii="Calibri" w:hAnsi="Calibri"/>
          <w:sz w:val="24"/>
          <w:szCs w:val="22"/>
        </w:rPr>
      </w:pPr>
    </w:p>
    <w:p w:rsidR="005E701F" w:rsidRPr="005E701F" w:rsidRDefault="00935C31" w:rsidP="00415958">
      <w:pPr>
        <w:spacing w:line="360" w:lineRule="auto"/>
        <w:outlineLvl w:val="0"/>
        <w:rPr>
          <w:rFonts w:ascii="Calibri" w:hAnsi="Calibri"/>
          <w:position w:val="-64"/>
          <w:sz w:val="24"/>
        </w:rPr>
      </w:pPr>
      <w:r>
        <w:rPr>
          <w:rFonts w:ascii="Times New Roman" w:hAnsi="Times New Roman"/>
          <w:sz w:val="24"/>
          <w:szCs w:val="22"/>
        </w:rPr>
        <w:t xml:space="preserve">at </w:t>
      </w:r>
      <w:r w:rsidR="00006677" w:rsidRPr="00006677">
        <w:rPr>
          <w:rFonts w:ascii="Times New Roman" w:hAnsi="Times New Roman"/>
          <w:sz w:val="24"/>
          <w:szCs w:val="22"/>
        </w:rPr>
        <w:t xml:space="preserve">time </w:t>
      </w:r>
      <w:r w:rsidR="00006677" w:rsidRPr="00006677">
        <w:rPr>
          <w:rFonts w:ascii="Times New Roman" w:hAnsi="Times New Roman"/>
          <w:i/>
          <w:sz w:val="24"/>
          <w:szCs w:val="22"/>
        </w:rPr>
        <w:t>t</w:t>
      </w:r>
      <w:r w:rsidR="00006677" w:rsidRPr="00006677">
        <w:rPr>
          <w:rFonts w:ascii="Times New Roman" w:hAnsi="Times New Roman"/>
          <w:sz w:val="24"/>
          <w:szCs w:val="22"/>
        </w:rPr>
        <w:t>,</w:t>
      </w:r>
      <w:r>
        <w:rPr>
          <w:rFonts w:ascii="Times New Roman" w:hAnsi="Times New Roman"/>
          <w:sz w:val="24"/>
          <w:szCs w:val="22"/>
        </w:rPr>
        <w:t xml:space="preserve">        </w:t>
      </w:r>
      <w:r w:rsidR="005E701F" w:rsidRPr="00466AB0">
        <w:rPr>
          <w:position w:val="-10"/>
        </w:rPr>
        <w:object w:dxaOrig="1660" w:dyaOrig="320">
          <v:shape id="_x0000_i1031" type="#_x0000_t75" style="width:83.35pt;height:15.15pt" o:ole="">
            <v:imagedata r:id="rId9" o:title=""/>
          </v:shape>
          <o:OLEObject Type="Embed" ProgID="Equation.3" ShapeID="_x0000_i1031" DrawAspect="Content" ObjectID="_1362734382" r:id="rId10"/>
        </w:object>
      </w:r>
    </w:p>
    <w:p w:rsidR="00415958" w:rsidRPr="00EF6C4E" w:rsidRDefault="00415958" w:rsidP="00415958">
      <w:pPr>
        <w:spacing w:line="360" w:lineRule="auto"/>
        <w:outlineLvl w:val="0"/>
        <w:rPr>
          <w:rFonts w:ascii="Calibri" w:hAnsi="Calibri"/>
          <w:sz w:val="24"/>
          <w:szCs w:val="22"/>
        </w:rPr>
      </w:pPr>
    </w:p>
    <w:p w:rsidR="00B31982" w:rsidRPr="00EF6C4E" w:rsidRDefault="00B31982" w:rsidP="00415958">
      <w:pPr>
        <w:spacing w:line="360" w:lineRule="auto"/>
        <w:outlineLvl w:val="0"/>
        <w:rPr>
          <w:rFonts w:ascii="Calibri" w:hAnsi="Calibri"/>
          <w:sz w:val="24"/>
          <w:szCs w:val="22"/>
        </w:rPr>
      </w:pPr>
    </w:p>
    <w:p w:rsidR="00415958" w:rsidRPr="00EF6C4E" w:rsidRDefault="002E6D17" w:rsidP="00415958">
      <w:pPr>
        <w:spacing w:line="360" w:lineRule="auto"/>
        <w:rPr>
          <w:rFonts w:ascii="Calibri" w:hAnsi="Calibri"/>
          <w:sz w:val="24"/>
        </w:rPr>
      </w:pPr>
      <w:r>
        <w:rPr>
          <w:rFonts w:ascii="Calibri" w:hAnsi="Calibri"/>
          <w:b/>
          <w:sz w:val="24"/>
        </w:rPr>
        <w:br w:type="page"/>
      </w:r>
      <w:r w:rsidR="0068531B" w:rsidRPr="00EF6C4E">
        <w:rPr>
          <w:rFonts w:ascii="Calibri" w:hAnsi="Calibri"/>
          <w:b/>
          <w:sz w:val="24"/>
        </w:rPr>
        <w:lastRenderedPageBreak/>
        <w:t>Figure S2</w:t>
      </w:r>
      <w:r w:rsidR="00B96760" w:rsidRPr="00EF6C4E">
        <w:rPr>
          <w:rFonts w:ascii="Calibri" w:hAnsi="Calibri"/>
          <w:b/>
          <w:sz w:val="24"/>
        </w:rPr>
        <w:t>.</w:t>
      </w:r>
      <w:r w:rsidR="00415958" w:rsidRPr="00EF6C4E">
        <w:rPr>
          <w:rFonts w:ascii="Calibri" w:hAnsi="Calibri"/>
          <w:b/>
          <w:sz w:val="24"/>
        </w:rPr>
        <w:t xml:space="preserve"> Diagram of the basic model excluding IPT</w:t>
      </w:r>
    </w:p>
    <w:p w:rsidR="00415958" w:rsidRPr="00EF6C4E" w:rsidRDefault="00AA2259" w:rsidP="00415958">
      <w:pPr>
        <w:outlineLvl w:val="0"/>
        <w:rPr>
          <w:rFonts w:ascii="Calibri" w:hAnsi="Calibri"/>
          <w:sz w:val="24"/>
          <w:szCs w:val="22"/>
        </w:rPr>
      </w:pPr>
      <w:r>
        <w:rPr>
          <w:rFonts w:ascii="Calibri" w:hAnsi="Calibri"/>
          <w:sz w:val="24"/>
          <w:szCs w:val="22"/>
        </w:rPr>
      </w:r>
      <w:r>
        <w:rPr>
          <w:rFonts w:ascii="Calibri" w:hAnsi="Calibri"/>
          <w:sz w:val="24"/>
          <w:szCs w:val="22"/>
        </w:rPr>
        <w:pict>
          <v:group id="_x0000_s1157" editas="canvas" style="width:423.05pt;height:297pt;mso-position-horizontal-relative:char;mso-position-vertical-relative:line" coordorigin="2757,2035" coordsize="8848,6362">
            <o:lock v:ext="edit" aspectratio="t"/>
            <v:shape id="_x0000_s1158" type="#_x0000_t75" style="position:absolute;left:2757;top:2035;width:8848;height:6362" o:preferrelative="f">
              <v:fill o:detectmouseclick="t"/>
              <v:path o:extrusionok="t" o:connecttype="none"/>
              <o:lock v:ext="edit" text="t"/>
            </v:shape>
            <v:shape id="_x0000_s1159" type="#_x0000_t202" style="position:absolute;left:2849;top:5467;width:837;height:772">
              <v:textbox style="mso-next-textbox:#_x0000_s1159" inset="5.76pt,2.88pt,5.76pt,2.88pt">
                <w:txbxContent>
                  <w:p w:rsidR="00896728" w:rsidRPr="00E126A9" w:rsidRDefault="00896728" w:rsidP="00415958">
                    <w:pPr>
                      <w:jc w:val="center"/>
                      <w:rPr>
                        <w:sz w:val="19"/>
                      </w:rPr>
                    </w:pPr>
                  </w:p>
                  <w:p w:rsidR="00896728" w:rsidRPr="00E126A9" w:rsidRDefault="00896728" w:rsidP="00415958">
                    <w:pPr>
                      <w:jc w:val="center"/>
                      <w:rPr>
                        <w:sz w:val="19"/>
                      </w:rPr>
                    </w:pPr>
                    <w:r w:rsidRPr="00E126A9">
                      <w:rPr>
                        <w:sz w:val="19"/>
                      </w:rPr>
                      <w:t>U</w:t>
                    </w:r>
                  </w:p>
                </w:txbxContent>
              </v:textbox>
            </v:shape>
            <v:shape id="_x0000_s1160" type="#_x0000_t202" style="position:absolute;left:4439;top:5467;width:837;height:772">
              <v:textbox style="mso-next-textbox:#_x0000_s1160" inset="5.76pt,2.88pt,5.76pt,2.88pt">
                <w:txbxContent>
                  <w:p w:rsidR="00896728" w:rsidRPr="00E126A9" w:rsidRDefault="00896728" w:rsidP="00415958">
                    <w:pPr>
                      <w:jc w:val="center"/>
                      <w:rPr>
                        <w:sz w:val="19"/>
                      </w:rPr>
                    </w:pPr>
                  </w:p>
                  <w:p w:rsidR="00896728" w:rsidRPr="00F83F52" w:rsidRDefault="00896728" w:rsidP="00415958">
                    <w:pPr>
                      <w:jc w:val="center"/>
                      <w:rPr>
                        <w:sz w:val="19"/>
                        <w:vertAlign w:val="subscript"/>
                      </w:rPr>
                    </w:pPr>
                    <w:r w:rsidRPr="00E126A9">
                      <w:rPr>
                        <w:sz w:val="19"/>
                      </w:rPr>
                      <w:t>E</w:t>
                    </w:r>
                    <w:r>
                      <w:rPr>
                        <w:sz w:val="19"/>
                        <w:vertAlign w:val="subscript"/>
                      </w:rPr>
                      <w:t>1</w:t>
                    </w:r>
                  </w:p>
                </w:txbxContent>
              </v:textbox>
            </v:shape>
            <v:shape id="_x0000_s1161" type="#_x0000_t202" style="position:absolute;left:6449;top:6701;width:835;height:773">
              <v:textbox style="mso-next-textbox:#_x0000_s1161"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sidRPr="00E126A9">
                      <w:rPr>
                        <w:sz w:val="19"/>
                      </w:rPr>
                      <w:t>A</w:t>
                    </w:r>
                    <w:r w:rsidRPr="00E126A9">
                      <w:rPr>
                        <w:sz w:val="19"/>
                        <w:vertAlign w:val="subscript"/>
                      </w:rPr>
                      <w:t>1</w:t>
                    </w:r>
                  </w:p>
                </w:txbxContent>
              </v:textbox>
            </v:shape>
            <v:shape id="_x0000_s1162" type="#_x0000_t202" style="position:absolute;left:6731;top:3963;width:834;height:771">
              <v:textbox style="mso-next-textbox:#_x0000_s1162" inset="5.76pt,2.88pt,5.76pt,2.88pt">
                <w:txbxContent>
                  <w:p w:rsidR="00896728" w:rsidRPr="00E126A9" w:rsidRDefault="00896728" w:rsidP="00415958">
                    <w:pPr>
                      <w:jc w:val="center"/>
                      <w:rPr>
                        <w:sz w:val="19"/>
                      </w:rPr>
                    </w:pPr>
                  </w:p>
                  <w:p w:rsidR="00896728" w:rsidRPr="00F87B42" w:rsidRDefault="00896728" w:rsidP="00415958">
                    <w:pPr>
                      <w:jc w:val="center"/>
                      <w:rPr>
                        <w:sz w:val="19"/>
                        <w:vertAlign w:val="subscript"/>
                      </w:rPr>
                    </w:pPr>
                    <w:r w:rsidRPr="00E126A9">
                      <w:rPr>
                        <w:sz w:val="19"/>
                      </w:rPr>
                      <w:t>S</w:t>
                    </w:r>
                    <w:r>
                      <w:rPr>
                        <w:sz w:val="19"/>
                        <w:vertAlign w:val="subscript"/>
                      </w:rPr>
                      <w:t>1</w:t>
                    </w:r>
                  </w:p>
                </w:txbxContent>
              </v:textbox>
            </v:shape>
            <v:shape id="_x0000_s1163" type="#_x0000_t202" style="position:absolute;left:7872;top:6701;width:836;height:773">
              <v:textbox style="mso-next-textbox:#_x0000_s1163"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sidRPr="00E126A9">
                      <w:rPr>
                        <w:sz w:val="19"/>
                      </w:rPr>
                      <w:t>A</w:t>
                    </w:r>
                    <w:r w:rsidRPr="00E126A9">
                      <w:rPr>
                        <w:sz w:val="19"/>
                        <w:vertAlign w:val="subscript"/>
                      </w:rPr>
                      <w:t>2</w:t>
                    </w:r>
                  </w:p>
                </w:txbxContent>
              </v:textbox>
            </v:shape>
            <v:line id="_x0000_s1164" style="position:absolute" from="3687,5831" to="4441,5832">
              <v:stroke endarrow="block"/>
            </v:line>
            <v:line id="_x0000_s1165" style="position:absolute" from="7281,7071" to="7867,7072">
              <v:stroke endarrow="block"/>
            </v:line>
            <v:shape id="_x0000_s1166" type="#_x0000_t32" style="position:absolute;left:5276;top:5853;width:1173;height:1234" o:connectortype="straight">
              <v:stroke endarrow="block"/>
            </v:shape>
            <v:shape id="_x0000_s1167" type="#_x0000_t32" style="position:absolute;left:5276;top:4348;width:1455;height:1505;flip:y" o:connectortype="straight">
              <v:stroke endarrow="block"/>
            </v:shape>
            <v:shape id="_x0000_s1168" type="#_x0000_t34" style="position:absolute;left:6668;top:3481;width:962;height:1;rotation:270" o:connectortype="elbow" adj=",-78991200,-143286">
              <v:stroke endarrow="block"/>
            </v:shape>
            <v:shape id="_x0000_s1169" type="#_x0000_t202" style="position:absolute;left:9314;top:6696;width:836;height:773">
              <v:textbox style="mso-next-textbox:#_x0000_s1169"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sidRPr="00E126A9">
                      <w:rPr>
                        <w:sz w:val="19"/>
                      </w:rPr>
                      <w:t>A</w:t>
                    </w:r>
                    <w:r>
                      <w:rPr>
                        <w:sz w:val="19"/>
                        <w:vertAlign w:val="subscript"/>
                      </w:rPr>
                      <w:t>3</w:t>
                    </w:r>
                  </w:p>
                </w:txbxContent>
              </v:textbox>
            </v:shape>
            <v:line id="_x0000_s1170" style="position:absolute" from="8744,7070" to="9330,7071">
              <v:stroke endarrow="block"/>
            </v:line>
            <v:shape id="_x0000_s1171" type="#_x0000_t202" style="position:absolute;left:10768;top:6717;width:836;height:773">
              <v:textbox style="mso-next-textbox:#_x0000_s1171"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sidRPr="00E126A9">
                      <w:rPr>
                        <w:sz w:val="19"/>
                      </w:rPr>
                      <w:t>A</w:t>
                    </w:r>
                    <w:r>
                      <w:rPr>
                        <w:sz w:val="19"/>
                        <w:vertAlign w:val="subscript"/>
                      </w:rPr>
                      <w:t>4</w:t>
                    </w:r>
                  </w:p>
                </w:txbxContent>
              </v:textbox>
            </v:shape>
            <v:line id="_x0000_s1172" style="position:absolute" from="10169,7070" to="10755,7071">
              <v:stroke endarrow="block"/>
            </v:line>
            <v:shape id="_x0000_s1173" type="#_x0000_t34" style="position:absolute;left:6601;top:2905;width:1251;height:7920;rotation:90;flip:y" o:connectortype="elbow" adj="-6658,-19823,181584">
              <v:stroke endarrow="block"/>
            </v:shape>
            <v:shape id="_x0000_s1174" type="#_x0000_t202" style="position:absolute;left:8718;top:3963;width:837;height:772">
              <v:textbox style="mso-next-textbox:#_x0000_s1174" inset="5.76pt,2.88pt,5.76pt,2.88pt">
                <w:txbxContent>
                  <w:p w:rsidR="00896728" w:rsidRPr="00E126A9" w:rsidRDefault="00896728" w:rsidP="00415958">
                    <w:pPr>
                      <w:jc w:val="center"/>
                      <w:rPr>
                        <w:sz w:val="19"/>
                      </w:rPr>
                    </w:pPr>
                  </w:p>
                  <w:p w:rsidR="00896728" w:rsidRPr="00F83F52" w:rsidRDefault="00896728" w:rsidP="00415958">
                    <w:pPr>
                      <w:jc w:val="center"/>
                      <w:rPr>
                        <w:sz w:val="19"/>
                        <w:vertAlign w:val="subscript"/>
                      </w:rPr>
                    </w:pPr>
                    <w:r w:rsidRPr="00E126A9">
                      <w:rPr>
                        <w:sz w:val="19"/>
                      </w:rPr>
                      <w:t>E</w:t>
                    </w:r>
                    <w:r>
                      <w:rPr>
                        <w:sz w:val="19"/>
                        <w:vertAlign w:val="subscript"/>
                      </w:rPr>
                      <w:t>2</w:t>
                    </w:r>
                  </w:p>
                </w:txbxContent>
              </v:textbox>
            </v:shape>
            <v:shape id="_x0000_s1175" type="#_x0000_t32" style="position:absolute;left:9450;top:4734;width:1737;height:1983;flip:x y" o:connectortype="straight">
              <v:stroke endarrow="block"/>
            </v:shape>
            <v:shape id="_x0000_s1176" type="#_x0000_t32" style="position:absolute;left:9252;top:4723;width:480;height:1973;flip:x y" o:connectortype="straight">
              <v:stroke endarrow="block"/>
            </v:shape>
            <v:shape id="_x0000_s1177" type="#_x0000_t32" style="position:absolute;left:8195;top:4734;width:831;height:1932;flip:y" o:connectortype="straight">
              <v:stroke endarrow="block"/>
            </v:shape>
            <v:shape id="_x0000_s1178" type="#_x0000_t32" style="position:absolute;left:7565;top:4348;width:1153;height:1;flip:x y" o:connectortype="straight">
              <v:stroke endarrow="block"/>
            </v:shape>
            <v:shape id="_x0000_s1179" type="#_x0000_t32" style="position:absolute;left:6867;top:4350;width:1851;height:2350;flip:x" o:connectortype="straight">
              <v:stroke endarrow="block"/>
            </v:shape>
            <v:shape id="_x0000_s1180" type="#_x0000_t202" style="position:absolute;left:3698;top:5312;width:924;height:386" filled="f" stroked="f">
              <v:fill opacity="0"/>
              <v:textbox style="mso-next-textbox:#_x0000_s1180">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181" type="#_x0000_t202" style="position:absolute;left:5316;top:4746;width:732;height:578" filled="f" stroked="f">
              <v:fill opacity="0"/>
              <v:textbox style="mso-next-textbox:#_x0000_s1181">
                <w:txbxContent>
                  <w:p w:rsidR="00896728" w:rsidRPr="00B86471" w:rsidRDefault="00896728" w:rsidP="00415958">
                    <w:pPr>
                      <w:rPr>
                        <w:rFonts w:ascii="Times New Roman" w:hAnsi="Times New Roman"/>
                        <w:vertAlign w:val="subscript"/>
                      </w:rPr>
                    </w:pPr>
                    <w:r>
                      <w:rPr>
                        <w:rFonts w:ascii="Times New Roman" w:hAnsi="Times New Roman"/>
                      </w:rPr>
                      <w:t>θ</w:t>
                    </w:r>
                    <w:r w:rsidRPr="00D82B7A">
                      <w:rPr>
                        <w:rFonts w:ascii="Times New Roman" w:hAnsi="Times New Roman"/>
                        <w:i/>
                      </w:rPr>
                      <w:t xml:space="preserve"> </w:t>
                    </w:r>
                    <w:r w:rsidRPr="00E64DA5">
                      <w:rPr>
                        <w:rFonts w:ascii="Times New Roman" w:hAnsi="Times New Roman"/>
                        <w:i/>
                      </w:rPr>
                      <w:t>f</w:t>
                    </w:r>
                  </w:p>
                </w:txbxContent>
              </v:textbox>
            </v:shape>
            <v:shape id="_x0000_s1182" type="#_x0000_t202" style="position:absolute;left:4952;top:6359;width:1359;height:578" filled="f" stroked="f">
              <v:fill opacity="0"/>
              <v:textbox style="mso-next-textbox:#_x0000_s1182">
                <w:txbxContent>
                  <w:p w:rsidR="00896728" w:rsidRPr="00B86471" w:rsidRDefault="00896728" w:rsidP="00415958">
                    <w:pPr>
                      <w:rPr>
                        <w:rFonts w:ascii="Times New Roman" w:hAnsi="Times New Roman"/>
                      </w:rPr>
                    </w:pPr>
                    <w:r w:rsidRPr="002C2DA3">
                      <w:rPr>
                        <w:rFonts w:ascii="Times New Roman" w:hAnsi="Times New Roman"/>
                      </w:rPr>
                      <w:t>(</w:t>
                    </w:r>
                    <w:r>
                      <w:rPr>
                        <w:rFonts w:ascii="Times New Roman" w:hAnsi="Times New Roman"/>
                      </w:rPr>
                      <w:t>1-θ)</w:t>
                    </w:r>
                    <w:r w:rsidRPr="00E64DA5">
                      <w:rPr>
                        <w:rFonts w:ascii="Times New Roman" w:hAnsi="Times New Roman"/>
                        <w:i/>
                      </w:rPr>
                      <w:t>f</w:t>
                    </w:r>
                  </w:p>
                </w:txbxContent>
              </v:textbox>
            </v:shape>
            <v:shape id="_x0000_s1183" type="#_x0000_t202" style="position:absolute;left:7672;top:3963;width:733;height:578" filled="f" stroked="f">
              <v:fill opacity="0"/>
              <v:textbox style="mso-next-textbox:#_x0000_s1183">
                <w:txbxContent>
                  <w:p w:rsidR="00896728" w:rsidRPr="00B86471" w:rsidRDefault="00896728" w:rsidP="00415958">
                    <w:pPr>
                      <w:rPr>
                        <w:rFonts w:ascii="Times New Roman" w:hAnsi="Times New Roman"/>
                        <w:vertAlign w:val="subscript"/>
                      </w:rPr>
                    </w:pPr>
                    <w:r>
                      <w:rPr>
                        <w:rFonts w:ascii="Times New Roman" w:hAnsi="Times New Roman"/>
                      </w:rPr>
                      <w:t>θ</w:t>
                    </w:r>
                    <w:r w:rsidRPr="00D82B7A">
                      <w:rPr>
                        <w:rFonts w:ascii="Times New Roman" w:hAnsi="Times New Roman"/>
                        <w:i/>
                      </w:rPr>
                      <w:t xml:space="preserve"> </w:t>
                    </w:r>
                    <w:r w:rsidRPr="00E64DA5">
                      <w:rPr>
                        <w:rFonts w:ascii="Times New Roman" w:hAnsi="Times New Roman"/>
                        <w:i/>
                      </w:rPr>
                      <w:t>f</w:t>
                    </w:r>
                  </w:p>
                </w:txbxContent>
              </v:textbox>
            </v:shape>
            <v:shape id="_x0000_s1184" type="#_x0000_t202" style="position:absolute;left:6898;top:5312;width:1360;height:579" filled="f" stroked="f">
              <v:fill opacity="0"/>
              <v:textbox style="mso-next-textbox:#_x0000_s1184">
                <w:txbxContent>
                  <w:p w:rsidR="00896728" w:rsidRPr="00B86471" w:rsidRDefault="00896728" w:rsidP="00415958">
                    <w:pPr>
                      <w:rPr>
                        <w:rFonts w:ascii="Times New Roman" w:hAnsi="Times New Roman"/>
                      </w:rPr>
                    </w:pPr>
                    <w:r>
                      <w:rPr>
                        <w:rFonts w:ascii="Times New Roman" w:hAnsi="Times New Roman"/>
                      </w:rPr>
                      <w:t>(1-θ)</w:t>
                    </w:r>
                    <w:r w:rsidRPr="00E64DA5">
                      <w:rPr>
                        <w:rFonts w:ascii="Times New Roman" w:hAnsi="Times New Roman"/>
                        <w:i/>
                      </w:rPr>
                      <w:t>f</w:t>
                    </w:r>
                  </w:p>
                </w:txbxContent>
              </v:textbox>
            </v:shape>
            <v:shape id="_x0000_s1185" type="#_x0000_t202" style="position:absolute;left:7317;top:6662;width:418;height:385" filled="f" stroked="f">
              <v:fill opacity="0"/>
              <v:textbox style="mso-next-textbox:#_x0000_s1185">
                <w:txbxContent>
                  <w:p w:rsidR="00896728" w:rsidRPr="00E64DA5" w:rsidRDefault="00896728" w:rsidP="00415958">
                    <w:pPr>
                      <w:rPr>
                        <w:rFonts w:ascii="Times New Roman" w:hAnsi="Times New Roman"/>
                        <w:i/>
                      </w:rPr>
                    </w:pPr>
                    <w:r w:rsidRPr="00E64DA5">
                      <w:rPr>
                        <w:rFonts w:ascii="Times New Roman" w:hAnsi="Times New Roman"/>
                        <w:i/>
                      </w:rPr>
                      <w:t>r</w:t>
                    </w:r>
                  </w:p>
                </w:txbxContent>
              </v:textbox>
            </v:shape>
            <v:shape id="_x0000_s1186" type="#_x0000_t202" style="position:absolute;left:8781;top:6662;width:418;height:385" filled="f" stroked="f">
              <v:fill opacity="0"/>
              <v:textbox style="mso-next-textbox:#_x0000_s1186">
                <w:txbxContent>
                  <w:p w:rsidR="00896728" w:rsidRPr="00E64DA5" w:rsidRDefault="00896728" w:rsidP="00415958">
                    <w:pPr>
                      <w:rPr>
                        <w:rFonts w:ascii="Times New Roman" w:hAnsi="Times New Roman"/>
                        <w:i/>
                      </w:rPr>
                    </w:pPr>
                    <w:r w:rsidRPr="00E64DA5">
                      <w:rPr>
                        <w:rFonts w:ascii="Times New Roman" w:hAnsi="Times New Roman"/>
                        <w:i/>
                      </w:rPr>
                      <w:t>r</w:t>
                    </w:r>
                  </w:p>
                </w:txbxContent>
              </v:textbox>
            </v:shape>
            <v:shape id="_x0000_s1187" type="#_x0000_t202" style="position:absolute;left:10245;top:6662;width:419;height:385" filled="f" stroked="f">
              <v:fill opacity="0"/>
              <v:textbox style="mso-next-textbox:#_x0000_s1187">
                <w:txbxContent>
                  <w:p w:rsidR="00896728" w:rsidRPr="00E64DA5" w:rsidRDefault="00896728" w:rsidP="00415958">
                    <w:pPr>
                      <w:rPr>
                        <w:rFonts w:ascii="Times New Roman" w:hAnsi="Times New Roman"/>
                        <w:i/>
                      </w:rPr>
                    </w:pPr>
                    <w:r w:rsidRPr="00E64DA5">
                      <w:rPr>
                        <w:rFonts w:ascii="Times New Roman" w:hAnsi="Times New Roman"/>
                        <w:i/>
                      </w:rPr>
                      <w:t>r</w:t>
                    </w:r>
                  </w:p>
                </w:txbxContent>
              </v:textbox>
            </v:shape>
            <v:shape id="_x0000_s1188" type="#_x0000_t202" style="position:absolute;left:6794;top:7818;width:418;height:386" filled="f" stroked="f">
              <v:fill opacity="0"/>
              <v:textbox style="mso-next-textbox:#_x0000_s1188">
                <w:txbxContent>
                  <w:p w:rsidR="00896728" w:rsidRPr="00E64DA5" w:rsidRDefault="00896728" w:rsidP="00415958">
                    <w:pPr>
                      <w:rPr>
                        <w:rFonts w:ascii="Times New Roman" w:hAnsi="Times New Roman"/>
                        <w:i/>
                      </w:rPr>
                    </w:pPr>
                    <w:r w:rsidRPr="00E64DA5">
                      <w:rPr>
                        <w:rFonts w:ascii="Times New Roman" w:hAnsi="Times New Roman"/>
                        <w:i/>
                      </w:rPr>
                      <w:t>r</w:t>
                    </w:r>
                  </w:p>
                </w:txbxContent>
              </v:textbox>
            </v:shape>
            <v:shape id="_x0000_s1189" type="#_x0000_t202" style="position:absolute;left:2861;top:3770;width:523;height:578" filled="f" stroked="f">
              <v:textbox style="mso-next-textbox:#_x0000_s1189">
                <w:txbxContent>
                  <w:p w:rsidR="00896728" w:rsidRPr="00E270C7" w:rsidRDefault="00896728" w:rsidP="00415958">
                    <w:pPr>
                      <w:rPr>
                        <w:rFonts w:ascii="Times New Roman" w:hAnsi="Times New Roman"/>
                      </w:rPr>
                    </w:pPr>
                    <w:r>
                      <w:rPr>
                        <w:rFonts w:ascii="Times New Roman" w:hAnsi="Times New Roman" w:cs="Arial"/>
                        <w:lang w:val="en-US"/>
                      </w:rPr>
                      <w:t>q</w:t>
                    </w:r>
                  </w:p>
                </w:txbxContent>
              </v:textbox>
            </v:shape>
            <v:shape id="_x0000_s1190" type="#_x0000_t202" style="position:absolute;left:2861;top:2228;width:835;height:772">
              <v:textbox style="mso-next-textbox:#_x0000_s1190" inset="5.76pt,2.88pt,5.76pt,2.88pt">
                <w:txbxContent>
                  <w:p w:rsidR="00896728" w:rsidRPr="00E126A9" w:rsidRDefault="00896728" w:rsidP="00415958">
                    <w:pPr>
                      <w:jc w:val="center"/>
                      <w:rPr>
                        <w:sz w:val="19"/>
                      </w:rPr>
                    </w:pPr>
                  </w:p>
                  <w:p w:rsidR="00896728" w:rsidRPr="00F87B42" w:rsidRDefault="00896728" w:rsidP="00415958">
                    <w:pPr>
                      <w:jc w:val="center"/>
                      <w:rPr>
                        <w:sz w:val="19"/>
                        <w:vertAlign w:val="subscript"/>
                      </w:rPr>
                    </w:pPr>
                    <w:r>
                      <w:rPr>
                        <w:sz w:val="19"/>
                      </w:rPr>
                      <w:t>S</w:t>
                    </w:r>
                    <w:r>
                      <w:rPr>
                        <w:sz w:val="19"/>
                        <w:vertAlign w:val="subscript"/>
                      </w:rPr>
                      <w:t>5</w:t>
                    </w:r>
                  </w:p>
                </w:txbxContent>
              </v:textbox>
            </v:shape>
            <v:shape id="_x0000_s1191" type="#_x0000_t202" style="position:absolute;left:4116;top:2228;width:837;height:772">
              <v:textbox style="mso-next-textbox:#_x0000_s1191"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Pr>
                        <w:sz w:val="19"/>
                      </w:rPr>
                      <w:t>S</w:t>
                    </w:r>
                    <w:r w:rsidRPr="00F87B42">
                      <w:rPr>
                        <w:sz w:val="19"/>
                        <w:vertAlign w:val="subscript"/>
                      </w:rPr>
                      <w:t>4</w:t>
                    </w:r>
                  </w:p>
                </w:txbxContent>
              </v:textbox>
            </v:shape>
            <v:shape id="_x0000_s1192" type="#_x0000_t202" style="position:absolute;left:5476;top:2228;width:836;height:773">
              <v:textbox style="mso-next-textbox:#_x0000_s1192" inset="5.76pt,2.88pt,5.76pt,2.88pt">
                <w:txbxContent>
                  <w:p w:rsidR="00896728" w:rsidRPr="00E126A9" w:rsidRDefault="00896728" w:rsidP="00415958">
                    <w:pPr>
                      <w:jc w:val="center"/>
                      <w:rPr>
                        <w:sz w:val="19"/>
                      </w:rPr>
                    </w:pPr>
                  </w:p>
                  <w:p w:rsidR="00896728" w:rsidRPr="00F87B42" w:rsidRDefault="00896728" w:rsidP="00415958">
                    <w:pPr>
                      <w:jc w:val="center"/>
                      <w:rPr>
                        <w:sz w:val="19"/>
                        <w:vertAlign w:val="subscript"/>
                      </w:rPr>
                    </w:pPr>
                    <w:r>
                      <w:rPr>
                        <w:sz w:val="19"/>
                      </w:rPr>
                      <w:t>S</w:t>
                    </w:r>
                    <w:r>
                      <w:rPr>
                        <w:sz w:val="19"/>
                        <w:vertAlign w:val="subscript"/>
                      </w:rPr>
                      <w:t>3</w:t>
                    </w:r>
                  </w:p>
                </w:txbxContent>
              </v:textbox>
            </v:shape>
            <v:shape id="_x0000_s1193" type="#_x0000_t202" style="position:absolute;left:6731;top:2228;width:835;height:773">
              <v:textbox style="mso-next-textbox:#_x0000_s1193" inset="5.76pt,2.88pt,5.76pt,2.88pt">
                <w:txbxContent>
                  <w:p w:rsidR="00896728" w:rsidRPr="00E126A9" w:rsidRDefault="00896728" w:rsidP="00415958">
                    <w:pPr>
                      <w:jc w:val="center"/>
                      <w:rPr>
                        <w:sz w:val="19"/>
                      </w:rPr>
                    </w:pPr>
                  </w:p>
                  <w:p w:rsidR="00896728" w:rsidRPr="00F87B42" w:rsidRDefault="00896728" w:rsidP="00415958">
                    <w:pPr>
                      <w:jc w:val="center"/>
                      <w:rPr>
                        <w:sz w:val="19"/>
                        <w:vertAlign w:val="subscript"/>
                      </w:rPr>
                    </w:pPr>
                    <w:r>
                      <w:rPr>
                        <w:sz w:val="19"/>
                      </w:rPr>
                      <w:t>S</w:t>
                    </w:r>
                    <w:r>
                      <w:rPr>
                        <w:sz w:val="19"/>
                        <w:vertAlign w:val="subscript"/>
                      </w:rPr>
                      <w:t>2</w:t>
                    </w:r>
                  </w:p>
                </w:txbxContent>
              </v:textbox>
            </v:shape>
            <v:shape id="_x0000_s1194" type="#_x0000_t32" style="position:absolute;left:6313;top:2614;width:418;height:1;flip:x" o:connectortype="straight">
              <v:stroke endarrow="block"/>
            </v:shape>
            <v:shape id="_x0000_s1195" type="#_x0000_t32" style="position:absolute;left:3267;top:3000;width:12;height:2467;flip:x" o:connectortype="straight">
              <v:stroke endarrow="block"/>
            </v:shape>
            <v:shape id="_x0000_s1196" type="#_x0000_t32" style="position:absolute;left:3696;top:2614;width:420;height:1;flip:x" o:connectortype="straight">
              <v:stroke endarrow="block"/>
            </v:shape>
            <v:shape id="_x0000_s1197" type="#_x0000_t32" style="position:absolute;left:4953;top:2614;width:523;height:1;flip:x" o:connectortype="straight">
              <v:stroke endarrow="block"/>
            </v:shape>
            <v:line id="_x0000_s1198" style="position:absolute;flip:y" from="7254,4734" to="8718,6662">
              <v:stroke endarrow="block"/>
            </v:line>
            <v:shape id="_x0000_s1199" type="#_x0000_t202" style="position:absolute;left:3698;top:2035;width:523;height:578" filled="f" stroked="f">
              <v:textbox style="mso-next-textbox:#_x0000_s1199">
                <w:txbxContent>
                  <w:p w:rsidR="00896728" w:rsidRPr="00E270C7" w:rsidRDefault="00896728" w:rsidP="00415958">
                    <w:pPr>
                      <w:rPr>
                        <w:rFonts w:ascii="Times New Roman" w:hAnsi="Times New Roman"/>
                      </w:rPr>
                    </w:pPr>
                    <w:r>
                      <w:rPr>
                        <w:rFonts w:ascii="Times New Roman" w:hAnsi="Times New Roman" w:cs="Arial"/>
                        <w:lang w:val="en-US"/>
                      </w:rPr>
                      <w:t>q</w:t>
                    </w:r>
                  </w:p>
                </w:txbxContent>
              </v:textbox>
            </v:shape>
            <v:shape id="_x0000_s1200" type="#_x0000_t202" style="position:absolute;left:4953;top:2035;width:523;height:578" filled="f" stroked="f">
              <v:textbox style="mso-next-textbox:#_x0000_s1200">
                <w:txbxContent>
                  <w:p w:rsidR="00896728" w:rsidRPr="00E270C7" w:rsidRDefault="00896728" w:rsidP="00415958">
                    <w:pPr>
                      <w:rPr>
                        <w:rFonts w:ascii="Times New Roman" w:hAnsi="Times New Roman"/>
                      </w:rPr>
                    </w:pPr>
                    <w:r>
                      <w:rPr>
                        <w:rFonts w:ascii="Times New Roman" w:hAnsi="Times New Roman" w:cs="Arial"/>
                        <w:lang w:val="en-US"/>
                      </w:rPr>
                      <w:t>q</w:t>
                    </w:r>
                  </w:p>
                </w:txbxContent>
              </v:textbox>
            </v:shape>
            <v:shape id="_x0000_s1201" type="#_x0000_t202" style="position:absolute;left:6312;top:2035;width:523;height:578" filled="f" stroked="f">
              <v:textbox style="mso-next-textbox:#_x0000_s1201">
                <w:txbxContent>
                  <w:p w:rsidR="00896728" w:rsidRPr="00E270C7" w:rsidRDefault="00896728" w:rsidP="00415958">
                    <w:pPr>
                      <w:rPr>
                        <w:rFonts w:ascii="Times New Roman" w:hAnsi="Times New Roman"/>
                      </w:rPr>
                    </w:pPr>
                    <w:r>
                      <w:rPr>
                        <w:rFonts w:ascii="Times New Roman" w:hAnsi="Times New Roman" w:cs="Arial"/>
                        <w:lang w:val="en-US"/>
                      </w:rPr>
                      <w:t>q</w:t>
                    </w:r>
                  </w:p>
                </w:txbxContent>
              </v:textbox>
            </v:shape>
            <v:shape id="_x0000_s1202" type="#_x0000_t202" style="position:absolute;left:6731;top:3192;width:523;height:578" filled="f" stroked="f">
              <v:textbox style="mso-next-textbox:#_x0000_s1202">
                <w:txbxContent>
                  <w:p w:rsidR="00896728" w:rsidRPr="00E270C7" w:rsidRDefault="00896728" w:rsidP="00415958">
                    <w:pPr>
                      <w:rPr>
                        <w:rFonts w:ascii="Times New Roman" w:hAnsi="Times New Roman"/>
                      </w:rPr>
                    </w:pPr>
                    <w:r>
                      <w:rPr>
                        <w:rFonts w:ascii="Times New Roman" w:hAnsi="Times New Roman" w:cs="Arial"/>
                        <w:lang w:val="en-US"/>
                      </w:rPr>
                      <w:t>q</w:t>
                    </w:r>
                  </w:p>
                </w:txbxContent>
              </v:textbox>
            </v:shape>
            <v:shape id="_x0000_s1203" type="#_x0000_t202" style="position:absolute;left:7776;top:5698;width:925;height:386" filled="f" stroked="f">
              <v:fill opacity="0"/>
              <v:textbox style="mso-next-textbox:#_x0000_s1203">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204" type="#_x0000_t202" style="position:absolute;left:8404;top:5698;width:924;height:386" filled="f" stroked="f">
              <v:fill opacity="0"/>
              <v:textbox style="mso-next-textbox:#_x0000_s1204">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205" type="#_x0000_t202" style="position:absolute;left:9450;top:5698;width:924;height:386" filled="f" stroked="f">
              <v:fill opacity="0"/>
              <v:textbox style="mso-next-textbox:#_x0000_s1205">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206" type="#_x0000_t202" style="position:absolute;left:10495;top:5698;width:925;height:386" filled="f" stroked="f">
              <v:fill opacity="0"/>
              <v:textbox style="mso-next-textbox:#_x0000_s1206">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w10:anchorlock/>
          </v:group>
        </w:pict>
      </w:r>
    </w:p>
    <w:p w:rsidR="00415958" w:rsidRPr="00EF6C4E" w:rsidRDefault="00415958" w:rsidP="00415958">
      <w:pPr>
        <w:outlineLvl w:val="0"/>
        <w:rPr>
          <w:rFonts w:ascii="Calibri" w:hAnsi="Calibri"/>
          <w:sz w:val="24"/>
          <w:szCs w:val="22"/>
        </w:rPr>
      </w:pPr>
      <w:r w:rsidRPr="00EF6C4E">
        <w:rPr>
          <w:rFonts w:ascii="Calibri" w:hAnsi="Calibri"/>
          <w:sz w:val="24"/>
          <w:szCs w:val="22"/>
        </w:rPr>
        <w:t>Compartments and transfers in the basic transmission model. U, uninfected; E</w:t>
      </w:r>
      <w:r w:rsidRPr="00EF6C4E">
        <w:rPr>
          <w:rFonts w:ascii="Calibri" w:hAnsi="Calibri"/>
          <w:sz w:val="24"/>
          <w:szCs w:val="22"/>
          <w:vertAlign w:val="subscript"/>
        </w:rPr>
        <w:t>1</w:t>
      </w:r>
      <w:r w:rsidRPr="00EF6C4E">
        <w:rPr>
          <w:rFonts w:ascii="Calibri" w:hAnsi="Calibri"/>
          <w:sz w:val="24"/>
          <w:szCs w:val="22"/>
        </w:rPr>
        <w:t>, latent/incubating primary infection; A</w:t>
      </w:r>
      <w:r w:rsidRPr="00EF6C4E">
        <w:rPr>
          <w:rFonts w:ascii="Calibri" w:hAnsi="Calibri"/>
          <w:sz w:val="24"/>
          <w:szCs w:val="22"/>
          <w:vertAlign w:val="subscript"/>
        </w:rPr>
        <w:t>1</w:t>
      </w:r>
      <w:r w:rsidRPr="00EF6C4E">
        <w:rPr>
          <w:rFonts w:ascii="Calibri" w:hAnsi="Calibri"/>
          <w:sz w:val="24"/>
          <w:szCs w:val="22"/>
        </w:rPr>
        <w:t>-A</w:t>
      </w:r>
      <w:r w:rsidRPr="00EF6C4E">
        <w:rPr>
          <w:rFonts w:ascii="Calibri" w:hAnsi="Calibri"/>
          <w:sz w:val="24"/>
          <w:szCs w:val="22"/>
          <w:vertAlign w:val="subscript"/>
        </w:rPr>
        <w:t>4</w:t>
      </w:r>
      <w:r w:rsidRPr="00EF6C4E">
        <w:rPr>
          <w:rFonts w:ascii="Calibri" w:hAnsi="Calibri"/>
          <w:sz w:val="24"/>
          <w:szCs w:val="22"/>
        </w:rPr>
        <w:t xml:space="preserve"> asymptomatic infection; E</w:t>
      </w:r>
      <w:r w:rsidRPr="00EF6C4E">
        <w:rPr>
          <w:rFonts w:ascii="Calibri" w:hAnsi="Calibri"/>
          <w:sz w:val="24"/>
          <w:szCs w:val="22"/>
          <w:vertAlign w:val="subscript"/>
        </w:rPr>
        <w:t>2</w:t>
      </w:r>
      <w:r w:rsidRPr="00EF6C4E">
        <w:rPr>
          <w:rFonts w:ascii="Calibri" w:hAnsi="Calibri"/>
          <w:sz w:val="24"/>
          <w:szCs w:val="22"/>
        </w:rPr>
        <w:t xml:space="preserve"> latent/incubating superinfection; S</w:t>
      </w:r>
      <w:r w:rsidRPr="00EF6C4E">
        <w:rPr>
          <w:rFonts w:ascii="Calibri" w:hAnsi="Calibri"/>
          <w:sz w:val="24"/>
          <w:szCs w:val="22"/>
          <w:vertAlign w:val="subscript"/>
        </w:rPr>
        <w:t>1</w:t>
      </w:r>
      <w:r w:rsidRPr="00EF6C4E">
        <w:rPr>
          <w:rFonts w:ascii="Calibri" w:hAnsi="Calibri"/>
          <w:sz w:val="24"/>
          <w:szCs w:val="22"/>
        </w:rPr>
        <w:t>-S</w:t>
      </w:r>
      <w:r w:rsidRPr="00EF6C4E">
        <w:rPr>
          <w:rFonts w:ascii="Calibri" w:hAnsi="Calibri"/>
          <w:sz w:val="24"/>
          <w:szCs w:val="22"/>
          <w:vertAlign w:val="subscript"/>
        </w:rPr>
        <w:t>5</w:t>
      </w:r>
      <w:r w:rsidRPr="00EF6C4E">
        <w:rPr>
          <w:rFonts w:ascii="Calibri" w:hAnsi="Calibri"/>
          <w:sz w:val="24"/>
          <w:szCs w:val="22"/>
        </w:rPr>
        <w:t>, symptomatic infection that is treated and protected against subsequent infections by prophylaxis. Arrows indicate transfers between different states and are described in the text.</w:t>
      </w:r>
    </w:p>
    <w:p w:rsidR="00415958" w:rsidRPr="00EF6C4E" w:rsidRDefault="00415958" w:rsidP="00415958">
      <w:pPr>
        <w:spacing w:line="360" w:lineRule="auto"/>
        <w:outlineLvl w:val="0"/>
        <w:rPr>
          <w:rFonts w:ascii="Calibri" w:hAnsi="Calibri"/>
          <w:b/>
          <w:sz w:val="24"/>
          <w:szCs w:val="22"/>
        </w:rPr>
      </w:pPr>
    </w:p>
    <w:p w:rsidR="00415958" w:rsidRPr="00EF6C4E" w:rsidRDefault="00415958" w:rsidP="00415958">
      <w:pPr>
        <w:outlineLvl w:val="0"/>
        <w:rPr>
          <w:rFonts w:ascii="Calibri" w:hAnsi="Calibri"/>
          <w:b/>
          <w:sz w:val="24"/>
          <w:szCs w:val="22"/>
        </w:rPr>
      </w:pPr>
      <w:r w:rsidRPr="00EF6C4E">
        <w:rPr>
          <w:rFonts w:ascii="Calibri" w:hAnsi="Calibri"/>
          <w:b/>
          <w:sz w:val="24"/>
          <w:szCs w:val="22"/>
        </w:rPr>
        <w:t>Incorporation of IPT into the basic model</w:t>
      </w:r>
    </w:p>
    <w:p w:rsidR="00415958" w:rsidRPr="00EF6C4E" w:rsidRDefault="00415958" w:rsidP="00415958">
      <w:pPr>
        <w:spacing w:line="360" w:lineRule="auto"/>
        <w:outlineLvl w:val="0"/>
        <w:rPr>
          <w:rFonts w:ascii="Calibri" w:hAnsi="Calibri"/>
          <w:sz w:val="24"/>
          <w:szCs w:val="22"/>
        </w:rPr>
      </w:pP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 xml:space="preserve">The model described above describes the transmission dynamics common to all participants in the Navrongo trial. </w:t>
      </w:r>
      <w:r w:rsidR="00115C2D" w:rsidRPr="00EF6C4E">
        <w:rPr>
          <w:rFonts w:ascii="Calibri" w:hAnsi="Calibri"/>
          <w:sz w:val="24"/>
          <w:szCs w:val="22"/>
        </w:rPr>
        <w:t>I</w:t>
      </w:r>
      <w:r w:rsidRPr="00EF6C4E">
        <w:rPr>
          <w:rFonts w:ascii="Calibri" w:hAnsi="Calibri"/>
          <w:sz w:val="24"/>
          <w:szCs w:val="22"/>
        </w:rPr>
        <w:t xml:space="preserve">ncorporation of intermittent preventive treatment to an </w:t>
      </w:r>
      <w:r w:rsidR="00115C2D" w:rsidRPr="00EF6C4E">
        <w:rPr>
          <w:rFonts w:ascii="Calibri" w:hAnsi="Calibri"/>
          <w:sz w:val="24"/>
          <w:szCs w:val="22"/>
        </w:rPr>
        <w:t xml:space="preserve">otherwise </w:t>
      </w:r>
      <w:r w:rsidRPr="00EF6C4E">
        <w:rPr>
          <w:rFonts w:ascii="Calibri" w:hAnsi="Calibri"/>
          <w:sz w:val="24"/>
          <w:szCs w:val="22"/>
        </w:rPr>
        <w:t>identical model represent</w:t>
      </w:r>
      <w:r w:rsidR="00115C2D" w:rsidRPr="00EF6C4E">
        <w:rPr>
          <w:rFonts w:ascii="Calibri" w:hAnsi="Calibri"/>
          <w:sz w:val="24"/>
          <w:szCs w:val="22"/>
        </w:rPr>
        <w:t>s</w:t>
      </w:r>
      <w:r w:rsidRPr="00EF6C4E">
        <w:rPr>
          <w:rFonts w:ascii="Calibri" w:hAnsi="Calibri"/>
          <w:sz w:val="24"/>
          <w:szCs w:val="22"/>
        </w:rPr>
        <w:t xml:space="preserve"> the group of infants receiving IPT. The two models are then run in parallel to allow simulation of the treated and untreated trial cohorts.</w:t>
      </w:r>
      <w:r w:rsidR="00115C2D" w:rsidRPr="00EF6C4E">
        <w:rPr>
          <w:rFonts w:ascii="Calibri" w:hAnsi="Calibri"/>
          <w:sz w:val="24"/>
          <w:szCs w:val="22"/>
        </w:rPr>
        <w:t xml:space="preserve"> </w:t>
      </w:r>
      <w:r w:rsidRPr="00EF6C4E">
        <w:rPr>
          <w:rFonts w:ascii="Calibri" w:hAnsi="Calibri"/>
          <w:sz w:val="24"/>
          <w:szCs w:val="22"/>
        </w:rPr>
        <w:t>Two aspects of the mode of action of IPT are dealt with by this model, the curative aspect and the prophylactic aspect.</w:t>
      </w: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It is assumed that an effective dose of IPT will clear </w:t>
      </w:r>
      <w:r w:rsidR="00115C2D" w:rsidRPr="00EF6C4E">
        <w:rPr>
          <w:rFonts w:ascii="Calibri" w:hAnsi="Calibri"/>
          <w:sz w:val="24"/>
          <w:szCs w:val="22"/>
        </w:rPr>
        <w:t xml:space="preserve">existing </w:t>
      </w:r>
      <w:r w:rsidRPr="00EF6C4E">
        <w:rPr>
          <w:rFonts w:ascii="Calibri" w:hAnsi="Calibri"/>
          <w:sz w:val="24"/>
          <w:szCs w:val="22"/>
        </w:rPr>
        <w:t xml:space="preserve">parasitaemia </w:t>
      </w:r>
      <w:r w:rsidR="00115C2D" w:rsidRPr="00EF6C4E">
        <w:rPr>
          <w:rFonts w:ascii="Calibri" w:hAnsi="Calibri"/>
          <w:sz w:val="24"/>
          <w:szCs w:val="22"/>
        </w:rPr>
        <w:t xml:space="preserve">and </w:t>
      </w:r>
      <w:r w:rsidRPr="00EF6C4E">
        <w:rPr>
          <w:rFonts w:ascii="Calibri" w:hAnsi="Calibri"/>
          <w:sz w:val="24"/>
          <w:szCs w:val="22"/>
        </w:rPr>
        <w:t xml:space="preserve">will clear any infections already incubating at the time of receiving IPT once they emerge from the </w:t>
      </w:r>
      <w:r w:rsidRPr="00EF6C4E">
        <w:rPr>
          <w:rFonts w:ascii="Calibri" w:hAnsi="Calibri"/>
          <w:sz w:val="24"/>
          <w:szCs w:val="22"/>
        </w:rPr>
        <w:lastRenderedPageBreak/>
        <w:t xml:space="preserve">liver. </w:t>
      </w:r>
      <w:r w:rsidR="00115C2D" w:rsidRPr="00EF6C4E">
        <w:rPr>
          <w:rFonts w:ascii="Calibri" w:hAnsi="Calibri"/>
          <w:sz w:val="24"/>
          <w:szCs w:val="22"/>
        </w:rPr>
        <w:t xml:space="preserve">Individuals </w:t>
      </w:r>
      <w:r w:rsidRPr="00EF6C4E">
        <w:rPr>
          <w:rFonts w:ascii="Calibri" w:hAnsi="Calibri"/>
          <w:sz w:val="24"/>
          <w:szCs w:val="22"/>
        </w:rPr>
        <w:t xml:space="preserve">given an ineffective dose </w:t>
      </w:r>
      <w:r w:rsidR="00115C2D" w:rsidRPr="00EF6C4E">
        <w:rPr>
          <w:rFonts w:ascii="Calibri" w:hAnsi="Calibri"/>
          <w:sz w:val="24"/>
          <w:szCs w:val="22"/>
        </w:rPr>
        <w:t xml:space="preserve">of IPT </w:t>
      </w:r>
      <w:r w:rsidRPr="00EF6C4E">
        <w:rPr>
          <w:rFonts w:ascii="Calibri" w:hAnsi="Calibri"/>
          <w:sz w:val="24"/>
          <w:szCs w:val="22"/>
        </w:rPr>
        <w:t>remain as if they had not been treated at all.</w:t>
      </w:r>
      <w:r w:rsidR="00503858" w:rsidRPr="00EF6C4E">
        <w:rPr>
          <w:rFonts w:ascii="Calibri" w:hAnsi="Calibri"/>
          <w:sz w:val="24"/>
          <w:szCs w:val="22"/>
        </w:rPr>
        <w:t xml:space="preserve"> </w:t>
      </w:r>
      <w:r w:rsidRPr="00EF6C4E">
        <w:rPr>
          <w:rFonts w:ascii="Calibri" w:hAnsi="Calibri"/>
          <w:sz w:val="24"/>
          <w:szCs w:val="22"/>
        </w:rPr>
        <w:t xml:space="preserve">In addition to its curative effect, IPT is considered to provide prophylactic protection in individuals who are successfully treated. </w:t>
      </w:r>
      <w:r w:rsidR="005D3645" w:rsidRPr="00EF6C4E">
        <w:rPr>
          <w:rFonts w:ascii="Calibri" w:hAnsi="Calibri"/>
          <w:sz w:val="24"/>
          <w:szCs w:val="22"/>
        </w:rPr>
        <w:t>T</w:t>
      </w:r>
      <w:r w:rsidRPr="00EF6C4E">
        <w:rPr>
          <w:rFonts w:ascii="Calibri" w:hAnsi="Calibri"/>
          <w:sz w:val="24"/>
          <w:szCs w:val="22"/>
        </w:rPr>
        <w:t>he concentration of drug required to clear parasitaemia will depend on the susceptibility of the parasite itself and the anti-parasite mechanisms of the host which act in synergy with the drug</w:t>
      </w:r>
      <w:r w:rsidRPr="00EF6C4E">
        <w:rPr>
          <w:rFonts w:ascii="Calibri" w:hAnsi="Calibri"/>
          <w:b/>
          <w:sz w:val="24"/>
          <w:szCs w:val="22"/>
        </w:rPr>
        <w:t xml:space="preserve"> </w:t>
      </w:r>
      <w:r w:rsidR="00AA2259" w:rsidRPr="00EF6C4E">
        <w:rPr>
          <w:rFonts w:ascii="Calibri" w:hAnsi="Calibri"/>
          <w:sz w:val="24"/>
          <w:szCs w:val="22"/>
        </w:rPr>
        <w:fldChar w:fldCharType="begin">
          <w:fldData xml:space="preserve">PEVuZE5vdGU+PENpdGU+PEF1dGhvcj5XYXRraW5zPC9BdXRob3I+PFllYXI+MTk5NzwvWWVhcj48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</w:fldData>
        </w:fldChar>
      </w:r>
      <w:r w:rsidR="002441A6">
        <w:rPr>
          <w:rFonts w:ascii="Calibri" w:hAnsi="Calibri"/>
          <w:sz w:val="24"/>
          <w:szCs w:val="22"/>
        </w:rPr>
        <w:instrText xml:space="preserve"> ADDIN EN.CITE </w:instrText>
      </w:r>
      <w:r w:rsidR="00AA2259">
        <w:rPr>
          <w:rFonts w:ascii="Calibri" w:hAnsi="Calibri"/>
          <w:sz w:val="24"/>
          <w:szCs w:val="22"/>
        </w:rPr>
        <w:fldChar w:fldCharType="begin">
          <w:fldData xml:space="preserve">PEVuZE5vdGU+PENpdGU+PEF1dGhvcj5XYXRraW5zPC9BdXRob3I+PFllYXI+MTk5NzwvWWVhcj48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</w:fldData>
        </w:fldChar>
      </w:r>
      <w:r w:rsidR="002441A6">
        <w:rPr>
          <w:rFonts w:ascii="Calibri" w:hAnsi="Calibri"/>
          <w:sz w:val="24"/>
          <w:szCs w:val="22"/>
        </w:rPr>
        <w:instrText xml:space="preserve"> ADDIN EN.CITE.DATA </w:instrText>
      </w:r>
      <w:r w:rsidR="00AA2259">
        <w:rPr>
          <w:rFonts w:ascii="Calibri" w:hAnsi="Calibri"/>
          <w:sz w:val="24"/>
          <w:szCs w:val="22"/>
        </w:rPr>
      </w:r>
      <w:r w:rsidR="00AA2259">
        <w:rPr>
          <w:rFonts w:ascii="Calibri" w:hAnsi="Calibri"/>
          <w:sz w:val="24"/>
          <w:szCs w:val="22"/>
        </w:rPr>
        <w:fldChar w:fldCharType="end"/>
      </w:r>
      <w:r w:rsidR="00AA2259" w:rsidRPr="00EF6C4E">
        <w:rPr>
          <w:rFonts w:ascii="Calibri" w:hAnsi="Calibri"/>
          <w:sz w:val="24"/>
          <w:szCs w:val="22"/>
        </w:rPr>
      </w:r>
      <w:r w:rsidR="00AA2259" w:rsidRPr="00EF6C4E">
        <w:rPr>
          <w:rFonts w:ascii="Calibri" w:hAnsi="Calibri"/>
          <w:sz w:val="24"/>
          <w:szCs w:val="22"/>
        </w:rPr>
        <w:fldChar w:fldCharType="separate"/>
      </w:r>
      <w:r w:rsidR="005E2935" w:rsidRPr="00EF6C4E">
        <w:rPr>
          <w:rFonts w:ascii="Calibri" w:hAnsi="Calibri"/>
          <w:noProof/>
          <w:sz w:val="24"/>
          <w:szCs w:val="22"/>
        </w:rPr>
        <w:t>[5,6]</w:t>
      </w:r>
      <w:r w:rsidR="00AA2259" w:rsidRPr="00EF6C4E">
        <w:rPr>
          <w:rFonts w:ascii="Calibri" w:hAnsi="Calibri"/>
          <w:sz w:val="24"/>
          <w:szCs w:val="22"/>
        </w:rPr>
        <w:fldChar w:fldCharType="end"/>
      </w:r>
      <w:r w:rsidRPr="00EF6C4E">
        <w:rPr>
          <w:rFonts w:ascii="Calibri" w:hAnsi="Calibri"/>
          <w:sz w:val="24"/>
          <w:szCs w:val="22"/>
        </w:rPr>
        <w:t>. This variation results in a protection over time following</w:t>
      </w:r>
      <w:r w:rsidR="00845607" w:rsidRPr="00EF6C4E">
        <w:rPr>
          <w:rFonts w:ascii="Calibri" w:hAnsi="Calibri"/>
          <w:sz w:val="24"/>
          <w:szCs w:val="22"/>
        </w:rPr>
        <w:t xml:space="preserve"> an approximately sigmoid shape.</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Infants successfully treated with IPT move from all other compartments in the model</w:t>
      </w:r>
      <w:r w:rsidRPr="00EF6C4E">
        <w:rPr>
          <w:rFonts w:ascii="Calibri" w:hAnsi="Calibri"/>
          <w:b/>
          <w:sz w:val="24"/>
          <w:szCs w:val="22"/>
        </w:rPr>
        <w:t xml:space="preserve"> </w:t>
      </w:r>
      <w:r w:rsidRPr="00EF6C4E">
        <w:rPr>
          <w:rFonts w:ascii="Calibri" w:hAnsi="Calibri"/>
          <w:sz w:val="24"/>
          <w:szCs w:val="22"/>
        </w:rPr>
        <w:t>into the IPT component of the model and remain in this state for a variable period before returning to U. As for the treatment component, the IPT component is modelled with a gamma distribution rather than an exponential distribution</w:t>
      </w:r>
      <w:r w:rsidR="005D3645" w:rsidRPr="00EF6C4E">
        <w:rPr>
          <w:rFonts w:ascii="Calibri" w:hAnsi="Calibri"/>
          <w:sz w:val="24"/>
          <w:szCs w:val="22"/>
        </w:rPr>
        <w:t xml:space="preserve">, </w:t>
      </w:r>
      <w:r w:rsidRPr="00EF6C4E">
        <w:rPr>
          <w:rFonts w:ascii="Calibri" w:hAnsi="Calibri"/>
          <w:sz w:val="24"/>
          <w:szCs w:val="22"/>
        </w:rPr>
        <w:t>obtained by subdividing the state into five successive compartments</w:t>
      </w:r>
      <w:r w:rsidR="005D3645" w:rsidRPr="00EF6C4E">
        <w:rPr>
          <w:rFonts w:ascii="Calibri" w:hAnsi="Calibri"/>
          <w:sz w:val="24"/>
          <w:szCs w:val="22"/>
        </w:rPr>
        <w:t xml:space="preserve">; </w:t>
      </w:r>
      <w:r w:rsidRPr="00EF6C4E">
        <w:rPr>
          <w:rFonts w:ascii="Calibri" w:hAnsi="Calibri"/>
          <w:sz w:val="24"/>
          <w:szCs w:val="22"/>
        </w:rPr>
        <w:t xml:space="preserve">this component then provided a distribution very similar to that observed in the analysis of duration in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&lt;EndNote&gt;&lt;Cite&gt;&lt;Author&gt;Cairns&lt;/Author&gt;&lt;Year&gt;2008&lt;/Year&gt;&lt;RecNum&gt;558&lt;/RecNum&gt;&lt;record&gt;&lt;rec-number&gt;558&lt;/rec-number&gt;&lt;foreign-keys&gt;&lt;key app="EN" db-id="50vzxafd505dzseevvi5prdyd0vsefrtrrpx"&gt;558&lt;/key&gt;&lt;/foreign-keys&gt;&lt;ref-type name="Journal Article"&gt;17&lt;/ref-type&gt;&lt;contributors&gt;&lt;authors&gt;&lt;author&gt;Cairns, Matthew&lt;/author&gt;&lt;author&gt;Carneiro, Ilona&lt;/author&gt;&lt;author&gt;Milligan, Paul&lt;/author&gt;&lt;author&gt;Owusu-Agyei, Seth&lt;/author&gt;&lt;author&gt;Awine, Timothy&lt;/author&gt;&lt;author&gt;Gosling, Roly&lt;/author&gt;&lt;author&gt;Greenwood, Brian&lt;/author&gt;&lt;author&gt;Chandramohan, Daniel&lt;/author&gt;&lt;/authors&gt;&lt;/contributors&gt;&lt;titles&gt;&lt;title&gt;Duration of Protection against Malaria and Anaemia Provided by Intermittent Preventive Treatment in Infants in Navrongo, Ghana&lt;/title&gt;&lt;secondary-title&gt;PLoS ONE&lt;/secondary-title&gt;&lt;/titles&gt;&lt;periodical&gt;&lt;full-title&gt;PLoS ONE&lt;/full-title&gt;&lt;/periodical&gt;&lt;pages&gt;e2227&lt;/pages&gt;&lt;volume&gt;3&lt;/volume&gt;&lt;number&gt;5&lt;/number&gt;&lt;dates&gt;&lt;year&gt;2008&lt;/year&gt;&lt;/dates&gt;&lt;publisher&gt;Public Library of Science&lt;/publisher&gt;&lt;urls&gt;&lt;related-urls&gt;&lt;url&gt;http://dx.doi.org/10.1371%2Fjournal.pone.0002227 &lt;/url&gt;&lt;/related-urls&gt;&lt;pdf-urls&gt;&lt;url&gt;file:///C:/Documents%20and%20Settings/Matt%20Cairns/My%20Documents/My%20Documents/1%20PHD/OVERVIEW/CAIRNS%20duration%20of%20IPT%20protection%20PLoS%20ONE%202008.pdf&lt;/url&gt;&lt;/pdf-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[7]</w:t>
      </w:r>
      <w:r w:rsidR="00AA2259" w:rsidRPr="00EF6C4E">
        <w:rPr>
          <w:rFonts w:ascii="Calibri" w:hAnsi="Calibri"/>
          <w:sz w:val="24"/>
          <w:szCs w:val="22"/>
        </w:rPr>
        <w:fldChar w:fldCharType="end"/>
      </w:r>
      <w:r w:rsidRPr="00EF6C4E">
        <w:rPr>
          <w:rFonts w:ascii="Calibri" w:hAnsi="Calibri"/>
          <w:sz w:val="24"/>
          <w:szCs w:val="22"/>
        </w:rPr>
        <w:t xml:space="preserve">. </w:t>
      </w:r>
      <w:r w:rsidR="005D3645" w:rsidRPr="00EF6C4E">
        <w:rPr>
          <w:rFonts w:ascii="Calibri" w:hAnsi="Calibri"/>
          <w:sz w:val="24"/>
          <w:szCs w:val="22"/>
        </w:rPr>
        <w:t xml:space="preserve">The rate of transfer between each IPT compartment is </w:t>
      </w:r>
      <w:r w:rsidR="005D3645" w:rsidRPr="00EF6C4E">
        <w:rPr>
          <w:rFonts w:ascii="Calibri" w:hAnsi="Calibri" w:cs="Arial"/>
          <w:i/>
          <w:sz w:val="24"/>
          <w:szCs w:val="22"/>
        </w:rPr>
        <w:t xml:space="preserve">ψ </w:t>
      </w:r>
      <w:r w:rsidR="005D3645" w:rsidRPr="00EF6C4E">
        <w:rPr>
          <w:rFonts w:ascii="Calibri" w:hAnsi="Calibri"/>
          <w:i/>
          <w:sz w:val="24"/>
          <w:szCs w:val="22"/>
        </w:rPr>
        <w:t>=</w:t>
      </w:r>
      <w:r w:rsidR="005D3645" w:rsidRPr="00EF6C4E">
        <w:rPr>
          <w:rFonts w:ascii="Calibri" w:hAnsi="Calibri"/>
          <w:sz w:val="24"/>
          <w:szCs w:val="22"/>
        </w:rPr>
        <w:t xml:space="preserve"> </w:t>
      </w:r>
      <w:r w:rsidR="005D3645" w:rsidRPr="00EF6C4E">
        <w:rPr>
          <w:rFonts w:ascii="Calibri" w:hAnsi="Calibri"/>
          <w:i/>
          <w:sz w:val="24"/>
          <w:szCs w:val="22"/>
        </w:rPr>
        <w:t>5/d</w:t>
      </w:r>
      <w:r w:rsidR="005D3645" w:rsidRPr="00EF6C4E">
        <w:rPr>
          <w:rFonts w:ascii="Calibri" w:hAnsi="Calibri"/>
          <w:i/>
          <w:sz w:val="24"/>
          <w:szCs w:val="22"/>
          <w:vertAlign w:val="subscript"/>
        </w:rPr>
        <w:t>IPT</w:t>
      </w:r>
      <w:r w:rsidR="005D3645" w:rsidRPr="00EF6C4E">
        <w:rPr>
          <w:rFonts w:ascii="Calibri" w:hAnsi="Calibri"/>
          <w:sz w:val="24"/>
          <w:szCs w:val="22"/>
        </w:rPr>
        <w:t xml:space="preserve"> where </w:t>
      </w:r>
      <w:r w:rsidR="005D3645" w:rsidRPr="00EF6C4E">
        <w:rPr>
          <w:rFonts w:ascii="Calibri" w:hAnsi="Calibri"/>
          <w:i/>
          <w:sz w:val="24"/>
          <w:szCs w:val="22"/>
        </w:rPr>
        <w:t>d</w:t>
      </w:r>
      <w:r w:rsidR="005D3645" w:rsidRPr="00EF6C4E">
        <w:rPr>
          <w:rFonts w:ascii="Calibri" w:hAnsi="Calibri"/>
          <w:i/>
          <w:sz w:val="24"/>
          <w:szCs w:val="22"/>
          <w:vertAlign w:val="subscript"/>
        </w:rPr>
        <w:t>IPT</w:t>
      </w:r>
      <w:r w:rsidR="005D3645" w:rsidRPr="00EF6C4E">
        <w:rPr>
          <w:rFonts w:ascii="Calibri" w:hAnsi="Calibri"/>
          <w:sz w:val="24"/>
          <w:szCs w:val="22"/>
        </w:rPr>
        <w:t xml:space="preserve"> is the expected total duration of protection from IPT. </w:t>
      </w:r>
      <w:r w:rsidRPr="00EF6C4E">
        <w:rPr>
          <w:rFonts w:ascii="Calibri" w:hAnsi="Calibri"/>
          <w:sz w:val="24"/>
          <w:szCs w:val="22"/>
        </w:rPr>
        <w:t xml:space="preserve">More detail on this is given later in the section on fitting the model (figure </w:t>
      </w:r>
      <w:r w:rsidR="00845607" w:rsidRPr="00EF6C4E">
        <w:rPr>
          <w:rFonts w:ascii="Calibri" w:hAnsi="Calibri"/>
          <w:sz w:val="24"/>
          <w:szCs w:val="22"/>
        </w:rPr>
        <w:t>S6</w:t>
      </w:r>
      <w:r w:rsidRPr="00EF6C4E">
        <w:rPr>
          <w:rFonts w:ascii="Calibri" w:hAnsi="Calibri"/>
          <w:sz w:val="24"/>
          <w:szCs w:val="22"/>
        </w:rPr>
        <w:t xml:space="preserve">). </w:t>
      </w:r>
    </w:p>
    <w:p w:rsidR="005D3645" w:rsidRPr="00EF6C4E" w:rsidRDefault="005D3645" w:rsidP="005D3645">
      <w:pPr>
        <w:spacing w:line="360" w:lineRule="auto"/>
        <w:rPr>
          <w:rFonts w:ascii="Calibri" w:hAnsi="Calibri"/>
          <w:b/>
          <w:sz w:val="24"/>
          <w:lang w:val="en-US"/>
        </w:rPr>
      </w:pPr>
    </w:p>
    <w:p w:rsidR="00415958" w:rsidRPr="00EF6C4E" w:rsidRDefault="00415958" w:rsidP="005D3645">
      <w:pPr>
        <w:spacing w:line="360" w:lineRule="auto"/>
        <w:rPr>
          <w:rFonts w:ascii="Calibri" w:hAnsi="Calibri"/>
          <w:b/>
          <w:sz w:val="24"/>
          <w:szCs w:val="22"/>
        </w:rPr>
      </w:pPr>
      <w:r w:rsidRPr="00EF6C4E">
        <w:rPr>
          <w:rFonts w:ascii="Calibri" w:hAnsi="Calibri"/>
          <w:b/>
          <w:sz w:val="24"/>
          <w:szCs w:val="22"/>
        </w:rPr>
        <w:t>Inclusion of IPT dosing strategies</w:t>
      </w:r>
    </w:p>
    <w:p w:rsidR="004065B4" w:rsidRPr="00EF6C4E" w:rsidRDefault="004065B4" w:rsidP="00415958">
      <w:pPr>
        <w:spacing w:line="360" w:lineRule="auto"/>
        <w:rPr>
          <w:rFonts w:ascii="Calibri" w:hAnsi="Calibri"/>
          <w:sz w:val="24"/>
          <w:szCs w:val="22"/>
        </w:rPr>
      </w:pPr>
    </w:p>
    <w:p w:rsidR="00415958" w:rsidRPr="00EF6C4E" w:rsidRDefault="00415958" w:rsidP="00C949D6">
      <w:pPr>
        <w:spacing w:line="360" w:lineRule="auto"/>
        <w:rPr>
          <w:rFonts w:ascii="Calibri" w:hAnsi="Calibri"/>
          <w:sz w:val="24"/>
          <w:szCs w:val="22"/>
        </w:rPr>
      </w:pPr>
      <w:r w:rsidRPr="00EF6C4E">
        <w:rPr>
          <w:rFonts w:ascii="Calibri" w:hAnsi="Calibri"/>
          <w:sz w:val="24"/>
          <w:szCs w:val="22"/>
        </w:rPr>
        <w:t>IPT</w:t>
      </w:r>
      <w:r w:rsidR="00C949D6" w:rsidRPr="00EF6C4E">
        <w:rPr>
          <w:rFonts w:ascii="Calibri" w:hAnsi="Calibri"/>
          <w:sz w:val="24"/>
          <w:szCs w:val="22"/>
        </w:rPr>
        <w:t xml:space="preserve"> administration</w:t>
      </w:r>
      <w:r w:rsidRPr="00EF6C4E">
        <w:rPr>
          <w:rFonts w:ascii="Calibri" w:hAnsi="Calibri"/>
          <w:sz w:val="24"/>
          <w:szCs w:val="22"/>
        </w:rPr>
        <w:t xml:space="preserve"> </w:t>
      </w:r>
      <w:r w:rsidR="00C949D6" w:rsidRPr="00EF6C4E">
        <w:rPr>
          <w:rFonts w:ascii="Calibri" w:hAnsi="Calibri"/>
          <w:sz w:val="24"/>
          <w:szCs w:val="22"/>
        </w:rPr>
        <w:t>is</w:t>
      </w:r>
      <w:r w:rsidRPr="00EF6C4E">
        <w:rPr>
          <w:rFonts w:ascii="Calibri" w:hAnsi="Calibri"/>
          <w:sz w:val="24"/>
          <w:szCs w:val="22"/>
        </w:rPr>
        <w:t xml:space="preserve"> modelled in one of two ways, reflecting the two basic strategies of EPI-linked IPT and seasonal-IPT. </w:t>
      </w:r>
      <w:r w:rsidR="00C949D6" w:rsidRPr="00EF6C4E">
        <w:rPr>
          <w:rFonts w:ascii="Calibri" w:hAnsi="Calibri" w:cs="Arial"/>
          <w:sz w:val="24"/>
          <w:szCs w:val="22"/>
        </w:rPr>
        <w:t>T</w:t>
      </w:r>
      <w:r w:rsidRPr="00EF6C4E">
        <w:rPr>
          <w:rFonts w:ascii="Calibri" w:hAnsi="Calibri"/>
          <w:sz w:val="24"/>
          <w:szCs w:val="22"/>
        </w:rPr>
        <w:t>he rate at which individuals scheduled to receive IPT</w:t>
      </w:r>
      <w:r w:rsidR="00C949D6" w:rsidRPr="00EF6C4E">
        <w:rPr>
          <w:rFonts w:ascii="Calibri" w:hAnsi="Calibri"/>
          <w:sz w:val="24"/>
          <w:szCs w:val="22"/>
        </w:rPr>
        <w:t xml:space="preserve"> actually</w:t>
      </w:r>
      <w:r w:rsidRPr="00EF6C4E">
        <w:rPr>
          <w:rFonts w:ascii="Calibri" w:hAnsi="Calibri"/>
          <w:sz w:val="24"/>
          <w:szCs w:val="22"/>
        </w:rPr>
        <w:t xml:space="preserve"> enter the protected state,</w:t>
      </w:r>
      <w:r w:rsidR="00C949D6" w:rsidRPr="00EF6C4E">
        <w:rPr>
          <w:rFonts w:ascii="Calibri" w:hAnsi="Calibri"/>
          <w:sz w:val="24"/>
          <w:szCs w:val="22"/>
        </w:rPr>
        <w:t xml:space="preserve"> </w:t>
      </w:r>
      <w:r w:rsidR="00C949D6" w:rsidRPr="00EF6C4E">
        <w:rPr>
          <w:rFonts w:ascii="Calibri" w:hAnsi="Calibri" w:cs="Arial"/>
          <w:i/>
          <w:sz w:val="24"/>
          <w:szCs w:val="22"/>
        </w:rPr>
        <w:t>τ</w:t>
      </w:r>
      <w:r w:rsidR="00C949D6" w:rsidRPr="00EF6C4E">
        <w:rPr>
          <w:rFonts w:ascii="Calibri" w:hAnsi="Calibri" w:cs="Arial"/>
          <w:sz w:val="24"/>
          <w:szCs w:val="22"/>
        </w:rPr>
        <w:t xml:space="preserve">, </w:t>
      </w:r>
      <w:r w:rsidRPr="00EF6C4E">
        <w:rPr>
          <w:rFonts w:ascii="Calibri" w:hAnsi="Calibri"/>
          <w:sz w:val="24"/>
          <w:szCs w:val="22"/>
        </w:rPr>
        <w:t xml:space="preserve">depends on the coverage and efficacy of IPT (denoted </w:t>
      </w:r>
      <w:r w:rsidRPr="00EF6C4E">
        <w:rPr>
          <w:rFonts w:ascii="Calibri" w:hAnsi="Calibri"/>
          <w:i/>
          <w:sz w:val="24"/>
          <w:szCs w:val="22"/>
        </w:rPr>
        <w:t>IPT</w:t>
      </w:r>
      <w:r w:rsidRPr="00EF6C4E">
        <w:rPr>
          <w:rFonts w:ascii="Calibri" w:hAnsi="Calibri"/>
          <w:i/>
          <w:sz w:val="24"/>
          <w:szCs w:val="22"/>
          <w:vertAlign w:val="subscript"/>
        </w:rPr>
        <w:t>cov</w:t>
      </w:r>
      <w:r w:rsidRPr="00EF6C4E">
        <w:rPr>
          <w:rFonts w:ascii="Calibri" w:hAnsi="Calibri"/>
          <w:sz w:val="24"/>
          <w:szCs w:val="22"/>
          <w:vertAlign w:val="subscript"/>
        </w:rPr>
        <w:t xml:space="preserve"> </w:t>
      </w:r>
      <w:r w:rsidRPr="00EF6C4E">
        <w:rPr>
          <w:rFonts w:ascii="Calibri" w:hAnsi="Calibri"/>
          <w:sz w:val="24"/>
          <w:szCs w:val="22"/>
        </w:rPr>
        <w:t xml:space="preserve">and </w:t>
      </w:r>
      <w:r w:rsidRPr="00EF6C4E">
        <w:rPr>
          <w:rFonts w:ascii="Calibri" w:hAnsi="Calibri"/>
          <w:i/>
          <w:sz w:val="24"/>
          <w:szCs w:val="22"/>
        </w:rPr>
        <w:t>IPT</w:t>
      </w:r>
      <w:r w:rsidRPr="00EF6C4E">
        <w:rPr>
          <w:rFonts w:ascii="Calibri" w:hAnsi="Calibri"/>
          <w:i/>
          <w:sz w:val="24"/>
          <w:szCs w:val="22"/>
          <w:vertAlign w:val="subscript"/>
        </w:rPr>
        <w:t>eff</w:t>
      </w:r>
      <w:r w:rsidRPr="00EF6C4E">
        <w:rPr>
          <w:rFonts w:ascii="Calibri" w:hAnsi="Calibri"/>
          <w:sz w:val="24"/>
          <w:szCs w:val="22"/>
        </w:rPr>
        <w:t xml:space="preserve"> respectively)</w:t>
      </w:r>
      <w:r w:rsidR="00C949D6" w:rsidRPr="00EF6C4E">
        <w:rPr>
          <w:rFonts w:ascii="Calibri" w:hAnsi="Calibri"/>
          <w:sz w:val="24"/>
          <w:szCs w:val="22"/>
        </w:rPr>
        <w:t xml:space="preserve"> in addition to the delivery schedule</w:t>
      </w:r>
      <w:r w:rsidRPr="00EF6C4E">
        <w:rPr>
          <w:rFonts w:ascii="Calibri" w:hAnsi="Calibri"/>
          <w:sz w:val="24"/>
          <w:szCs w:val="22"/>
        </w:rPr>
        <w:t>. Implicitly, it is assumed that coverage of each dose is independent of the previous dose. This may be slightly different to what occurs in reality</w:t>
      </w:r>
      <w:r w:rsidR="005D3645" w:rsidRPr="00EF6C4E">
        <w:rPr>
          <w:rFonts w:ascii="Calibri" w:hAnsi="Calibri"/>
          <w:sz w:val="24"/>
          <w:szCs w:val="22"/>
        </w:rPr>
        <w:t xml:space="preserve">: </w:t>
      </w:r>
      <w:r w:rsidRPr="00EF6C4E">
        <w:rPr>
          <w:rFonts w:ascii="Calibri" w:hAnsi="Calibri"/>
          <w:sz w:val="24"/>
          <w:szCs w:val="22"/>
        </w:rPr>
        <w:t xml:space="preserve">individuals who miss one </w:t>
      </w:r>
      <w:r w:rsidR="005D3645" w:rsidRPr="00EF6C4E">
        <w:rPr>
          <w:rFonts w:ascii="Calibri" w:hAnsi="Calibri"/>
          <w:sz w:val="24"/>
          <w:szCs w:val="22"/>
        </w:rPr>
        <w:t>course may be more</w:t>
      </w:r>
      <w:r w:rsidRPr="00EF6C4E">
        <w:rPr>
          <w:rFonts w:ascii="Calibri" w:hAnsi="Calibri"/>
          <w:sz w:val="24"/>
          <w:szCs w:val="22"/>
        </w:rPr>
        <w:t xml:space="preserve"> likely to miss a subsequent </w:t>
      </w:r>
      <w:r w:rsidR="005D3645" w:rsidRPr="00EF6C4E">
        <w:rPr>
          <w:rFonts w:ascii="Calibri" w:hAnsi="Calibri"/>
          <w:sz w:val="24"/>
          <w:szCs w:val="22"/>
        </w:rPr>
        <w:t xml:space="preserve">course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&lt;EndNote&gt;&lt;Cite&gt;&lt;Author&gt;Molineaux&lt;/Author&gt;&lt;Year&gt;1980&lt;/Year&gt;&lt;RecNum&gt;289&lt;/RecNum&gt;&lt;record&gt;&lt;rec-number&gt;289&lt;/rec-number&gt;&lt;foreign-keys&gt;&lt;key app="EN" db-id="50vzxafd505dzseevvi5prdyd0vsefrtrrpx"&gt;289&lt;/key&gt;&lt;/foreign-keys&gt;&lt;ref-type name="Book"&gt;6&lt;/ref-type&gt;&lt;contributors&gt;&lt;authors&gt;&lt;author&gt;Molineaux, Louis&lt;/author&gt;&lt;author&gt;Gramiccia, G&lt;/author&gt;&lt;/authors&gt;&lt;/contributors&gt;&lt;titles&gt;&lt;title&gt;The Garki Project&lt;/title&gt;&lt;/titles&gt;&lt;dates&gt;&lt;year&gt;1980&lt;/year&gt;&lt;/dates&gt;&lt;pub-location&gt;Geneva&lt;/pub-location&gt;&lt;publisher&gt;World Health Organisation&lt;/publisher&gt;&lt;urls&gt;&lt;/urls&gt;&lt;/record&gt;&lt;/Cite&gt;&lt;/EndNote&gt;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[8]</w:t>
      </w:r>
      <w:r w:rsidR="00AA2259" w:rsidRPr="00EF6C4E">
        <w:rPr>
          <w:rFonts w:ascii="Calibri" w:hAnsi="Calibri"/>
          <w:sz w:val="24"/>
          <w:szCs w:val="22"/>
        </w:rPr>
        <w:fldChar w:fldCharType="end"/>
      </w:r>
      <w:r w:rsidR="00F0440C" w:rsidRPr="00EF6C4E">
        <w:rPr>
          <w:rFonts w:ascii="Calibri" w:hAnsi="Calibri"/>
          <w:sz w:val="24"/>
          <w:szCs w:val="22"/>
        </w:rPr>
        <w:t>.</w:t>
      </w:r>
      <w:r w:rsidR="00115C2D" w:rsidRPr="00EF6C4E">
        <w:rPr>
          <w:rFonts w:ascii="Calibri" w:hAnsi="Calibri"/>
          <w:sz w:val="24"/>
          <w:szCs w:val="22"/>
        </w:rPr>
        <w:t xml:space="preserve"> Reasons for IPT efficacy less than 100% are not distinguished separately but are considered to include infection with a drug resistant parasite, insufficient or incorrect dose, vomiting after the dose, etc.</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lastRenderedPageBreak/>
        <w:t>1) EPI-linked IPT</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The number of children scheduled to receive IPT follows the ageing pattern of the cohort</w:t>
      </w:r>
      <w:r w:rsidR="00C949D6" w:rsidRPr="00EF6C4E">
        <w:rPr>
          <w:rFonts w:ascii="Calibri" w:hAnsi="Calibri"/>
          <w:sz w:val="24"/>
          <w:szCs w:val="22"/>
        </w:rPr>
        <w:t xml:space="preserve"> after enrolment at two months of age. The number scheduled to receive IPT is the same as the number enrolled plus a delay</w:t>
      </w:r>
      <w:r w:rsidRPr="00EF6C4E">
        <w:rPr>
          <w:rFonts w:ascii="Calibri" w:hAnsi="Calibri"/>
          <w:sz w:val="24"/>
          <w:szCs w:val="22"/>
        </w:rPr>
        <w:t xml:space="preserve"> of one month (30.4 days) for</w:t>
      </w:r>
      <w:r w:rsidR="00C949D6" w:rsidRPr="00EF6C4E">
        <w:rPr>
          <w:rFonts w:ascii="Calibri" w:hAnsi="Calibri"/>
          <w:sz w:val="24"/>
          <w:szCs w:val="22"/>
        </w:rPr>
        <w:t xml:space="preserve"> IPT-1 (given at three months of age) </w:t>
      </w:r>
      <w:r w:rsidRPr="00EF6C4E">
        <w:rPr>
          <w:rFonts w:ascii="Calibri" w:hAnsi="Calibri"/>
          <w:sz w:val="24"/>
          <w:szCs w:val="22"/>
        </w:rPr>
        <w:t>, two months (60.8 days) for IPT-2</w:t>
      </w:r>
      <w:r w:rsidR="00DB598F">
        <w:rPr>
          <w:rFonts w:ascii="Calibri" w:hAnsi="Calibri"/>
          <w:sz w:val="24"/>
          <w:szCs w:val="22"/>
        </w:rPr>
        <w:t xml:space="preserve"> (given at four months)</w:t>
      </w:r>
      <w:r w:rsidRPr="00EF6C4E">
        <w:rPr>
          <w:rFonts w:ascii="Calibri" w:hAnsi="Calibri"/>
          <w:sz w:val="24"/>
          <w:szCs w:val="22"/>
        </w:rPr>
        <w:t>, seven months (212.9 days)</w:t>
      </w:r>
      <w:r w:rsidR="00DB598F">
        <w:rPr>
          <w:rFonts w:ascii="Calibri" w:hAnsi="Calibri"/>
          <w:sz w:val="24"/>
          <w:szCs w:val="22"/>
        </w:rPr>
        <w:t xml:space="preserve"> </w:t>
      </w:r>
      <w:r w:rsidRPr="00EF6C4E">
        <w:rPr>
          <w:rFonts w:ascii="Calibri" w:hAnsi="Calibri"/>
          <w:sz w:val="24"/>
          <w:szCs w:val="22"/>
        </w:rPr>
        <w:t>for IPT-3</w:t>
      </w:r>
      <w:r w:rsidR="00DB598F">
        <w:rPr>
          <w:rFonts w:ascii="Calibri" w:hAnsi="Calibri"/>
          <w:sz w:val="24"/>
          <w:szCs w:val="22"/>
        </w:rPr>
        <w:t xml:space="preserve"> (given at nine months)</w:t>
      </w:r>
      <w:r w:rsidRPr="00EF6C4E">
        <w:rPr>
          <w:rFonts w:ascii="Calibri" w:hAnsi="Calibri"/>
          <w:sz w:val="24"/>
          <w:szCs w:val="22"/>
        </w:rPr>
        <w:t xml:space="preserve"> and ten months (304.2 days) for IPT-4</w:t>
      </w:r>
      <w:r w:rsidR="00DB598F">
        <w:rPr>
          <w:rFonts w:ascii="Calibri" w:hAnsi="Calibri"/>
          <w:sz w:val="24"/>
          <w:szCs w:val="22"/>
        </w:rPr>
        <w:t xml:space="preserve"> (given at 12 months of age)</w:t>
      </w:r>
      <w:r w:rsidRPr="00EF6C4E">
        <w:rPr>
          <w:rFonts w:ascii="Calibri" w:hAnsi="Calibri"/>
          <w:sz w:val="24"/>
          <w:szCs w:val="22"/>
        </w:rPr>
        <w:t>. Implicitly, it is therefore assumed that children receive vaccinations at the scheduled times.</w:t>
      </w:r>
    </w:p>
    <w:p w:rsidR="002475B4" w:rsidRPr="00EF6C4E" w:rsidRDefault="002475B4"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2) Seasonally targeted IPT</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Infants are scheduled to receive IPT at defined time points in the year. When IPT occurs depends on the dosing schedule chosen: the time the first dose is given each year, the number of IPT rounds per year and the interval between each round. </w:t>
      </w:r>
    </w:p>
    <w:p w:rsidR="00503858" w:rsidRPr="00EF6C4E" w:rsidRDefault="00503858" w:rsidP="00415958">
      <w:pPr>
        <w:spacing w:line="360" w:lineRule="auto"/>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Age structured model incorporating IPT in infants (model 1)</w:t>
      </w: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For simplicity, the model does not take detailed account of changes in age. However, children over 1 year of age would no longer receive IPT</w:t>
      </w:r>
      <w:r w:rsidR="00C949D6" w:rsidRPr="00EF6C4E">
        <w:rPr>
          <w:rFonts w:ascii="Calibri" w:hAnsi="Calibri"/>
          <w:sz w:val="24"/>
          <w:szCs w:val="22"/>
        </w:rPr>
        <w:t xml:space="preserve"> if IPT is</w:t>
      </w:r>
      <w:r w:rsidRPr="00EF6C4E">
        <w:rPr>
          <w:rFonts w:ascii="Calibri" w:hAnsi="Calibri"/>
          <w:sz w:val="24"/>
          <w:szCs w:val="22"/>
        </w:rPr>
        <w:t xml:space="preserve"> targeted only at infants. </w:t>
      </w:r>
      <w:r w:rsidR="005D3645" w:rsidRPr="00EF6C4E">
        <w:rPr>
          <w:rFonts w:ascii="Calibri" w:hAnsi="Calibri"/>
          <w:sz w:val="24"/>
          <w:szCs w:val="22"/>
        </w:rPr>
        <w:t xml:space="preserve">Incidence is known to vary with age, but </w:t>
      </w:r>
      <w:r w:rsidRPr="00EF6C4E">
        <w:rPr>
          <w:rFonts w:ascii="Calibri" w:hAnsi="Calibri"/>
          <w:sz w:val="24"/>
          <w:szCs w:val="22"/>
        </w:rPr>
        <w:t>in practice the differences appear small when compared to the temporal differences over the course of the year</w:t>
      </w:r>
      <w:r w:rsidR="00845607" w:rsidRPr="00EF6C4E">
        <w:rPr>
          <w:rFonts w:ascii="Calibri" w:hAnsi="Calibri"/>
          <w:sz w:val="24"/>
          <w:szCs w:val="22"/>
        </w:rPr>
        <w:t xml:space="preserve"> </w:t>
      </w:r>
      <w:r w:rsidR="00C949D6" w:rsidRPr="00EF6C4E">
        <w:rPr>
          <w:rFonts w:ascii="Calibri" w:hAnsi="Calibri"/>
          <w:sz w:val="24"/>
          <w:szCs w:val="22"/>
        </w:rPr>
        <w:t>(figure 3 in main document)</w:t>
      </w:r>
      <w:r w:rsidRPr="00EF6C4E">
        <w:rPr>
          <w:rFonts w:ascii="Calibri" w:hAnsi="Calibri"/>
          <w:sz w:val="24"/>
          <w:szCs w:val="22"/>
        </w:rPr>
        <w:t xml:space="preserve">. To capture these differences, the </w:t>
      </w:r>
      <w:r w:rsidRPr="00EF6C4E">
        <w:rPr>
          <w:rFonts w:ascii="Calibri" w:hAnsi="Calibri"/>
          <w:sz w:val="24"/>
        </w:rPr>
        <w:t xml:space="preserve">probability of symptoms upon infection is allowed to vary between age groups: </w:t>
      </w:r>
      <w:r w:rsidRPr="00EF6C4E">
        <w:rPr>
          <w:rFonts w:ascii="Calibri" w:hAnsi="Calibri" w:cs="Arial"/>
          <w:sz w:val="24"/>
        </w:rPr>
        <w:t>θ</w:t>
      </w:r>
      <w:r w:rsidRPr="00EF6C4E">
        <w:rPr>
          <w:rFonts w:ascii="Calibri" w:hAnsi="Calibri"/>
          <w:sz w:val="24"/>
        </w:rPr>
        <w:t xml:space="preserve"> is denoted </w:t>
      </w:r>
      <w:r w:rsidRPr="00EF6C4E">
        <w:rPr>
          <w:rFonts w:ascii="Calibri" w:hAnsi="Calibri" w:cs="Arial"/>
          <w:sz w:val="24"/>
        </w:rPr>
        <w:t>θ</w:t>
      </w:r>
      <w:r w:rsidRPr="00EF6C4E">
        <w:rPr>
          <w:rFonts w:ascii="Calibri" w:hAnsi="Calibri"/>
          <w:sz w:val="24"/>
          <w:vertAlign w:val="subscript"/>
        </w:rPr>
        <w:t xml:space="preserve">0 </w:t>
      </w:r>
      <w:r w:rsidRPr="00EF6C4E">
        <w:rPr>
          <w:rFonts w:ascii="Calibri" w:hAnsi="Calibri" w:cs="Arial"/>
          <w:sz w:val="24"/>
        </w:rPr>
        <w:t xml:space="preserve">for infants and </w:t>
      </w:r>
      <w:r w:rsidRPr="00EF6C4E">
        <w:rPr>
          <w:rFonts w:ascii="Times New Roman" w:hAnsi="Times New Roman" w:cs="Arial"/>
          <w:sz w:val="24"/>
        </w:rPr>
        <w:t>θ</w:t>
      </w:r>
      <w:r w:rsidRPr="00EF6C4E">
        <w:rPr>
          <w:rFonts w:ascii="Calibri" w:hAnsi="Calibri"/>
          <w:i/>
          <w:sz w:val="24"/>
          <w:vertAlign w:val="subscript"/>
        </w:rPr>
        <w:t>1</w:t>
      </w:r>
      <w:r w:rsidRPr="00EF6C4E">
        <w:rPr>
          <w:rFonts w:ascii="Calibri" w:hAnsi="Calibri"/>
          <w:sz w:val="24"/>
        </w:rPr>
        <w:t xml:space="preserve"> for one year old children.</w:t>
      </w:r>
    </w:p>
    <w:p w:rsidR="00415958" w:rsidRPr="00EF6C4E" w:rsidRDefault="00415958" w:rsidP="00415958">
      <w:pPr>
        <w:spacing w:line="360" w:lineRule="auto"/>
        <w:outlineLvl w:val="0"/>
        <w:rPr>
          <w:rFonts w:ascii="Calibri" w:hAnsi="Calibri"/>
          <w:sz w:val="24"/>
          <w:szCs w:val="22"/>
        </w:rPr>
      </w:pP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 xml:space="preserve">For the </w:t>
      </w:r>
      <w:r w:rsidR="00C949D6" w:rsidRPr="00EF6C4E">
        <w:rPr>
          <w:rFonts w:ascii="Calibri" w:hAnsi="Calibri"/>
          <w:sz w:val="24"/>
          <w:szCs w:val="22"/>
        </w:rPr>
        <w:t xml:space="preserve">age-structured </w:t>
      </w:r>
      <w:r w:rsidRPr="00EF6C4E">
        <w:rPr>
          <w:rFonts w:ascii="Calibri" w:hAnsi="Calibri"/>
          <w:sz w:val="24"/>
          <w:szCs w:val="22"/>
        </w:rPr>
        <w:t xml:space="preserve">model both the SP and placebo groups are split into two age strata, representing infants and one year old children. The model thus has four human components, all identical in structure except for </w:t>
      </w:r>
      <w:r w:rsidR="005D3645" w:rsidRPr="00EF6C4E">
        <w:rPr>
          <w:rFonts w:ascii="Calibri" w:hAnsi="Calibri"/>
          <w:sz w:val="24"/>
          <w:szCs w:val="22"/>
        </w:rPr>
        <w:t xml:space="preserve">IPT compartments </w:t>
      </w:r>
      <w:r w:rsidRPr="00EF6C4E">
        <w:rPr>
          <w:rFonts w:ascii="Calibri" w:hAnsi="Calibri"/>
          <w:sz w:val="24"/>
          <w:szCs w:val="22"/>
        </w:rPr>
        <w:t>in the SP group. One year old children retain the IPT compartment because children can reach one year of age while still protected by IPT</w:t>
      </w:r>
      <w:r w:rsidR="005D3645" w:rsidRPr="00EF6C4E">
        <w:rPr>
          <w:rFonts w:ascii="Calibri" w:hAnsi="Calibri"/>
          <w:sz w:val="24"/>
          <w:szCs w:val="22"/>
        </w:rPr>
        <w:t xml:space="preserve"> even if IPT is not given after infancy.</w:t>
      </w:r>
    </w:p>
    <w:p w:rsidR="00935C31" w:rsidRDefault="00935C31" w:rsidP="001C415C">
      <w:pPr>
        <w:spacing w:line="360" w:lineRule="auto"/>
        <w:rPr>
          <w:rFonts w:ascii="Calibri" w:hAnsi="Calibri"/>
          <w:b/>
          <w:sz w:val="24"/>
          <w:szCs w:val="22"/>
          <w:lang w:val="en-US"/>
        </w:rPr>
      </w:pPr>
    </w:p>
    <w:p w:rsidR="001C415C" w:rsidRPr="00EF6C4E" w:rsidRDefault="001C415C" w:rsidP="001C415C">
      <w:pPr>
        <w:spacing w:line="360" w:lineRule="auto"/>
        <w:rPr>
          <w:rFonts w:ascii="Calibri" w:hAnsi="Calibri"/>
          <w:b/>
          <w:sz w:val="24"/>
          <w:szCs w:val="22"/>
          <w:lang w:val="en-US"/>
        </w:rPr>
      </w:pPr>
      <w:r w:rsidRPr="00EF6C4E">
        <w:rPr>
          <w:rFonts w:ascii="Calibri" w:hAnsi="Calibri"/>
          <w:b/>
          <w:sz w:val="24"/>
          <w:szCs w:val="22"/>
          <w:lang w:val="en-US"/>
        </w:rPr>
        <w:lastRenderedPageBreak/>
        <w:t>Simulation of enrolment and ageing</w:t>
      </w: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Time in the model represents calendar time from the beginning of the trial in 2000 until its completion in 2004. Model time begins on 1</w:t>
      </w:r>
      <w:r w:rsidRPr="00EF6C4E">
        <w:rPr>
          <w:rFonts w:ascii="Calibri" w:hAnsi="Calibri"/>
          <w:sz w:val="24"/>
          <w:szCs w:val="22"/>
          <w:vertAlign w:val="superscript"/>
        </w:rPr>
        <w:t>st</w:t>
      </w:r>
      <w:r w:rsidRPr="00EF6C4E">
        <w:rPr>
          <w:rFonts w:ascii="Calibri" w:hAnsi="Calibri"/>
          <w:sz w:val="24"/>
          <w:szCs w:val="22"/>
        </w:rPr>
        <w:t xml:space="preserve"> September 2000. Because enrolment started at the end of September 2000, there is a run in period of 30 days before enrolment begins in the model. This run in was allowed so that EIR could be modelled from September 2000 onwards. The initial condition of each model compartment is therefore zero.</w:t>
      </w:r>
    </w:p>
    <w:p w:rsidR="00415958" w:rsidRPr="00EF6C4E" w:rsidRDefault="00415958" w:rsidP="00415958">
      <w:pPr>
        <w:spacing w:line="360" w:lineRule="auto"/>
        <w:outlineLvl w:val="0"/>
        <w:rPr>
          <w:rFonts w:ascii="Calibri" w:hAnsi="Calibri"/>
          <w:sz w:val="24"/>
          <w:szCs w:val="22"/>
        </w:rPr>
      </w:pP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 xml:space="preserve">The number of study children who were born, enrolled and had exited over the course of the study is shown in </w:t>
      </w:r>
      <w:r w:rsidR="00F0440C" w:rsidRPr="00EF6C4E">
        <w:rPr>
          <w:rFonts w:ascii="Calibri" w:hAnsi="Calibri"/>
          <w:sz w:val="24"/>
          <w:szCs w:val="22"/>
        </w:rPr>
        <w:t xml:space="preserve">figure </w:t>
      </w:r>
      <w:r w:rsidR="00845607" w:rsidRPr="00EF6C4E">
        <w:rPr>
          <w:rFonts w:ascii="Calibri" w:hAnsi="Calibri"/>
          <w:sz w:val="24"/>
          <w:szCs w:val="22"/>
        </w:rPr>
        <w:t>S3</w:t>
      </w:r>
      <w:r w:rsidRPr="00EF6C4E">
        <w:rPr>
          <w:rFonts w:ascii="Calibri" w:hAnsi="Calibri"/>
          <w:sz w:val="24"/>
          <w:szCs w:val="22"/>
        </w:rPr>
        <w:t>. The enrolment function in the model follows this pattern, with a constant rate of enrolment between day 30 (1</w:t>
      </w:r>
      <w:r w:rsidRPr="00EF6C4E">
        <w:rPr>
          <w:rFonts w:ascii="Calibri" w:hAnsi="Calibri"/>
          <w:sz w:val="24"/>
          <w:szCs w:val="22"/>
          <w:vertAlign w:val="superscript"/>
        </w:rPr>
        <w:t>st</w:t>
      </w:r>
      <w:r w:rsidRPr="00EF6C4E">
        <w:rPr>
          <w:rFonts w:ascii="Calibri" w:hAnsi="Calibri"/>
          <w:sz w:val="24"/>
          <w:szCs w:val="22"/>
        </w:rPr>
        <w:t xml:space="preserve"> October 2000) and day 668 (1</w:t>
      </w:r>
      <w:r w:rsidRPr="00EF6C4E">
        <w:rPr>
          <w:rFonts w:ascii="Calibri" w:hAnsi="Calibri"/>
          <w:sz w:val="24"/>
          <w:szCs w:val="22"/>
          <w:vertAlign w:val="superscript"/>
        </w:rPr>
        <w:t>st</w:t>
      </w:r>
      <w:r w:rsidRPr="00EF6C4E">
        <w:rPr>
          <w:rFonts w:ascii="Calibri" w:hAnsi="Calibri"/>
          <w:sz w:val="24"/>
          <w:szCs w:val="22"/>
        </w:rPr>
        <w:t xml:space="preserve"> July 02). The model slightly overestimates the number of children remaining in the trial because it does not account for early exit or death.</w:t>
      </w:r>
      <w:r w:rsidR="001C415C" w:rsidRPr="00EF6C4E">
        <w:rPr>
          <w:rFonts w:ascii="Calibri" w:hAnsi="Calibri"/>
          <w:sz w:val="24"/>
          <w:szCs w:val="22"/>
        </w:rPr>
        <w:t xml:space="preserve"> </w:t>
      </w:r>
      <w:r w:rsidRPr="00EF6C4E">
        <w:rPr>
          <w:rFonts w:ascii="Calibri" w:hAnsi="Calibri"/>
          <w:sz w:val="24"/>
          <w:szCs w:val="22"/>
        </w:rPr>
        <w:t>Because children were enrolled at two months of age, individuals transfer to the one year old stratum after spending 305 days (10 months) in the infant stratum. The function for ageing</w:t>
      </w:r>
      <w:r w:rsidR="001C415C" w:rsidRPr="00EF6C4E">
        <w:rPr>
          <w:rFonts w:ascii="Calibri" w:hAnsi="Calibri"/>
          <w:sz w:val="24"/>
          <w:szCs w:val="22"/>
        </w:rPr>
        <w:t xml:space="preserve"> into the one-year old stratum</w:t>
      </w:r>
      <w:r w:rsidRPr="00EF6C4E">
        <w:rPr>
          <w:rFonts w:ascii="Calibri" w:hAnsi="Calibri"/>
          <w:sz w:val="24"/>
          <w:szCs w:val="22"/>
        </w:rPr>
        <w:t xml:space="preserve"> is thus identical to the enrolment function with a delay of 305 days (10 months). Children exit the one year age group (and thus the entire model) 365 days after entering it, i.e. 670 days after first entering the infant stratum.</w:t>
      </w:r>
    </w:p>
    <w:p w:rsidR="001C415C" w:rsidRPr="00EF6C4E" w:rsidRDefault="001C415C" w:rsidP="00415958">
      <w:pPr>
        <w:spacing w:line="360" w:lineRule="auto"/>
        <w:outlineLvl w:val="0"/>
        <w:rPr>
          <w:rFonts w:ascii="Calibri" w:hAnsi="Calibri"/>
          <w:b/>
          <w:sz w:val="24"/>
          <w:szCs w:val="22"/>
        </w:rPr>
      </w:pPr>
    </w:p>
    <w:p w:rsidR="00415958" w:rsidRPr="00EF6C4E" w:rsidRDefault="00503858" w:rsidP="00415958">
      <w:pPr>
        <w:spacing w:line="360" w:lineRule="auto"/>
        <w:outlineLvl w:val="0"/>
        <w:rPr>
          <w:rFonts w:ascii="Calibri" w:hAnsi="Calibri"/>
          <w:b/>
          <w:sz w:val="24"/>
          <w:szCs w:val="22"/>
        </w:rPr>
      </w:pPr>
      <w:r w:rsidRPr="00EF6C4E">
        <w:rPr>
          <w:rFonts w:ascii="Calibri" w:hAnsi="Calibri"/>
          <w:b/>
          <w:sz w:val="24"/>
          <w:szCs w:val="22"/>
        </w:rPr>
        <w:br w:type="page"/>
      </w:r>
      <w:r w:rsidR="00415958" w:rsidRPr="00EF6C4E">
        <w:rPr>
          <w:rFonts w:ascii="Calibri" w:hAnsi="Calibri"/>
          <w:b/>
          <w:sz w:val="24"/>
          <w:szCs w:val="22"/>
        </w:rPr>
        <w:lastRenderedPageBreak/>
        <w:t xml:space="preserve">Figure </w:t>
      </w:r>
      <w:r w:rsidR="0068531B" w:rsidRPr="00EF6C4E">
        <w:rPr>
          <w:rFonts w:ascii="Calibri" w:hAnsi="Calibri"/>
          <w:b/>
          <w:sz w:val="24"/>
          <w:szCs w:val="22"/>
        </w:rPr>
        <w:t>S3</w:t>
      </w:r>
      <w:r w:rsidR="00415958" w:rsidRPr="00EF6C4E">
        <w:rPr>
          <w:rFonts w:ascii="Calibri" w:hAnsi="Calibri"/>
          <w:b/>
          <w:sz w:val="24"/>
          <w:szCs w:val="22"/>
        </w:rPr>
        <w:t>. Birth, enrolment and exit patterns for the IPTi trial and the model</w:t>
      </w:r>
    </w:p>
    <w:p w:rsidR="00415958" w:rsidRPr="00EF6C4E" w:rsidRDefault="00AC61F2" w:rsidP="00415958">
      <w:pPr>
        <w:outlineLvl w:val="0"/>
        <w:rPr>
          <w:rFonts w:ascii="Calibri" w:hAnsi="Calibri"/>
          <w:sz w:val="24"/>
          <w:szCs w:val="22"/>
        </w:rPr>
      </w:pPr>
      <w:r w:rsidRPr="00AA2259">
        <w:rPr>
          <w:rFonts w:ascii="Calibri" w:hAnsi="Calibri"/>
          <w:sz w:val="24"/>
        </w:rPr>
        <w:pict>
          <v:shape id="_x0000_i1032" type="#_x0000_t75" style="width:6in;height:248.85pt">
            <v:imagedata r:id="rId11" o:title=""/>
          </v:shape>
        </w:pict>
      </w:r>
    </w:p>
    <w:p w:rsidR="00415958" w:rsidRPr="00EF6C4E" w:rsidRDefault="00415958" w:rsidP="00415958">
      <w:pPr>
        <w:rPr>
          <w:rFonts w:ascii="Calibri" w:hAnsi="Calibri"/>
          <w:sz w:val="24"/>
          <w:szCs w:val="22"/>
        </w:rPr>
      </w:pPr>
      <w:r w:rsidRPr="00EF6C4E">
        <w:rPr>
          <w:rFonts w:ascii="Calibri" w:hAnsi="Calibri"/>
          <w:sz w:val="24"/>
          <w:szCs w:val="22"/>
        </w:rPr>
        <w:t>Figure shows patterns of birth, enrolment and exit from the IPTi trial dataset. The model approximation of these patterns is also shown.</w:t>
      </w:r>
    </w:p>
    <w:p w:rsidR="00415958" w:rsidRPr="00EF6C4E" w:rsidRDefault="00415958" w:rsidP="00415958">
      <w:pPr>
        <w:spacing w:line="360" w:lineRule="auto"/>
        <w:outlineLvl w:val="0"/>
        <w:rPr>
          <w:rFonts w:ascii="Calibri" w:hAnsi="Calibri"/>
          <w:b/>
          <w:sz w:val="24"/>
          <w:szCs w:val="22"/>
        </w:rPr>
      </w:pPr>
    </w:p>
    <w:p w:rsidR="00B31982" w:rsidRPr="00EF6C4E" w:rsidRDefault="00B31982" w:rsidP="00415958">
      <w:pPr>
        <w:spacing w:line="360" w:lineRule="auto"/>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rPr>
      </w:pPr>
      <w:r w:rsidRPr="00EF6C4E">
        <w:rPr>
          <w:rFonts w:ascii="Calibri" w:hAnsi="Calibri"/>
          <w:b/>
          <w:sz w:val="24"/>
          <w:szCs w:val="22"/>
        </w:rPr>
        <w:t>Mathematical notation for t</w:t>
      </w:r>
      <w:r w:rsidRPr="00EF6C4E">
        <w:rPr>
          <w:rFonts w:ascii="Calibri" w:hAnsi="Calibri"/>
          <w:b/>
          <w:sz w:val="24"/>
        </w:rPr>
        <w:t>ime dependent parameters</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Most parameters in the model remain the same throughout each model run. Those that vary with time, denoted t, are as follows:</w:t>
      </w:r>
    </w:p>
    <w:p w:rsidR="00415958" w:rsidRPr="00EF6C4E" w:rsidRDefault="00415958" w:rsidP="00415958">
      <w:pPr>
        <w:numPr>
          <w:ilvl w:val="0"/>
          <w:numId w:val="26"/>
        </w:numPr>
        <w:spacing w:line="360" w:lineRule="auto"/>
        <w:outlineLvl w:val="0"/>
        <w:rPr>
          <w:rFonts w:ascii="Calibri" w:hAnsi="Calibri"/>
          <w:sz w:val="24"/>
          <w:szCs w:val="22"/>
        </w:rPr>
      </w:pPr>
      <w:r w:rsidRPr="00EF6C4E">
        <w:rPr>
          <w:rFonts w:ascii="Calibri" w:hAnsi="Calibri"/>
          <w:sz w:val="24"/>
          <w:szCs w:val="22"/>
        </w:rPr>
        <w:t>the enrolment rate of children (children per day) enrolled into the trial cohort, ε(t)</w:t>
      </w:r>
    </w:p>
    <w:p w:rsidR="00415958" w:rsidRPr="00EF6C4E" w:rsidRDefault="00415958" w:rsidP="00415958">
      <w:pPr>
        <w:numPr>
          <w:ilvl w:val="0"/>
          <w:numId w:val="26"/>
        </w:numPr>
        <w:spacing w:line="360" w:lineRule="auto"/>
        <w:outlineLvl w:val="0"/>
        <w:rPr>
          <w:rFonts w:ascii="Calibri" w:hAnsi="Calibri"/>
          <w:sz w:val="24"/>
          <w:szCs w:val="22"/>
        </w:rPr>
      </w:pPr>
      <w:r w:rsidRPr="00EF6C4E">
        <w:rPr>
          <w:rFonts w:ascii="Calibri" w:hAnsi="Calibri"/>
          <w:sz w:val="24"/>
          <w:szCs w:val="22"/>
        </w:rPr>
        <w:t>the ageing of children, α(t), which is equal to the enrolment function with a fixed delay of 305 days for infants and 670 days (305+365) for one year old children.</w:t>
      </w:r>
    </w:p>
    <w:p w:rsidR="00415958" w:rsidRPr="00EF6C4E" w:rsidRDefault="00415958" w:rsidP="00415958">
      <w:pPr>
        <w:numPr>
          <w:ilvl w:val="0"/>
          <w:numId w:val="26"/>
        </w:numPr>
        <w:spacing w:line="360" w:lineRule="auto"/>
        <w:outlineLvl w:val="0"/>
        <w:rPr>
          <w:rFonts w:ascii="Calibri" w:hAnsi="Calibri"/>
          <w:sz w:val="24"/>
          <w:szCs w:val="22"/>
        </w:rPr>
      </w:pPr>
      <w:r w:rsidRPr="00EF6C4E">
        <w:rPr>
          <w:rFonts w:ascii="Calibri" w:hAnsi="Calibri"/>
          <w:sz w:val="24"/>
          <w:szCs w:val="22"/>
        </w:rPr>
        <w:t>the rate at which individuals are treated with IPT, denoted τ(t)</w:t>
      </w:r>
    </w:p>
    <w:p w:rsidR="00415958" w:rsidRPr="00EF6C4E" w:rsidRDefault="00415958" w:rsidP="00415958">
      <w:pPr>
        <w:numPr>
          <w:ilvl w:val="0"/>
          <w:numId w:val="26"/>
        </w:numPr>
        <w:spacing w:line="360" w:lineRule="auto"/>
        <w:outlineLvl w:val="0"/>
        <w:rPr>
          <w:rFonts w:ascii="Calibri" w:hAnsi="Calibri"/>
          <w:sz w:val="24"/>
          <w:szCs w:val="22"/>
        </w:rPr>
      </w:pPr>
      <w:r w:rsidRPr="00EF6C4E">
        <w:rPr>
          <w:rFonts w:ascii="Calibri" w:hAnsi="Calibri"/>
          <w:sz w:val="24"/>
          <w:szCs w:val="22"/>
        </w:rPr>
        <w:t>the EIR and the parameters which depend on it (λ(t)). Changes in EIR and λ(t) with time are described in more detail in the sections on ‘Extensions to the basic model’ and ‘Fitting the model’, below and are not discussed further here.</w:t>
      </w:r>
    </w:p>
    <w:p w:rsidR="00415958" w:rsidRPr="00EF6C4E" w:rsidRDefault="00415958" w:rsidP="00415958">
      <w:pPr>
        <w:spacing w:line="360" w:lineRule="auto"/>
        <w:outlineLvl w:val="0"/>
        <w:rPr>
          <w:rFonts w:ascii="Calibri" w:hAnsi="Calibri"/>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rPr>
        <w:t>Enrolment of infants and ageing</w:t>
      </w:r>
    </w:p>
    <w:p w:rsidR="00415958" w:rsidRPr="00EF6C4E" w:rsidRDefault="00415958" w:rsidP="00415958">
      <w:pPr>
        <w:spacing w:line="360" w:lineRule="auto"/>
        <w:rPr>
          <w:rFonts w:ascii="Calibri" w:hAnsi="Calibri"/>
          <w:sz w:val="24"/>
        </w:rPr>
      </w:pPr>
      <w:r w:rsidRPr="00EF6C4E">
        <w:rPr>
          <w:rFonts w:ascii="Calibri" w:hAnsi="Calibri"/>
          <w:sz w:val="24"/>
        </w:rPr>
        <w:lastRenderedPageBreak/>
        <w:t xml:space="preserve">Let a denote the age-group. a=0 denotes infants (2-12 months of age) and a=1 denotes one year old children (12-23 months of age). a’ is the complement of a (i.e. if a=0 then a’=1 and if a=1 then a’=0). </w:t>
      </w:r>
    </w:p>
    <w:p w:rsidR="00415958" w:rsidRPr="00EF6C4E" w:rsidRDefault="00415958" w:rsidP="00415958">
      <w:pPr>
        <w:spacing w:line="360" w:lineRule="auto"/>
        <w:rPr>
          <w:rFonts w:ascii="Calibri" w:hAnsi="Calibri"/>
          <w:sz w:val="24"/>
        </w:rPr>
      </w:pPr>
    </w:p>
    <w:p w:rsidR="00415958" w:rsidRPr="00EF6C4E" w:rsidRDefault="00415958" w:rsidP="00415958">
      <w:pPr>
        <w:spacing w:line="360" w:lineRule="auto"/>
        <w:rPr>
          <w:rFonts w:ascii="Calibri" w:hAnsi="Calibri" w:cs="Arial"/>
          <w:sz w:val="24"/>
        </w:rPr>
      </w:pPr>
      <w:r w:rsidRPr="00EF6C4E">
        <w:rPr>
          <w:rFonts w:ascii="Calibri" w:hAnsi="Calibri" w:cs="Arial"/>
          <w:sz w:val="24"/>
        </w:rPr>
        <w:t>Let ε denote the enrolment rate.</w:t>
      </w:r>
    </w:p>
    <w:p w:rsidR="00415958" w:rsidRPr="00EF6C4E" w:rsidRDefault="00415958" w:rsidP="00415958">
      <w:pPr>
        <w:spacing w:line="360" w:lineRule="auto"/>
        <w:rPr>
          <w:rFonts w:ascii="Calibri" w:hAnsi="Calibri"/>
          <w:sz w:val="24"/>
        </w:rPr>
      </w:pPr>
      <w:r w:rsidRPr="00EF6C4E">
        <w:rPr>
          <w:rFonts w:ascii="Calibri" w:hAnsi="Calibri" w:cs="Arial"/>
          <w:sz w:val="24"/>
        </w:rPr>
        <w:t>ε</w:t>
      </w:r>
      <w:r w:rsidRPr="00EF6C4E">
        <w:rPr>
          <w:rFonts w:ascii="Calibri" w:hAnsi="Calibri"/>
          <w:sz w:val="24"/>
        </w:rPr>
        <w:t xml:space="preserve">(a,t) = </w:t>
      </w:r>
      <w:r w:rsidRPr="00EF6C4E">
        <w:rPr>
          <w:rFonts w:ascii="Calibri" w:hAnsi="Calibri" w:cs="Arial"/>
          <w:sz w:val="24"/>
        </w:rPr>
        <w:t>ε</w:t>
      </w:r>
      <w:r w:rsidRPr="00EF6C4E">
        <w:rPr>
          <w:rFonts w:ascii="Calibri" w:hAnsi="Calibri"/>
          <w:sz w:val="24"/>
        </w:rPr>
        <w:t>(t)</w:t>
      </w:r>
      <w:r w:rsidRPr="00EF6C4E">
        <w:rPr>
          <w:rFonts w:ascii="Calibri" w:hAnsi="Calibri"/>
          <w:sz w:val="24"/>
        </w:rPr>
        <w:tab/>
        <w:t xml:space="preserve">if a=0, and </w:t>
      </w:r>
    </w:p>
    <w:p w:rsidR="00415958" w:rsidRPr="00EF6C4E" w:rsidRDefault="00415958" w:rsidP="00415958">
      <w:pPr>
        <w:spacing w:line="360" w:lineRule="auto"/>
        <w:ind w:firstLine="720"/>
        <w:rPr>
          <w:rFonts w:ascii="Calibri" w:hAnsi="Calibri"/>
          <w:sz w:val="24"/>
          <w:lang w:val="fr-FR"/>
        </w:rPr>
      </w:pPr>
      <w:r w:rsidRPr="00EF6C4E">
        <w:rPr>
          <w:rFonts w:ascii="Calibri" w:hAnsi="Calibri"/>
          <w:sz w:val="24"/>
          <w:lang w:val="fr-FR"/>
        </w:rPr>
        <w:t xml:space="preserve">0 </w:t>
      </w:r>
      <w:r w:rsidRPr="00EF6C4E">
        <w:rPr>
          <w:rFonts w:ascii="Calibri" w:hAnsi="Calibri"/>
          <w:sz w:val="24"/>
          <w:lang w:val="fr-FR"/>
        </w:rPr>
        <w:tab/>
        <w:t>otherwise.</w:t>
      </w:r>
    </w:p>
    <w:p w:rsidR="00415958" w:rsidRPr="00EF6C4E" w:rsidRDefault="00415958" w:rsidP="00415958">
      <w:pPr>
        <w:spacing w:line="360" w:lineRule="auto"/>
        <w:rPr>
          <w:rFonts w:ascii="Calibri" w:hAnsi="Calibri"/>
          <w:sz w:val="24"/>
          <w:szCs w:val="22"/>
          <w:lang w:val="fr-FR"/>
        </w:rPr>
      </w:pPr>
      <w:r w:rsidRPr="00EF6C4E">
        <w:rPr>
          <w:rFonts w:ascii="Calibri" w:hAnsi="Calibri"/>
          <w:sz w:val="24"/>
          <w:szCs w:val="22"/>
        </w:rPr>
        <w:t>ε</w:t>
      </w:r>
      <w:r w:rsidRPr="00EF6C4E">
        <w:rPr>
          <w:rFonts w:ascii="Calibri" w:hAnsi="Calibri"/>
          <w:sz w:val="24"/>
          <w:szCs w:val="22"/>
          <w:lang w:val="fr-FR"/>
        </w:rPr>
        <w:t xml:space="preserve">(t)=0 (t&lt;30); </w:t>
      </w:r>
      <w:r w:rsidRPr="00EF6C4E">
        <w:rPr>
          <w:rFonts w:ascii="Calibri" w:hAnsi="Calibri"/>
          <w:sz w:val="24"/>
          <w:szCs w:val="22"/>
        </w:rPr>
        <w:t>ε</w:t>
      </w:r>
      <w:r w:rsidRPr="00EF6C4E">
        <w:rPr>
          <w:rFonts w:ascii="Calibri" w:hAnsi="Calibri"/>
          <w:sz w:val="24"/>
          <w:szCs w:val="22"/>
          <w:lang w:val="fr-FR"/>
        </w:rPr>
        <w:t xml:space="preserve"> (t)=1.95 per day (30&lt;=t&lt;=668); </w:t>
      </w:r>
      <w:r w:rsidRPr="00EF6C4E">
        <w:rPr>
          <w:rFonts w:ascii="Calibri" w:hAnsi="Calibri"/>
          <w:sz w:val="24"/>
          <w:szCs w:val="22"/>
        </w:rPr>
        <w:t>ε</w:t>
      </w:r>
      <w:r w:rsidRPr="00EF6C4E">
        <w:rPr>
          <w:rFonts w:ascii="Calibri" w:hAnsi="Calibri"/>
          <w:sz w:val="24"/>
          <w:szCs w:val="22"/>
          <w:lang w:val="fr-FR"/>
        </w:rPr>
        <w:t xml:space="preserve"> (t)=0,t&gt;668</w:t>
      </w:r>
    </w:p>
    <w:p w:rsidR="00415958" w:rsidRPr="00EF6C4E" w:rsidRDefault="00415958" w:rsidP="00415958">
      <w:pPr>
        <w:spacing w:line="360" w:lineRule="auto"/>
        <w:rPr>
          <w:rFonts w:ascii="Calibri" w:hAnsi="Calibri"/>
          <w:sz w:val="24"/>
          <w:lang w:val="fr-FR"/>
        </w:rPr>
      </w:pPr>
    </w:p>
    <w:p w:rsidR="00415958" w:rsidRPr="00EF6C4E" w:rsidRDefault="00415958" w:rsidP="00415958">
      <w:pPr>
        <w:spacing w:line="360" w:lineRule="auto"/>
        <w:rPr>
          <w:rFonts w:ascii="Calibri" w:hAnsi="Calibri"/>
          <w:sz w:val="24"/>
          <w:lang w:val="en-US"/>
        </w:rPr>
      </w:pPr>
      <w:r w:rsidRPr="00EF6C4E">
        <w:rPr>
          <w:rFonts w:ascii="Calibri" w:hAnsi="Calibri"/>
          <w:sz w:val="24"/>
          <w:szCs w:val="22"/>
        </w:rPr>
        <w:t>To model age group, a number of individuals equal to the number enrolled 305 days previously move from age group 0 to age group 1. The number from each compartment of the model moving from age group 0 to the corresponding compartment in age group 1 is calculated to give a total per unit of time equal to the number enrolled 305 days previously:</w:t>
      </w:r>
    </w:p>
    <w:p w:rsidR="00415958" w:rsidRPr="00EF6C4E" w:rsidRDefault="00415958" w:rsidP="00415958">
      <w:pPr>
        <w:spacing w:line="360" w:lineRule="auto"/>
        <w:rPr>
          <w:rFonts w:ascii="Calibri" w:hAnsi="Calibri"/>
          <w:sz w:val="24"/>
        </w:rPr>
      </w:pPr>
      <w:r w:rsidRPr="00EF6C4E">
        <w:rPr>
          <w:rFonts w:ascii="Calibri" w:hAnsi="Calibri"/>
          <w:sz w:val="24"/>
        </w:rPr>
        <w:t xml:space="preserve">α(a,t) = </w:t>
      </w:r>
      <w:r w:rsidRPr="00EF6C4E">
        <w:rPr>
          <w:rFonts w:ascii="Calibri" w:hAnsi="Calibri"/>
          <w:sz w:val="24"/>
        </w:rPr>
        <w:tab/>
        <w:t>- α(t)</w:t>
      </w:r>
      <w:r w:rsidRPr="00EF6C4E">
        <w:rPr>
          <w:rFonts w:ascii="Calibri" w:hAnsi="Calibri"/>
          <w:sz w:val="24"/>
        </w:rPr>
        <w:tab/>
        <w:t xml:space="preserve">if a=0 ,  </w:t>
      </w:r>
      <w:r w:rsidRPr="00EF6C4E">
        <w:rPr>
          <w:rFonts w:ascii="Calibri" w:hAnsi="Calibri"/>
          <w:sz w:val="24"/>
        </w:rPr>
        <w:tab/>
        <w:t>and</w:t>
      </w:r>
    </w:p>
    <w:p w:rsidR="00415958" w:rsidRPr="00EF6C4E" w:rsidRDefault="00415958" w:rsidP="00415958">
      <w:pPr>
        <w:spacing w:line="360" w:lineRule="auto"/>
        <w:ind w:left="720" w:firstLine="720"/>
        <w:rPr>
          <w:rFonts w:ascii="Calibri" w:hAnsi="Calibri"/>
          <w:sz w:val="24"/>
        </w:rPr>
      </w:pPr>
      <w:r w:rsidRPr="00EF6C4E">
        <w:rPr>
          <w:rFonts w:ascii="Calibri" w:hAnsi="Calibri"/>
          <w:sz w:val="24"/>
        </w:rPr>
        <w:t>α(t)</w:t>
      </w:r>
      <w:r w:rsidRPr="00EF6C4E">
        <w:rPr>
          <w:rFonts w:ascii="Calibri" w:hAnsi="Calibri"/>
          <w:sz w:val="24"/>
        </w:rPr>
        <w:tab/>
        <w:t xml:space="preserve">if a=1. </w:t>
      </w:r>
    </w:p>
    <w:p w:rsidR="00415958" w:rsidRPr="00EF6C4E" w:rsidRDefault="00415958" w:rsidP="00415958">
      <w:pPr>
        <w:spacing w:line="360" w:lineRule="auto"/>
        <w:rPr>
          <w:rFonts w:ascii="Calibri" w:hAnsi="Calibri"/>
          <w:sz w:val="24"/>
        </w:rPr>
      </w:pPr>
    </w:p>
    <w:p w:rsidR="00415958" w:rsidRPr="00EF6C4E" w:rsidRDefault="00415958" w:rsidP="00415958">
      <w:pPr>
        <w:spacing w:line="360" w:lineRule="auto"/>
        <w:rPr>
          <w:rFonts w:ascii="Calibri" w:hAnsi="Calibri"/>
          <w:sz w:val="24"/>
        </w:rPr>
      </w:pPr>
      <w:r w:rsidRPr="00EF6C4E">
        <w:rPr>
          <w:rFonts w:ascii="Calibri" w:hAnsi="Calibri"/>
          <w:sz w:val="24"/>
        </w:rPr>
        <w:t>Let j denote all the compartments of the model in age group a.</w:t>
      </w:r>
    </w:p>
    <w:p w:rsidR="00415958" w:rsidRPr="00EF6C4E" w:rsidRDefault="00415958" w:rsidP="00415958">
      <w:pPr>
        <w:spacing w:line="360" w:lineRule="auto"/>
        <w:rPr>
          <w:rFonts w:ascii="Calibri" w:hAnsi="Calibri"/>
          <w:sz w:val="24"/>
        </w:rPr>
      </w:pPr>
      <w:r w:rsidRPr="00EF6C4E">
        <w:rPr>
          <w:rFonts w:ascii="Calibri" w:hAnsi="Calibri"/>
          <w:sz w:val="24"/>
        </w:rPr>
        <w:t>α(a,j,t)= ε(t-305)*n(a,j,t)/N(a,j,t) where n(a,j,t) is the number of individuals in compartment j in age group a at time t, so the total sum of α over all compartments in age group 0 is equal to ε(t-305). Ageing in age group 1 is analogous but equal to ε(t-670).</w:t>
      </w:r>
    </w:p>
    <w:p w:rsidR="00415958" w:rsidRPr="00EF6C4E" w:rsidRDefault="00415958" w:rsidP="00415958">
      <w:pPr>
        <w:spacing w:line="360" w:lineRule="auto"/>
        <w:rPr>
          <w:rFonts w:ascii="Calibri" w:hAnsi="Calibri" w:cs="Arial"/>
          <w:b/>
          <w:sz w:val="24"/>
        </w:rPr>
      </w:pPr>
    </w:p>
    <w:p w:rsidR="00415958" w:rsidRPr="00EF6C4E" w:rsidRDefault="00415958" w:rsidP="00415958">
      <w:pPr>
        <w:spacing w:line="360" w:lineRule="auto"/>
        <w:rPr>
          <w:rFonts w:ascii="Calibri" w:hAnsi="Calibri" w:cs="Arial"/>
          <w:b/>
          <w:sz w:val="24"/>
        </w:rPr>
      </w:pPr>
      <w:r w:rsidRPr="00EF6C4E">
        <w:rPr>
          <w:rFonts w:ascii="Calibri" w:hAnsi="Calibri" w:cs="Arial"/>
          <w:b/>
          <w:sz w:val="24"/>
        </w:rPr>
        <w:t>Treatment</w:t>
      </w:r>
    </w:p>
    <w:p w:rsidR="00415958" w:rsidRPr="00EF6C4E" w:rsidRDefault="00415958" w:rsidP="00415958">
      <w:pPr>
        <w:spacing w:line="360" w:lineRule="auto"/>
        <w:rPr>
          <w:rFonts w:ascii="Calibri" w:hAnsi="Calibri"/>
          <w:sz w:val="24"/>
        </w:rPr>
      </w:pPr>
      <w:r w:rsidRPr="00EF6C4E">
        <w:rPr>
          <w:rFonts w:ascii="Calibri" w:hAnsi="Calibri"/>
          <w:sz w:val="24"/>
        </w:rPr>
        <w:t xml:space="preserve">Let z denote the intervention group. z=0 denotes placebo and z=1 denotes SP. Then: </w:t>
      </w:r>
    </w:p>
    <w:p w:rsidR="00415958" w:rsidRPr="00EF6C4E" w:rsidRDefault="00415958" w:rsidP="00415958">
      <w:pPr>
        <w:spacing w:line="360" w:lineRule="auto"/>
        <w:rPr>
          <w:rFonts w:ascii="Calibri" w:hAnsi="Calibri"/>
          <w:sz w:val="24"/>
        </w:rPr>
      </w:pPr>
      <w:r w:rsidRPr="00EF6C4E">
        <w:rPr>
          <w:rFonts w:ascii="Calibri" w:hAnsi="Calibri" w:cs="Arial"/>
          <w:sz w:val="24"/>
        </w:rPr>
        <w:t>τ</w:t>
      </w:r>
      <w:r w:rsidRPr="00EF6C4E">
        <w:rPr>
          <w:rFonts w:ascii="Calibri" w:hAnsi="Calibri"/>
          <w:sz w:val="24"/>
        </w:rPr>
        <w:t xml:space="preserve">(t,z) = 0 </w:t>
      </w:r>
      <w:r w:rsidRPr="00EF6C4E">
        <w:rPr>
          <w:rFonts w:ascii="Calibri" w:hAnsi="Calibri"/>
          <w:sz w:val="24"/>
        </w:rPr>
        <w:tab/>
        <w:t xml:space="preserve">if z=0, </w:t>
      </w:r>
      <w:r w:rsidRPr="00EF6C4E">
        <w:rPr>
          <w:rFonts w:ascii="Calibri" w:hAnsi="Calibri"/>
          <w:sz w:val="24"/>
        </w:rPr>
        <w:tab/>
      </w:r>
      <w:r w:rsidRPr="00EF6C4E">
        <w:rPr>
          <w:rFonts w:ascii="Calibri" w:hAnsi="Calibri"/>
          <w:sz w:val="24"/>
        </w:rPr>
        <w:tab/>
        <w:t xml:space="preserve">and </w:t>
      </w:r>
    </w:p>
    <w:p w:rsidR="00415958" w:rsidRPr="00EF6C4E" w:rsidRDefault="00415958" w:rsidP="00415958">
      <w:pPr>
        <w:spacing w:line="360" w:lineRule="auto"/>
        <w:rPr>
          <w:rFonts w:ascii="Calibri" w:hAnsi="Calibri"/>
          <w:sz w:val="24"/>
        </w:rPr>
      </w:pPr>
      <w:r w:rsidRPr="00EF6C4E">
        <w:rPr>
          <w:rFonts w:ascii="Calibri" w:hAnsi="Calibri"/>
          <w:sz w:val="24"/>
        </w:rPr>
        <w:t xml:space="preserve">           </w:t>
      </w:r>
      <w:r w:rsidRPr="00EF6C4E">
        <w:rPr>
          <w:rFonts w:ascii="Calibri" w:hAnsi="Calibri" w:cs="Arial"/>
          <w:sz w:val="24"/>
        </w:rPr>
        <w:t>τ(t)</w:t>
      </w:r>
      <w:r w:rsidRPr="00EF6C4E">
        <w:rPr>
          <w:rFonts w:ascii="Calibri" w:hAnsi="Calibri"/>
          <w:sz w:val="24"/>
        </w:rPr>
        <w:t xml:space="preserve"> </w:t>
      </w:r>
      <w:r w:rsidRPr="00EF6C4E">
        <w:rPr>
          <w:rFonts w:ascii="Calibri" w:hAnsi="Calibri"/>
          <w:sz w:val="24"/>
        </w:rPr>
        <w:tab/>
        <w:t>if z=1</w:t>
      </w:r>
    </w:p>
    <w:p w:rsidR="00415958" w:rsidRPr="00EF6C4E" w:rsidRDefault="00415958" w:rsidP="00415958">
      <w:pPr>
        <w:spacing w:line="360" w:lineRule="auto"/>
        <w:outlineLvl w:val="0"/>
        <w:rPr>
          <w:rFonts w:ascii="Calibri" w:hAnsi="Calibri"/>
          <w:sz w:val="24"/>
          <w:szCs w:val="22"/>
        </w:rPr>
      </w:pPr>
      <w:r w:rsidRPr="00EF6C4E">
        <w:rPr>
          <w:rFonts w:ascii="Calibri" w:hAnsi="Calibri" w:cs="Arial"/>
          <w:sz w:val="24"/>
        </w:rPr>
        <w:t>τ</w:t>
      </w:r>
      <w:r w:rsidRPr="00EF6C4E">
        <w:rPr>
          <w:rFonts w:ascii="Calibri" w:hAnsi="Calibri"/>
          <w:sz w:val="24"/>
          <w:szCs w:val="22"/>
        </w:rPr>
        <w:t xml:space="preserve"> varies according to the particular IPT strategy used. This is described in detail elsewhere.</w:t>
      </w:r>
    </w:p>
    <w:p w:rsidR="00415958" w:rsidRPr="00EF6C4E" w:rsidRDefault="00415958" w:rsidP="00415958">
      <w:pPr>
        <w:spacing w:line="360" w:lineRule="auto"/>
        <w:rPr>
          <w:rFonts w:ascii="Calibri" w:hAnsi="Calibri"/>
          <w:b/>
          <w:sz w:val="24"/>
        </w:rPr>
      </w:pPr>
      <w:r w:rsidRPr="00EF6C4E">
        <w:rPr>
          <w:rFonts w:ascii="Calibri" w:hAnsi="Calibri"/>
          <w:sz w:val="24"/>
          <w:szCs w:val="22"/>
        </w:rPr>
        <w:lastRenderedPageBreak/>
        <w:t xml:space="preserve">The differential equations describing movements between the compartments of the model are shown below. A diagram of the entire basic transmission model is shown </w:t>
      </w:r>
      <w:r w:rsidR="00F0440C" w:rsidRPr="00EF6C4E">
        <w:rPr>
          <w:rFonts w:ascii="Calibri" w:hAnsi="Calibri"/>
          <w:sz w:val="24"/>
          <w:szCs w:val="22"/>
        </w:rPr>
        <w:t xml:space="preserve">figure </w:t>
      </w:r>
      <w:r w:rsidR="00845607" w:rsidRPr="00EF6C4E">
        <w:rPr>
          <w:rFonts w:ascii="Calibri" w:hAnsi="Calibri"/>
          <w:sz w:val="24"/>
          <w:szCs w:val="22"/>
        </w:rPr>
        <w:t>S4</w:t>
      </w:r>
      <w:r w:rsidRPr="00EF6C4E">
        <w:rPr>
          <w:rFonts w:ascii="Calibri" w:hAnsi="Calibri"/>
          <w:sz w:val="24"/>
          <w:szCs w:val="22"/>
        </w:rPr>
        <w:t>. As before, the sum of all the states gives the total number of children under observation in each combination of intervention group and age group. At time t=0, the number of children in all compartments, denoted N(a,z)=0.</w:t>
      </w:r>
    </w:p>
    <w:p w:rsidR="00B31982" w:rsidRPr="00EF6C4E" w:rsidRDefault="00B31982" w:rsidP="00415958">
      <w:pPr>
        <w:spacing w:line="360" w:lineRule="auto"/>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Equations of the basic model incorporating IPT and age group (model 1)</w:t>
      </w:r>
    </w:p>
    <w:p w:rsidR="00415958" w:rsidRPr="00EF6C4E" w:rsidRDefault="00CF07E8" w:rsidP="00415958">
      <w:pPr>
        <w:spacing w:line="360" w:lineRule="auto"/>
        <w:outlineLvl w:val="0"/>
        <w:rPr>
          <w:rFonts w:ascii="Calibri" w:hAnsi="Calibri"/>
          <w:b/>
          <w:sz w:val="24"/>
          <w:szCs w:val="22"/>
        </w:rPr>
      </w:pPr>
      <w:r w:rsidRPr="00887698">
        <w:rPr>
          <w:position w:val="-154"/>
          <w:szCs w:val="22"/>
        </w:rPr>
        <w:object w:dxaOrig="8260" w:dyaOrig="7940">
          <v:shape id="_x0000_i1033" type="#_x0000_t75" style="width:413.05pt;height:397.9pt" o:ole="">
            <v:imagedata r:id="rId12" o:title=""/>
          </v:shape>
          <o:OLEObject Type="Embed" ProgID="Equation.3" ShapeID="_x0000_i1033" DrawAspect="Content" ObjectID="_1362734383" r:id="rId13"/>
        </w:object>
      </w:r>
    </w:p>
    <w:p w:rsidR="00415958" w:rsidRPr="00EF6C4E" w:rsidRDefault="00415958" w:rsidP="00415958">
      <w:pPr>
        <w:outlineLvl w:val="0"/>
        <w:rPr>
          <w:rFonts w:ascii="Calibri" w:hAnsi="Calibri"/>
          <w:sz w:val="24"/>
        </w:rPr>
      </w:pPr>
    </w:p>
    <w:p w:rsidR="00415958" w:rsidRPr="00EF6C4E" w:rsidRDefault="00415958" w:rsidP="00415958">
      <w:pPr>
        <w:rPr>
          <w:rFonts w:ascii="Calibri" w:hAnsi="Calibri"/>
          <w:sz w:val="24"/>
        </w:rPr>
      </w:pPr>
    </w:p>
    <w:p w:rsidR="00415958" w:rsidRPr="00EF6C4E" w:rsidRDefault="00415958" w:rsidP="00415958">
      <w:pPr>
        <w:rPr>
          <w:rFonts w:ascii="Calibri" w:hAnsi="Calibri"/>
          <w:sz w:val="24"/>
        </w:rPr>
      </w:pPr>
      <w:r w:rsidRPr="00EF6C4E">
        <w:rPr>
          <w:rFonts w:ascii="Calibri" w:hAnsi="Calibri"/>
          <w:sz w:val="24"/>
        </w:rPr>
        <w:t>For clarity of presentation only the time-dependent parameters are denoted by t. Implicitly, states of the model e.g. U(a,z), E</w:t>
      </w:r>
      <w:r w:rsidRPr="00EF6C4E">
        <w:rPr>
          <w:rFonts w:ascii="Calibri" w:hAnsi="Calibri"/>
          <w:sz w:val="24"/>
          <w:vertAlign w:val="subscript"/>
        </w:rPr>
        <w:t>1</w:t>
      </w:r>
      <w:r w:rsidRPr="00EF6C4E">
        <w:rPr>
          <w:rFonts w:ascii="Calibri" w:hAnsi="Calibri"/>
          <w:sz w:val="24"/>
        </w:rPr>
        <w:t>(a,z), etc. are also time dependent, but following convention the notation for time-dependency of states is omitted.</w:t>
      </w:r>
    </w:p>
    <w:p w:rsidR="00764ABC" w:rsidRPr="00EF6C4E" w:rsidRDefault="00764ABC" w:rsidP="00415958">
      <w:pPr>
        <w:rPr>
          <w:rFonts w:ascii="Calibri" w:hAnsi="Calibri"/>
          <w:sz w:val="24"/>
        </w:rPr>
      </w:pPr>
    </w:p>
    <w:p w:rsidR="00764ABC" w:rsidRPr="00EF6C4E" w:rsidRDefault="00764ABC" w:rsidP="00415958">
      <w:pPr>
        <w:rPr>
          <w:rFonts w:ascii="Calibri" w:hAnsi="Calibri"/>
          <w:b/>
        </w:rPr>
        <w:sectPr w:rsidR="00764ABC" w:rsidRPr="00EF6C4E" w:rsidSect="0068531B">
          <w:pgSz w:w="12242" w:h="15842" w:code="1"/>
          <w:pgMar w:top="1418" w:right="1758" w:bottom="1418" w:left="1758" w:header="709" w:footer="709" w:gutter="0"/>
          <w:cols w:space="708"/>
          <w:docGrid w:linePitch="360"/>
        </w:sectPr>
      </w:pPr>
    </w:p>
    <w:p w:rsidR="00415958" w:rsidRPr="00EF6C4E" w:rsidRDefault="00415958" w:rsidP="00415958">
      <w:pPr>
        <w:rPr>
          <w:rFonts w:ascii="Calibri" w:hAnsi="Calibri"/>
          <w:b/>
          <w:sz w:val="24"/>
        </w:rPr>
      </w:pPr>
      <w:r w:rsidRPr="00EF6C4E">
        <w:rPr>
          <w:rFonts w:ascii="Calibri" w:hAnsi="Calibri"/>
          <w:b/>
          <w:sz w:val="24"/>
        </w:rPr>
        <w:lastRenderedPageBreak/>
        <w:t xml:space="preserve">Figure </w:t>
      </w:r>
      <w:r w:rsidR="0068531B" w:rsidRPr="00EF6C4E">
        <w:rPr>
          <w:rFonts w:ascii="Calibri" w:hAnsi="Calibri"/>
          <w:b/>
          <w:sz w:val="24"/>
          <w:szCs w:val="22"/>
        </w:rPr>
        <w:t>S4</w:t>
      </w:r>
      <w:r w:rsidR="00B96760" w:rsidRPr="00EF6C4E">
        <w:rPr>
          <w:rFonts w:ascii="Calibri" w:hAnsi="Calibri"/>
          <w:b/>
          <w:sz w:val="24"/>
          <w:szCs w:val="22"/>
        </w:rPr>
        <w:t>.</w:t>
      </w:r>
      <w:r w:rsidRPr="00EF6C4E">
        <w:rPr>
          <w:rFonts w:ascii="Calibri" w:hAnsi="Calibri"/>
          <w:b/>
          <w:sz w:val="24"/>
        </w:rPr>
        <w:t xml:space="preserve"> Age-structured model incorporating IPT in infants (model 1)</w:t>
      </w:r>
    </w:p>
    <w:p w:rsidR="00415958" w:rsidRPr="00EF6C4E" w:rsidRDefault="00415958" w:rsidP="00415958">
      <w:pPr>
        <w:rPr>
          <w:rFonts w:ascii="Calibri" w:hAnsi="Calibri"/>
          <w:b/>
        </w:rPr>
      </w:pPr>
    </w:p>
    <w:p w:rsidR="00415958" w:rsidRPr="00EF6C4E" w:rsidRDefault="00AA2259" w:rsidP="00415958">
      <w:pPr>
        <w:outlineLvl w:val="0"/>
        <w:rPr>
          <w:rFonts w:ascii="Calibri" w:hAnsi="Calibri"/>
          <w:sz w:val="22"/>
          <w:szCs w:val="22"/>
        </w:rPr>
      </w:pPr>
      <w:r w:rsidRPr="00AA2259">
        <w:rPr>
          <w:rFonts w:ascii="Calibri" w:hAnsi="Calibri"/>
          <w:sz w:val="24"/>
        </w:rPr>
      </w:r>
      <w:r w:rsidRPr="00AA2259">
        <w:rPr>
          <w:rFonts w:ascii="Calibri" w:hAnsi="Calibri"/>
          <w:sz w:val="24"/>
        </w:rPr>
        <w:pict>
          <v:group id="_x0000_s1075" editas="canvas" style="width:440.55pt;height:486.7pt;mso-position-horizontal-relative:char;mso-position-vertical-relative:line" coordorigin="4225,3469" coordsize="14406,16292">
            <o:lock v:ext="edit" aspectratio="t"/>
            <v:shape id="_x0000_s1076" type="#_x0000_t75" style="position:absolute;left:4225;top:3469;width:14406;height:16292" o:preferrelative="f">
              <v:fill o:detectmouseclick="t"/>
              <v:path o:extrusionok="t" o:connecttype="none"/>
              <o:lock v:ext="edit" text="t"/>
            </v:shape>
            <v:shape id="_x0000_s1077" type="#_x0000_t202" style="position:absolute;left:11655;top:8020;width:837;height:772">
              <v:textbox style="mso-next-textbox:#_x0000_s1077"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U</w:t>
                    </w:r>
                  </w:p>
                </w:txbxContent>
              </v:textbox>
            </v:shape>
            <v:shape id="_x0000_s1078" type="#_x0000_t202" style="position:absolute;left:13245;top:8020;width:838;height:772">
              <v:textbox style="mso-next-textbox:#_x0000_s1078" inset="1.3005mm,.65025mm,1.3005mm,.65025mm">
                <w:txbxContent>
                  <w:p w:rsidR="00896728" w:rsidRPr="00A93794" w:rsidRDefault="00896728" w:rsidP="00415958">
                    <w:pPr>
                      <w:jc w:val="center"/>
                      <w:rPr>
                        <w:sz w:val="12"/>
                      </w:rPr>
                    </w:pPr>
                  </w:p>
                  <w:p w:rsidR="00896728" w:rsidRPr="00A97DDD" w:rsidRDefault="00896728" w:rsidP="00415958">
                    <w:pPr>
                      <w:jc w:val="center"/>
                      <w:rPr>
                        <w:sz w:val="12"/>
                        <w:vertAlign w:val="subscript"/>
                      </w:rPr>
                    </w:pPr>
                    <w:r w:rsidRPr="00A93794">
                      <w:rPr>
                        <w:sz w:val="12"/>
                      </w:rPr>
                      <w:t>E</w:t>
                    </w:r>
                    <w:r>
                      <w:rPr>
                        <w:sz w:val="12"/>
                        <w:vertAlign w:val="subscript"/>
                      </w:rPr>
                      <w:t>1</w:t>
                    </w:r>
                  </w:p>
                </w:txbxContent>
              </v:textbox>
            </v:shape>
            <v:shape id="_x0000_s1079" type="#_x0000_t202" style="position:absolute;left:15255;top:9254;width:835;height:773">
              <v:textbox style="mso-next-textbox:#_x0000_s1079"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3794">
                      <w:rPr>
                        <w:sz w:val="12"/>
                      </w:rPr>
                      <w:t>A</w:t>
                    </w:r>
                  </w:p>
                </w:txbxContent>
              </v:textbox>
            </v:shape>
            <v:shape id="_x0000_s1080" type="#_x0000_t202" style="position:absolute;left:15255;top:6787;width:835;height:770">
              <v:textbox style="mso-next-textbox:#_x0000_s1080"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S</w:t>
                    </w:r>
                  </w:p>
                </w:txbxContent>
              </v:textbox>
            </v:shape>
            <v:shape id="_x0000_s1081" type="#_x0000_t202" style="position:absolute;left:17773;top:6783;width:837;height:774">
              <v:textbox style="mso-next-textbox:#_x0000_s1081"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7DDD">
                      <w:rPr>
                        <w:sz w:val="12"/>
                      </w:rPr>
                      <w:t>E</w:t>
                    </w:r>
                    <w:r w:rsidRPr="00A93794">
                      <w:rPr>
                        <w:sz w:val="12"/>
                        <w:vertAlign w:val="subscript"/>
                      </w:rPr>
                      <w:t>2</w:t>
                    </w:r>
                  </w:p>
                </w:txbxContent>
              </v:textbox>
            </v:shape>
            <v:line id="_x0000_s1082" style="position:absolute" from="12493,8383" to="13247,8385">
              <v:stroke endarrow="block"/>
            </v:line>
            <v:shape id="_x0000_s1083" type="#_x0000_t32" style="position:absolute;left:14083;top:8407;width:1172;height:1233" o:connectortype="straight">
              <v:stroke endarrow="block"/>
            </v:shape>
            <v:shape id="_x0000_s1084" type="#_x0000_t32" style="position:absolute;left:14083;top:7172;width:1172;height:1235;flip:y" o:connectortype="straight">
              <v:stroke endarrow="block"/>
            </v:shape>
            <v:shape id="_x0000_s1085" type="#_x0000_t34" style="position:absolute;left:13256;top:5604;width:1233;height:3600;rotation:270;flip:x y" o:connectortype="elbow" adj="-10551,17765,143990">
              <v:stroke endarrow="block"/>
            </v:shape>
            <v:shape id="_x0000_s1086" type="#_x0000_t34" style="position:absolute;left:13255;top:7610;width:1235;height:3600;rotation:90;flip:y" o:connectortype="elbow" adj="-10537,-36755,143795">
              <v:stroke endarrow="block"/>
            </v:shape>
            <v:shape id="_x0000_s1087" type="#_x0000_t202" style="position:absolute;left:17773;top:4858;width:835;height:772">
              <v:textbox style="mso-next-textbox:#_x0000_s1087" inset="1.3005mm,.65025mm,1.3005mm,.65025mm">
                <w:txbxContent>
                  <w:p w:rsidR="00896728" w:rsidRPr="00A93794" w:rsidRDefault="00896728" w:rsidP="00415958">
                    <w:pPr>
                      <w:jc w:val="center"/>
                      <w:rPr>
                        <w:sz w:val="12"/>
                      </w:rPr>
                    </w:pPr>
                  </w:p>
                  <w:p w:rsidR="00896728" w:rsidRPr="00EA666C" w:rsidRDefault="00896728" w:rsidP="00415958">
                    <w:pPr>
                      <w:jc w:val="center"/>
                      <w:rPr>
                        <w:sz w:val="12"/>
                        <w:vertAlign w:val="subscript"/>
                      </w:rPr>
                    </w:pPr>
                    <w:r>
                      <w:rPr>
                        <w:sz w:val="12"/>
                      </w:rPr>
                      <w:t>IPT</w:t>
                    </w:r>
                  </w:p>
                </w:txbxContent>
              </v:textbox>
            </v:shape>
            <v:shapetype id="_x0000_t37" coordsize="21600,21600" o:spt="37" o:oned="t" path="m,c10800,,21600,10800,21600,21600e" filled="f">
              <v:path arrowok="t" fillok="f" o:connecttype="none"/>
              <o:lock v:ext="edit" shapetype="t"/>
            </v:shapetype>
            <v:shape id="_x0000_s1088" type="#_x0000_t37" style="position:absolute;left:13535;top:3783;width:2775;height:5700;rotation:270" o:connectortype="curved" adj="-85540,-28961,-85540">
              <v:stroke dashstyle="dash" endarrow="block"/>
            </v:shape>
            <v:shape id="_x0000_s1089" type="#_x0000_t37" style="position:absolute;left:14331;top:4578;width:2775;height:4109;rotation:270" o:connectortype="curved" adj="-98216,-40174,-98216">
              <v:stroke dashstyle="dash" endarrow="block"/>
            </v:shape>
            <v:shape id="_x0000_s1090" type="#_x0000_t37" style="position:absolute;left:15952;top:4966;width:1542;height:2100;rotation:270" o:connectortype="curved" adj="-205634,-66230,-205634">
              <v:stroke dashstyle="dash" endarrow="block"/>
            </v:shape>
            <v:shape id="_x0000_s1091" type="#_x0000_t37" style="position:absolute;left:14718;top:6200;width:4009;height:2100;rotation:270" o:connectortype="curved" adj="-79077,-91026,-79077">
              <v:stroke dashstyle="dash"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_x0000_s1092" type="#_x0000_t38" style="position:absolute;left:17773;top:5245;width:1;height:1925;rotation:180;flip:x" o:connectortype="curved" adj="-7776000,-78248,217123200">
              <v:stroke dashstyle="dash" endarrow="block"/>
            </v:shape>
            <v:shape id="_x0000_s1093" type="#_x0000_t202" style="position:absolute;left:5043;top:3469;width:3760;height:1205" filled="f" stroked="f">
              <v:textbox style="mso-next-textbox:#_x0000_s1093" inset="1.3005mm,.65025mm,1.3005mm,.65025mm">
                <w:txbxContent>
                  <w:p w:rsidR="00896728" w:rsidRPr="00CF77AA" w:rsidRDefault="00896728" w:rsidP="00415958">
                    <w:pPr>
                      <w:rPr>
                        <w:b/>
                        <w:sz w:val="18"/>
                      </w:rPr>
                    </w:pPr>
                    <w:r w:rsidRPr="00CF77AA">
                      <w:rPr>
                        <w:b/>
                        <w:sz w:val="18"/>
                      </w:rPr>
                      <w:t>Placebo group</w:t>
                    </w:r>
                  </w:p>
                </w:txbxContent>
              </v:textbox>
            </v:shape>
            <v:shape id="_x0000_s1094" type="#_x0000_t202" style="position:absolute;left:13708;top:3469;width:2289;height:603" filled="f" stroked="f">
              <v:textbox style="mso-next-textbox:#_x0000_s1094" inset="1.3005mm,.65025mm,1.3005mm,.65025mm">
                <w:txbxContent>
                  <w:p w:rsidR="00896728" w:rsidRPr="00CF77AA" w:rsidRDefault="00896728" w:rsidP="00415958">
                    <w:pPr>
                      <w:rPr>
                        <w:b/>
                        <w:sz w:val="18"/>
                      </w:rPr>
                    </w:pPr>
                    <w:r>
                      <w:rPr>
                        <w:b/>
                        <w:sz w:val="18"/>
                      </w:rPr>
                      <w:t>SP g</w:t>
                    </w:r>
                    <w:r w:rsidRPr="00CF77AA">
                      <w:rPr>
                        <w:b/>
                        <w:sz w:val="18"/>
                      </w:rPr>
                      <w:t>roup</w:t>
                    </w:r>
                  </w:p>
                </w:txbxContent>
              </v:textbox>
            </v:shape>
            <v:shape id="_x0000_s1095" type="#_x0000_t202" style="position:absolute;left:8803;top:4674;width:1962;height:1205" filled="f" stroked="f">
              <v:textbox style="mso-next-textbox:#_x0000_s1095" inset="1.3005mm,.65025mm,1.3005mm,.65025mm">
                <w:txbxContent>
                  <w:p w:rsidR="00896728" w:rsidRDefault="00896728" w:rsidP="00415958">
                    <w:pPr>
                      <w:rPr>
                        <w:b/>
                        <w:sz w:val="18"/>
                      </w:rPr>
                    </w:pPr>
                  </w:p>
                  <w:p w:rsidR="00896728" w:rsidRDefault="00896728" w:rsidP="00415958">
                    <w:pPr>
                      <w:rPr>
                        <w:b/>
                        <w:sz w:val="18"/>
                      </w:rPr>
                    </w:pPr>
                  </w:p>
                  <w:p w:rsidR="00896728" w:rsidRPr="00EA666C" w:rsidRDefault="00896728" w:rsidP="00415958">
                    <w:pPr>
                      <w:rPr>
                        <w:b/>
                      </w:rPr>
                    </w:pPr>
                    <w:r w:rsidRPr="00EA666C">
                      <w:rPr>
                        <w:b/>
                      </w:rPr>
                      <w:t>Infants</w:t>
                    </w:r>
                  </w:p>
                </w:txbxContent>
              </v:textbox>
            </v:shape>
            <v:shape id="_x0000_s1096" type="#_x0000_t202" style="position:absolute;left:8306;top:11444;width:2616;height:1205" filled="f" stroked="f">
              <v:textbox style="mso-next-textbox:#_x0000_s1096" inset="1.3005mm,.65025mm,1.3005mm,.65025mm">
                <w:txbxContent>
                  <w:p w:rsidR="00896728" w:rsidRDefault="00896728" w:rsidP="00415958">
                    <w:pPr>
                      <w:rPr>
                        <w:b/>
                        <w:sz w:val="18"/>
                      </w:rPr>
                    </w:pPr>
                  </w:p>
                  <w:p w:rsidR="00896728" w:rsidRDefault="00896728" w:rsidP="00415958">
                    <w:pPr>
                      <w:rPr>
                        <w:b/>
                        <w:sz w:val="18"/>
                      </w:rPr>
                    </w:pPr>
                  </w:p>
                  <w:p w:rsidR="00896728" w:rsidRPr="009428CD" w:rsidRDefault="00896728" w:rsidP="00415958">
                    <w:pPr>
                      <w:rPr>
                        <w:b/>
                      </w:rPr>
                    </w:pPr>
                    <w:r w:rsidRPr="009428CD">
                      <w:rPr>
                        <w:b/>
                      </w:rPr>
                      <w:t>One year olds</w:t>
                    </w:r>
                  </w:p>
                </w:txbxContent>
              </v:textbox>
            </v:shape>
            <v:line id="_x0000_s1097" style="position:absolute" from="6434,10842" to="6436,12951">
              <v:stroke dashstyle="dash" endarrow="block"/>
            </v:line>
            <v:shape id="_x0000_s1098" type="#_x0000_t202" style="position:absolute;left:6598;top:10842;width:2616;height:1506" filled="f" stroked="f">
              <v:textbox style="mso-next-textbox:#_x0000_s1098" inset="1.3005mm,.65025mm,1.3005mm,.65025mm">
                <w:txbxContent>
                  <w:p w:rsidR="00896728" w:rsidRDefault="00896728" w:rsidP="00415958">
                    <w:pPr>
                      <w:rPr>
                        <w:b/>
                        <w:sz w:val="18"/>
                      </w:rPr>
                    </w:pPr>
                  </w:p>
                  <w:p w:rsidR="00896728" w:rsidRPr="00377D9F" w:rsidRDefault="00896728" w:rsidP="00415958">
                    <w:pPr>
                      <w:rPr>
                        <w:i/>
                        <w:sz w:val="40"/>
                        <w:vertAlign w:val="subscript"/>
                      </w:rPr>
                    </w:pPr>
                    <w:r w:rsidRPr="00377D9F">
                      <w:rPr>
                        <w:rFonts w:ascii="Times New Roman" w:hAnsi="Times New Roman"/>
                        <w:i/>
                        <w:sz w:val="30"/>
                      </w:rPr>
                      <w:t>α</w:t>
                    </w:r>
                    <w:r>
                      <w:rPr>
                        <w:rFonts w:ascii="Times New Roman" w:hAnsi="Times New Roman"/>
                        <w:i/>
                        <w:sz w:val="30"/>
                      </w:rPr>
                      <w:t>(t)</w:t>
                    </w:r>
                  </w:p>
                </w:txbxContent>
              </v:textbox>
            </v:shape>
            <v:shape id="_x0000_s1099" type="#_x0000_t32" style="position:absolute;left:16090;top:7557;width:2101;height:2083;flip:y" o:connectortype="straight">
              <v:stroke endarrow="block"/>
            </v:shape>
            <v:shape id="_x0000_s1100" type="#_x0000_t32" style="position:absolute;left:15673;top:7170;width:2100;height:2084;flip:x" o:connectortype="straight">
              <v:stroke endarrow="block"/>
            </v:shape>
            <v:shape id="_x0000_s1101" type="#_x0000_t32" style="position:absolute;left:16090;top:7170;width:1683;height:2;flip:x" o:connectortype="straight">
              <v:stroke endarrow="block"/>
            </v:shape>
            <v:shape id="_x0000_s1102" type="#_x0000_t202" style="position:absolute;left:11648;top:15333;width:837;height:771">
              <v:textbox style="mso-next-textbox:#_x0000_s1102"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U</w:t>
                    </w:r>
                  </w:p>
                </w:txbxContent>
              </v:textbox>
            </v:shape>
            <v:shape id="_x0000_s1103" type="#_x0000_t202" style="position:absolute;left:13239;top:15333;width:837;height:771">
              <v:textbox style="mso-next-textbox:#_x0000_s1103" inset="1.3005mm,.65025mm,1.3005mm,.65025mm">
                <w:txbxContent>
                  <w:p w:rsidR="00896728" w:rsidRPr="00A93794" w:rsidRDefault="00896728" w:rsidP="00415958">
                    <w:pPr>
                      <w:jc w:val="center"/>
                      <w:rPr>
                        <w:sz w:val="12"/>
                      </w:rPr>
                    </w:pPr>
                  </w:p>
                  <w:p w:rsidR="00896728" w:rsidRPr="00A97DDD" w:rsidRDefault="00896728" w:rsidP="00415958">
                    <w:pPr>
                      <w:jc w:val="center"/>
                      <w:rPr>
                        <w:sz w:val="12"/>
                        <w:vertAlign w:val="subscript"/>
                      </w:rPr>
                    </w:pPr>
                    <w:r w:rsidRPr="00A93794">
                      <w:rPr>
                        <w:sz w:val="12"/>
                      </w:rPr>
                      <w:t>E</w:t>
                    </w:r>
                    <w:r>
                      <w:rPr>
                        <w:sz w:val="12"/>
                        <w:vertAlign w:val="subscript"/>
                      </w:rPr>
                      <w:t>1</w:t>
                    </w:r>
                  </w:p>
                </w:txbxContent>
              </v:textbox>
            </v:shape>
            <v:shape id="_x0000_s1104" type="#_x0000_t202" style="position:absolute;left:15247;top:16566;width:837;height:774">
              <v:textbox style="mso-next-textbox:#_x0000_s1104"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3794">
                      <w:rPr>
                        <w:sz w:val="12"/>
                      </w:rPr>
                      <w:t>A</w:t>
                    </w:r>
                  </w:p>
                </w:txbxContent>
              </v:textbox>
            </v:shape>
            <v:shape id="_x0000_s1105" type="#_x0000_t202" style="position:absolute;left:15247;top:14099;width:837;height:770">
              <v:textbox style="mso-next-textbox:#_x0000_s1105"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S</w:t>
                    </w:r>
                  </w:p>
                </w:txbxContent>
              </v:textbox>
            </v:shape>
            <v:shape id="_x0000_s1106" type="#_x0000_t202" style="position:absolute;left:17766;top:14096;width:837;height:773">
              <v:textbox style="mso-next-textbox:#_x0000_s1106"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7DDD">
                      <w:rPr>
                        <w:sz w:val="12"/>
                      </w:rPr>
                      <w:t>E</w:t>
                    </w:r>
                    <w:r w:rsidRPr="00A93794">
                      <w:rPr>
                        <w:sz w:val="12"/>
                        <w:vertAlign w:val="subscript"/>
                      </w:rPr>
                      <w:t>2</w:t>
                    </w:r>
                  </w:p>
                </w:txbxContent>
              </v:textbox>
            </v:shape>
            <v:line id="_x0000_s1107" style="position:absolute" from="12487,15696" to="13241,15698">
              <v:stroke endarrow="block"/>
            </v:line>
            <v:shape id="_x0000_s1108" type="#_x0000_t32" style="position:absolute;left:14076;top:15719;width:1171;height:1234" o:connectortype="straight">
              <v:stroke endarrow="block"/>
            </v:shape>
            <v:shape id="_x0000_s1109" type="#_x0000_t32" style="position:absolute;left:14076;top:14484;width:1171;height:1235;flip:y" o:connectortype="straight">
              <v:stroke endarrow="block"/>
            </v:shape>
            <v:shape id="_x0000_s1110" type="#_x0000_t34" style="position:absolute;left:13250;top:12916;width:1234;height:3600;rotation:270;flip:x y" o:connectortype="elbow" adj="-10551,17765,143990">
              <v:stroke endarrow="block"/>
            </v:shape>
            <v:shape id="_x0000_s1111" type="#_x0000_t34" style="position:absolute;left:13248;top:14923;width:1236;height:3598;rotation:90;flip:y" o:connectortype="elbow" adj="-10493,-100522,256131">
              <v:stroke endarrow="block"/>
            </v:shape>
            <v:shape id="_x0000_s1112" type="#_x0000_t202" style="position:absolute;left:17699;top:12951;width:836;height:771">
              <v:textbox style="mso-next-textbox:#_x0000_s1112" inset="1.3005mm,.65025mm,1.3005mm,.65025mm">
                <w:txbxContent>
                  <w:p w:rsidR="00896728" w:rsidRPr="00A93794" w:rsidRDefault="00896728" w:rsidP="00415958">
                    <w:pPr>
                      <w:jc w:val="center"/>
                      <w:rPr>
                        <w:sz w:val="12"/>
                      </w:rPr>
                    </w:pPr>
                  </w:p>
                  <w:p w:rsidR="00896728" w:rsidRPr="00EA666C" w:rsidRDefault="00896728" w:rsidP="00415958">
                    <w:pPr>
                      <w:jc w:val="center"/>
                      <w:rPr>
                        <w:sz w:val="12"/>
                        <w:vertAlign w:val="subscript"/>
                      </w:rPr>
                    </w:pPr>
                    <w:r>
                      <w:rPr>
                        <w:sz w:val="12"/>
                      </w:rPr>
                      <w:t>IPT</w:t>
                    </w:r>
                  </w:p>
                </w:txbxContent>
              </v:textbox>
            </v:shape>
            <v:shape id="_x0000_s1113" type="#_x0000_t32" style="position:absolute;left:16084;top:14869;width:2101;height:2084;flip:y" o:connectortype="straight">
              <v:stroke endarrow="block"/>
            </v:shape>
            <v:shape id="_x0000_s1114" type="#_x0000_t32" style="position:absolute;left:15665;top:14482;width:2101;height:2084;flip:x" o:connectortype="straight">
              <v:stroke endarrow="block"/>
            </v:shape>
            <v:shape id="_x0000_s1115" type="#_x0000_t32" style="position:absolute;left:16084;top:14482;width:1682;height:2;flip:x" o:connectortype="straight">
              <v:stroke endarrow="block"/>
            </v:shape>
            <v:shape id="_x0000_s1116" type="#_x0000_t202" style="position:absolute;left:4225;top:15389;width:838;height:772">
              <v:textbox style="mso-next-textbox:#_x0000_s1116"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U</w:t>
                    </w:r>
                  </w:p>
                </w:txbxContent>
              </v:textbox>
            </v:shape>
            <v:shape id="_x0000_s1117" type="#_x0000_t202" style="position:absolute;left:5808;top:15389;width:837;height:772">
              <v:textbox style="mso-next-textbox:#_x0000_s1117" inset="1.3005mm,.65025mm,1.3005mm,.65025mm">
                <w:txbxContent>
                  <w:p w:rsidR="00896728" w:rsidRPr="00A93794" w:rsidRDefault="00896728" w:rsidP="00415958">
                    <w:pPr>
                      <w:jc w:val="center"/>
                      <w:rPr>
                        <w:sz w:val="12"/>
                      </w:rPr>
                    </w:pPr>
                  </w:p>
                  <w:p w:rsidR="00896728" w:rsidRPr="00A97DDD" w:rsidRDefault="00896728" w:rsidP="00415958">
                    <w:pPr>
                      <w:jc w:val="center"/>
                      <w:rPr>
                        <w:sz w:val="12"/>
                        <w:vertAlign w:val="subscript"/>
                      </w:rPr>
                    </w:pPr>
                    <w:r w:rsidRPr="00A93794">
                      <w:rPr>
                        <w:sz w:val="12"/>
                      </w:rPr>
                      <w:t>E</w:t>
                    </w:r>
                    <w:r>
                      <w:rPr>
                        <w:sz w:val="12"/>
                        <w:vertAlign w:val="subscript"/>
                      </w:rPr>
                      <w:t>1</w:t>
                    </w:r>
                  </w:p>
                </w:txbxContent>
              </v:textbox>
            </v:shape>
            <v:shape id="_x0000_s1118" type="#_x0000_t202" style="position:absolute;left:7816;top:16623;width:837;height:773">
              <v:textbox style="mso-next-textbox:#_x0000_s1118"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Pr>
                        <w:sz w:val="12"/>
                      </w:rPr>
                      <w:t>A</w:t>
                    </w:r>
                  </w:p>
                </w:txbxContent>
              </v:textbox>
            </v:shape>
            <v:shape id="_x0000_s1119" type="#_x0000_t202" style="position:absolute;left:7816;top:14156;width:837;height:770">
              <v:textbox style="mso-next-textbox:#_x0000_s1119"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S</w:t>
                    </w:r>
                  </w:p>
                </w:txbxContent>
              </v:textbox>
            </v:shape>
            <v:shape id="_x0000_s1120" type="#_x0000_t202" style="position:absolute;left:9874;top:14152;width:837;height:774">
              <v:textbox style="mso-next-textbox:#_x0000_s1120"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7DDD">
                      <w:rPr>
                        <w:sz w:val="12"/>
                      </w:rPr>
                      <w:t>E</w:t>
                    </w:r>
                    <w:r w:rsidRPr="00A93794">
                      <w:rPr>
                        <w:sz w:val="12"/>
                        <w:vertAlign w:val="subscript"/>
                      </w:rPr>
                      <w:t>2</w:t>
                    </w:r>
                  </w:p>
                </w:txbxContent>
              </v:textbox>
            </v:shape>
            <v:line id="_x0000_s1121" style="position:absolute" from="5056,15752" to="5810,15754">
              <v:stroke endarrow="block"/>
            </v:line>
            <v:shape id="_x0000_s1122" type="#_x0000_t32" style="position:absolute;left:6645;top:15776;width:1171;height:1233" o:connectortype="straight">
              <v:stroke endarrow="block"/>
            </v:shape>
            <v:shape id="_x0000_s1123" type="#_x0000_t32" style="position:absolute;left:6645;top:14541;width:1171;height:1235;flip:y" o:connectortype="straight">
              <v:stroke endarrow="block"/>
            </v:shape>
            <v:shape id="_x0000_s1124" type="#_x0000_t34" style="position:absolute;left:5819;top:12973;width:1233;height:3600;rotation:270;flip:x y" o:connectortype="elbow" adj="-10551,17765,143990">
              <v:stroke endarrow="block"/>
            </v:shape>
            <v:shape id="_x0000_s1125" type="#_x0000_t34" style="position:absolute;left:5818;top:14979;width:1235;height:3600;rotation:90;flip:y" o:connectortype="elbow" adj="-10537,-36755,143795">
              <v:stroke endarrow="block"/>
            </v:shape>
            <v:shape id="_x0000_s1126" type="#_x0000_t32" style="position:absolute;left:8653;top:14926;width:1640;height:2083;flip:y" o:connectortype="straight">
              <v:stroke endarrow="block"/>
            </v:shape>
            <v:shape id="_x0000_s1127" type="#_x0000_t32" style="position:absolute;left:8234;top:14539;width:1640;height:2084;flip:x" o:connectortype="straight">
              <v:stroke endarrow="block"/>
            </v:shape>
            <v:shape id="_x0000_s1128" type="#_x0000_t32" style="position:absolute;left:8653;top:14539;width:1221;height:2;flip:x" o:connectortype="straight">
              <v:stroke endarrow="block"/>
            </v:shape>
            <v:shape id="_x0000_s1129" type="#_x0000_t202" style="position:absolute;left:4225;top:7988;width:838;height:772">
              <v:textbox style="mso-next-textbox:#_x0000_s1129"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U</w:t>
                    </w:r>
                  </w:p>
                </w:txbxContent>
              </v:textbox>
            </v:shape>
            <v:shape id="_x0000_s1130" type="#_x0000_t202" style="position:absolute;left:5815;top:8016;width:837;height:772">
              <v:textbox style="mso-next-textbox:#_x0000_s1130" inset="1.3005mm,.65025mm,1.3005mm,.65025mm">
                <w:txbxContent>
                  <w:p w:rsidR="00896728" w:rsidRPr="00A93794" w:rsidRDefault="00896728" w:rsidP="00415958">
                    <w:pPr>
                      <w:jc w:val="center"/>
                      <w:rPr>
                        <w:sz w:val="12"/>
                      </w:rPr>
                    </w:pPr>
                  </w:p>
                  <w:p w:rsidR="00896728" w:rsidRPr="00A97DDD" w:rsidRDefault="00896728" w:rsidP="00415958">
                    <w:pPr>
                      <w:jc w:val="center"/>
                      <w:rPr>
                        <w:sz w:val="12"/>
                        <w:vertAlign w:val="subscript"/>
                      </w:rPr>
                    </w:pPr>
                    <w:r w:rsidRPr="00A93794">
                      <w:rPr>
                        <w:sz w:val="12"/>
                      </w:rPr>
                      <w:t>E</w:t>
                    </w:r>
                    <w:r>
                      <w:rPr>
                        <w:sz w:val="12"/>
                        <w:vertAlign w:val="subscript"/>
                      </w:rPr>
                      <w:t>1</w:t>
                    </w:r>
                  </w:p>
                </w:txbxContent>
              </v:textbox>
            </v:shape>
            <v:shape id="_x0000_s1131" type="#_x0000_t202" style="position:absolute;left:7822;top:9250;width:837;height:773">
              <v:textbox style="mso-next-textbox:#_x0000_s1131"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3794">
                      <w:rPr>
                        <w:sz w:val="12"/>
                      </w:rPr>
                      <w:t>A</w:t>
                    </w:r>
                  </w:p>
                </w:txbxContent>
              </v:textbox>
            </v:shape>
            <v:shape id="_x0000_s1132" type="#_x0000_t202" style="position:absolute;left:7822;top:6783;width:837;height:770">
              <v:textbox style="mso-next-textbox:#_x0000_s1132" inset="1.3005mm,.65025mm,1.3005mm,.65025mm">
                <w:txbxContent>
                  <w:p w:rsidR="00896728" w:rsidRPr="00A93794" w:rsidRDefault="00896728" w:rsidP="00415958">
                    <w:pPr>
                      <w:jc w:val="center"/>
                      <w:rPr>
                        <w:sz w:val="12"/>
                      </w:rPr>
                    </w:pPr>
                  </w:p>
                  <w:p w:rsidR="00896728" w:rsidRPr="00A93794" w:rsidRDefault="00896728" w:rsidP="00415958">
                    <w:pPr>
                      <w:jc w:val="center"/>
                      <w:rPr>
                        <w:sz w:val="12"/>
                      </w:rPr>
                    </w:pPr>
                    <w:r w:rsidRPr="00A93794">
                      <w:rPr>
                        <w:sz w:val="12"/>
                      </w:rPr>
                      <w:t>S</w:t>
                    </w:r>
                  </w:p>
                </w:txbxContent>
              </v:textbox>
            </v:shape>
            <v:shape id="_x0000_s1133" type="#_x0000_t202" style="position:absolute;left:9874;top:6783;width:837;height:773">
              <v:textbox style="mso-next-textbox:#_x0000_s1133" inset="1.3005mm,.65025mm,1.3005mm,.65025mm">
                <w:txbxContent>
                  <w:p w:rsidR="00896728" w:rsidRPr="00A93794" w:rsidRDefault="00896728" w:rsidP="00415958">
                    <w:pPr>
                      <w:jc w:val="center"/>
                      <w:rPr>
                        <w:sz w:val="12"/>
                      </w:rPr>
                    </w:pPr>
                  </w:p>
                  <w:p w:rsidR="00896728" w:rsidRPr="00A93794" w:rsidRDefault="00896728" w:rsidP="00415958">
                    <w:pPr>
                      <w:jc w:val="center"/>
                      <w:rPr>
                        <w:sz w:val="12"/>
                        <w:vertAlign w:val="subscript"/>
                      </w:rPr>
                    </w:pPr>
                    <w:r w:rsidRPr="00A97DDD">
                      <w:rPr>
                        <w:sz w:val="12"/>
                      </w:rPr>
                      <w:t>E</w:t>
                    </w:r>
                    <w:r w:rsidRPr="00A93794">
                      <w:rPr>
                        <w:sz w:val="12"/>
                        <w:vertAlign w:val="subscript"/>
                      </w:rPr>
                      <w:t>2</w:t>
                    </w:r>
                  </w:p>
                </w:txbxContent>
              </v:textbox>
            </v:shape>
            <v:line id="_x0000_s1134" style="position:absolute" from="5063,8380" to="5816,8381">
              <v:stroke endarrow="block"/>
            </v:line>
            <v:shape id="_x0000_s1135" type="#_x0000_t32" style="position:absolute;left:6652;top:8403;width:1170;height:1234" o:connectortype="straight">
              <v:stroke endarrow="block"/>
            </v:shape>
            <v:shape id="_x0000_s1136" type="#_x0000_t32" style="position:absolute;left:6652;top:7168;width:1170;height:1235;flip:y" o:connectortype="straight">
              <v:stroke endarrow="block"/>
            </v:shape>
            <v:shape id="_x0000_s1137" type="#_x0000_t34" style="position:absolute;left:5826;top:5599;width:1233;height:3601;rotation:270;flip:x y" o:connectortype="elbow" adj="-10551,17765,143990">
              <v:stroke endarrow="block"/>
            </v:shape>
            <v:shape id="_x0000_s1138" type="#_x0000_t34" style="position:absolute;left:5825;top:7605;width:1235;height:3601;rotation:90;flip:y" o:connectortype="elbow" adj="-10537,-36755,143795">
              <v:stroke endarrow="block"/>
            </v:shape>
            <v:shape id="_x0000_s1139" type="#_x0000_t32" style="position:absolute;left:8659;top:7556;width:1634;height:2081;flip:y" o:connectortype="straight">
              <v:stroke endarrow="block"/>
            </v:shape>
            <v:shape id="_x0000_s1140" type="#_x0000_t32" style="position:absolute;left:8241;top:7170;width:1633;height:2080;flip:x" o:connectortype="straight">
              <v:stroke endarrow="block"/>
            </v:shape>
            <v:shape id="_x0000_s1141" type="#_x0000_t32" style="position:absolute;left:8659;top:7168;width:1215;height:2;flip:x y" o:connectortype="straight">
              <v:stroke endarrow="block"/>
            </v:shape>
            <v:line id="_x0000_s1142" style="position:absolute" from="13375,10842" to="13376,12951">
              <v:stroke dashstyle="dash" endarrow="block"/>
            </v:line>
            <v:shape id="_x0000_s1143" type="#_x0000_t202" style="position:absolute;left:13826;top:5277;width:1190;height:602" filled="f" stroked="f">
              <v:textbox style="mso-next-textbox:#_x0000_s1143">
                <w:txbxContent>
                  <w:p w:rsidR="00896728" w:rsidRPr="00385746" w:rsidRDefault="00896728" w:rsidP="00415958">
                    <w:pPr>
                      <w:rPr>
                        <w:rFonts w:ascii="Times New Roman" w:hAnsi="Times New Roman"/>
                        <w:i/>
                        <w:sz w:val="22"/>
                      </w:rPr>
                    </w:pPr>
                    <w:r>
                      <w:rPr>
                        <w:rFonts w:ascii="Times New Roman" w:hAnsi="Times New Roman"/>
                        <w:i/>
                        <w:sz w:val="22"/>
                      </w:rPr>
                      <w:t>τ</w:t>
                    </w:r>
                    <w:r w:rsidRPr="00385746">
                      <w:rPr>
                        <w:rFonts w:ascii="Times New Roman" w:hAnsi="Times New Roman"/>
                        <w:i/>
                        <w:sz w:val="22"/>
                      </w:rPr>
                      <w:t>(t)</w:t>
                    </w:r>
                  </w:p>
                </w:txbxContent>
              </v:textbox>
            </v:shape>
            <v:line id="_x0000_s1144" style="position:absolute" from="13708,18232" to="13710,19644">
              <v:stroke dashstyle="dash" endarrow="block"/>
            </v:line>
            <v:line id="_x0000_s1145" style="position:absolute" from="6441,18231" to="6442,19761">
              <v:stroke dashstyle="dash" endarrow="block"/>
            </v:lin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_x0000_s1146" type="#_x0000_t39" style="position:absolute;left:13148;top:3365;width:3549;height:6536;rotation:270;flip:x y" o:connectortype="curved" adj="-3668,23545,105025">
              <v:stroke endarrow="block"/>
            </v:shape>
            <v:shape id="_x0000_s1147" type="#_x0000_t39" style="position:absolute;left:13499;top:11100;width:2768;height:6470;rotation:270;flip:x y" o:connectortype="curved" adj="-4701,23565,134027">
              <v:stroke endarrow="block"/>
            </v:shape>
            <v:shape id="_x0000_s1148" type="#_x0000_t202" style="position:absolute;left:14432;top:4145;width:818;height:603" filled="f" stroked="f">
              <v:textbox style="mso-next-textbox:#_x0000_s1148">
                <w:txbxContent>
                  <w:p w:rsidR="00896728" w:rsidRPr="00EC132C" w:rsidRDefault="00896728" w:rsidP="00415958">
                    <w:r>
                      <w:rPr>
                        <w:rFonts w:ascii="Times New Roman" w:hAnsi="Times New Roman"/>
                      </w:rPr>
                      <w:t>ψ</w:t>
                    </w:r>
                  </w:p>
                </w:txbxContent>
              </v:textbox>
            </v:shape>
            <v:shape id="_x0000_s1149" type="#_x0000_t202" style="position:absolute;left:14356;top:12348;width:817;height:603" filled="f" stroked="f">
              <v:textbox style="mso-next-textbox:#_x0000_s1149">
                <w:txbxContent>
                  <w:p w:rsidR="00896728" w:rsidRPr="00EC132C" w:rsidRDefault="00896728" w:rsidP="00415958">
                    <w:r>
                      <w:rPr>
                        <w:rFonts w:ascii="Times New Roman" w:hAnsi="Times New Roman"/>
                      </w:rPr>
                      <w:t>ψ</w:t>
                    </w:r>
                  </w:p>
                </w:txbxContent>
              </v:textbox>
            </v:shape>
            <v:shape id="_x0000_s1150" type="#_x0000_t202" style="position:absolute;left:13538;top:10842;width:2616;height:1506" filled="f" stroked="f">
              <v:textbox style="mso-next-textbox:#_x0000_s1150" inset="1.3005mm,.65025mm,1.3005mm,.65025mm">
                <w:txbxContent>
                  <w:p w:rsidR="00896728" w:rsidRDefault="00896728" w:rsidP="00415958">
                    <w:pPr>
                      <w:rPr>
                        <w:b/>
                        <w:sz w:val="18"/>
                      </w:rPr>
                    </w:pPr>
                  </w:p>
                  <w:p w:rsidR="00896728" w:rsidRPr="00377D9F" w:rsidRDefault="00896728" w:rsidP="00415958">
                    <w:pPr>
                      <w:rPr>
                        <w:i/>
                        <w:sz w:val="40"/>
                        <w:vertAlign w:val="subscript"/>
                      </w:rPr>
                    </w:pPr>
                    <w:r w:rsidRPr="00377D9F">
                      <w:rPr>
                        <w:rFonts w:ascii="Times New Roman" w:hAnsi="Times New Roman"/>
                        <w:i/>
                        <w:sz w:val="30"/>
                      </w:rPr>
                      <w:t>α</w:t>
                    </w:r>
                    <w:r>
                      <w:rPr>
                        <w:rFonts w:ascii="Times New Roman" w:hAnsi="Times New Roman"/>
                        <w:i/>
                        <w:sz w:val="30"/>
                      </w:rPr>
                      <w:t>(t)</w:t>
                    </w:r>
                  </w:p>
                </w:txbxContent>
              </v:textbox>
            </v:shape>
            <v:shape id="_x0000_s1151" type="#_x0000_t202" style="position:absolute;left:13872;top:17930;width:2616;height:1507" filled="f" stroked="f">
              <v:textbox style="mso-next-textbox:#_x0000_s1151" inset="1.3005mm,.65025mm,1.3005mm,.65025mm">
                <w:txbxContent>
                  <w:p w:rsidR="00896728" w:rsidRDefault="00896728" w:rsidP="00415958">
                    <w:pPr>
                      <w:rPr>
                        <w:b/>
                        <w:sz w:val="18"/>
                      </w:rPr>
                    </w:pPr>
                  </w:p>
                  <w:p w:rsidR="00896728" w:rsidRPr="00377D9F" w:rsidRDefault="00896728" w:rsidP="00415958">
                    <w:pPr>
                      <w:rPr>
                        <w:i/>
                        <w:sz w:val="40"/>
                        <w:vertAlign w:val="subscript"/>
                      </w:rPr>
                    </w:pPr>
                    <w:r w:rsidRPr="00377D9F">
                      <w:rPr>
                        <w:rFonts w:ascii="Times New Roman" w:hAnsi="Times New Roman"/>
                        <w:i/>
                        <w:sz w:val="30"/>
                      </w:rPr>
                      <w:t>α</w:t>
                    </w:r>
                    <w:r>
                      <w:rPr>
                        <w:rFonts w:ascii="Times New Roman" w:hAnsi="Times New Roman"/>
                        <w:i/>
                        <w:sz w:val="30"/>
                      </w:rPr>
                      <w:t>(t)</w:t>
                    </w:r>
                  </w:p>
                </w:txbxContent>
              </v:textbox>
            </v:shape>
            <v:shape id="_x0000_s1152" type="#_x0000_t202" style="position:absolute;left:6768;top:17930;width:2616;height:1506" filled="f" stroked="f">
              <v:textbox style="mso-next-textbox:#_x0000_s1152" inset="1.3005mm,.65025mm,1.3005mm,.65025mm">
                <w:txbxContent>
                  <w:p w:rsidR="00896728" w:rsidRDefault="00896728" w:rsidP="00415958">
                    <w:pPr>
                      <w:rPr>
                        <w:b/>
                        <w:sz w:val="18"/>
                      </w:rPr>
                    </w:pPr>
                  </w:p>
                  <w:p w:rsidR="00896728" w:rsidRPr="00377D9F" w:rsidRDefault="00896728" w:rsidP="00415958">
                    <w:pPr>
                      <w:rPr>
                        <w:i/>
                        <w:sz w:val="40"/>
                        <w:vertAlign w:val="subscript"/>
                      </w:rPr>
                    </w:pPr>
                    <w:r w:rsidRPr="00377D9F">
                      <w:rPr>
                        <w:rFonts w:ascii="Times New Roman" w:hAnsi="Times New Roman"/>
                        <w:i/>
                        <w:sz w:val="30"/>
                      </w:rPr>
                      <w:t>α</w:t>
                    </w:r>
                    <w:r>
                      <w:rPr>
                        <w:rFonts w:ascii="Times New Roman" w:hAnsi="Times New Roman"/>
                        <w:i/>
                        <w:sz w:val="30"/>
                      </w:rPr>
                      <w:t>(t)</w:t>
                    </w:r>
                  </w:p>
                </w:txbxContent>
              </v:textbox>
            </v:shape>
            <v:shape id="_x0000_s1153" type="#_x0000_t202" style="position:absolute;left:13366;top:6447;width:1191;height:602" filled="f" stroked="f">
              <v:textbox style="mso-next-textbox:#_x0000_s1153">
                <w:txbxContent>
                  <w:p w:rsidR="00896728" w:rsidRPr="00385746" w:rsidRDefault="00896728" w:rsidP="00415958">
                    <w:pPr>
                      <w:rPr>
                        <w:rFonts w:ascii="Times New Roman" w:hAnsi="Times New Roman"/>
                        <w:i/>
                        <w:sz w:val="22"/>
                      </w:rPr>
                    </w:pPr>
                    <w:r>
                      <w:rPr>
                        <w:rFonts w:ascii="Times New Roman" w:hAnsi="Times New Roman"/>
                        <w:i/>
                        <w:sz w:val="22"/>
                      </w:rPr>
                      <w:t>τ</w:t>
                    </w:r>
                    <w:r w:rsidRPr="00385746">
                      <w:rPr>
                        <w:rFonts w:ascii="Times New Roman" w:hAnsi="Times New Roman"/>
                        <w:i/>
                        <w:sz w:val="22"/>
                      </w:rPr>
                      <w:t>(t)</w:t>
                    </w:r>
                  </w:p>
                </w:txbxContent>
              </v:textbox>
            </v:shape>
            <v:shape id="_x0000_s1154" type="#_x0000_t202" style="position:absolute;left:15348;top:5539;width:1190;height:603" filled="f" stroked="f">
              <v:textbox style="mso-next-textbox:#_x0000_s1154">
                <w:txbxContent>
                  <w:p w:rsidR="00896728" w:rsidRPr="00385746" w:rsidRDefault="00896728" w:rsidP="00415958">
                    <w:pPr>
                      <w:rPr>
                        <w:rFonts w:ascii="Times New Roman" w:hAnsi="Times New Roman"/>
                        <w:i/>
                        <w:sz w:val="22"/>
                      </w:rPr>
                    </w:pPr>
                    <w:r>
                      <w:rPr>
                        <w:rFonts w:ascii="Times New Roman" w:hAnsi="Times New Roman"/>
                        <w:i/>
                        <w:sz w:val="22"/>
                      </w:rPr>
                      <w:t>τ</w:t>
                    </w:r>
                    <w:r w:rsidRPr="00385746">
                      <w:rPr>
                        <w:rFonts w:ascii="Times New Roman" w:hAnsi="Times New Roman"/>
                        <w:i/>
                        <w:sz w:val="22"/>
                      </w:rPr>
                      <w:t>(t)</w:t>
                    </w:r>
                  </w:p>
                </w:txbxContent>
              </v:textbox>
            </v:shape>
            <v:shape id="_x0000_s1155" type="#_x0000_t202" style="position:absolute;left:16488;top:6180;width:1190;height:603" filled="f" stroked="f">
              <v:textbox style="mso-next-textbox:#_x0000_s1155">
                <w:txbxContent>
                  <w:p w:rsidR="00896728" w:rsidRPr="00385746" w:rsidRDefault="00896728" w:rsidP="00415958">
                    <w:pPr>
                      <w:rPr>
                        <w:rFonts w:ascii="Times New Roman" w:hAnsi="Times New Roman"/>
                        <w:i/>
                        <w:sz w:val="22"/>
                      </w:rPr>
                    </w:pPr>
                    <w:r>
                      <w:rPr>
                        <w:rFonts w:ascii="Times New Roman" w:hAnsi="Times New Roman"/>
                        <w:i/>
                        <w:sz w:val="22"/>
                      </w:rPr>
                      <w:t>τ</w:t>
                    </w:r>
                    <w:r w:rsidRPr="00385746">
                      <w:rPr>
                        <w:rFonts w:ascii="Times New Roman" w:hAnsi="Times New Roman"/>
                        <w:i/>
                        <w:sz w:val="22"/>
                      </w:rPr>
                      <w:t>(t)</w:t>
                    </w:r>
                  </w:p>
                </w:txbxContent>
              </v:textbox>
            </v:shape>
            <v:shape id="_x0000_s1156" type="#_x0000_t202" style="position:absolute;left:14943;top:7986;width:1190;height:603" filled="f" stroked="f">
              <v:textbox style="mso-next-textbox:#_x0000_s1156">
                <w:txbxContent>
                  <w:p w:rsidR="00896728" w:rsidRPr="00385746" w:rsidRDefault="00896728" w:rsidP="00415958">
                    <w:pPr>
                      <w:rPr>
                        <w:rFonts w:ascii="Times New Roman" w:hAnsi="Times New Roman"/>
                        <w:i/>
                        <w:sz w:val="22"/>
                      </w:rPr>
                    </w:pPr>
                    <w:r>
                      <w:rPr>
                        <w:rFonts w:ascii="Times New Roman" w:hAnsi="Times New Roman"/>
                        <w:i/>
                        <w:sz w:val="22"/>
                      </w:rPr>
                      <w:t>τ</w:t>
                    </w:r>
                    <w:r w:rsidRPr="00385746">
                      <w:rPr>
                        <w:rFonts w:ascii="Times New Roman" w:hAnsi="Times New Roman"/>
                        <w:i/>
                        <w:sz w:val="22"/>
                      </w:rPr>
                      <w:t>(t)</w:t>
                    </w:r>
                  </w:p>
                </w:txbxContent>
              </v:textbox>
            </v:shape>
            <w10:anchorlock/>
          </v:group>
        </w:pict>
      </w:r>
    </w:p>
    <w:p w:rsidR="00415958" w:rsidRPr="00EF6C4E" w:rsidRDefault="00415958" w:rsidP="00415958">
      <w:pPr>
        <w:rPr>
          <w:rFonts w:ascii="Calibri" w:hAnsi="Calibri"/>
          <w:sz w:val="24"/>
          <w:szCs w:val="22"/>
        </w:rPr>
      </w:pPr>
    </w:p>
    <w:p w:rsidR="00415958" w:rsidRPr="00EF6C4E" w:rsidRDefault="00415958" w:rsidP="00415958">
      <w:pPr>
        <w:rPr>
          <w:rFonts w:ascii="Calibri" w:hAnsi="Calibri"/>
          <w:sz w:val="24"/>
          <w:szCs w:val="22"/>
        </w:rPr>
      </w:pPr>
      <w:r w:rsidRPr="00EF6C4E">
        <w:rPr>
          <w:rFonts w:ascii="Calibri" w:hAnsi="Calibri"/>
          <w:sz w:val="24"/>
          <w:szCs w:val="22"/>
        </w:rPr>
        <w:t>Ageing applies equally to all compartments in the model. For clarity of presentation, parameters except for those involving IPT (</w:t>
      </w:r>
      <w:r w:rsidRPr="00EF6C4E">
        <w:rPr>
          <w:rFonts w:ascii="Calibri" w:hAnsi="Calibri" w:cs="Arial"/>
          <w:i/>
          <w:sz w:val="24"/>
          <w:szCs w:val="22"/>
        </w:rPr>
        <w:t>τ(t)</w:t>
      </w:r>
      <w:r w:rsidRPr="00EF6C4E">
        <w:rPr>
          <w:rFonts w:ascii="Calibri" w:hAnsi="Calibri" w:cs="Arial"/>
          <w:sz w:val="24"/>
          <w:szCs w:val="22"/>
        </w:rPr>
        <w:t xml:space="preserve"> and </w:t>
      </w:r>
      <w:r w:rsidRPr="00EF6C4E">
        <w:rPr>
          <w:rFonts w:ascii="Calibri" w:hAnsi="Calibri" w:cs="Arial"/>
          <w:i/>
          <w:sz w:val="24"/>
          <w:szCs w:val="22"/>
        </w:rPr>
        <w:t>ψ</w:t>
      </w:r>
      <w:r w:rsidRPr="00EF6C4E">
        <w:rPr>
          <w:rFonts w:ascii="Calibri" w:hAnsi="Calibri" w:cs="Arial"/>
          <w:sz w:val="24"/>
          <w:szCs w:val="22"/>
        </w:rPr>
        <w:t>)</w:t>
      </w:r>
      <w:r w:rsidRPr="00EF6C4E">
        <w:rPr>
          <w:rFonts w:ascii="Calibri" w:hAnsi="Calibri"/>
          <w:sz w:val="24"/>
          <w:szCs w:val="22"/>
        </w:rPr>
        <w:t xml:space="preserve"> and ageing (</w:t>
      </w:r>
      <w:r w:rsidRPr="00EF6C4E">
        <w:rPr>
          <w:rFonts w:ascii="Calibri" w:hAnsi="Calibri" w:cs="Arial"/>
          <w:i/>
          <w:sz w:val="24"/>
          <w:szCs w:val="22"/>
        </w:rPr>
        <w:t>α(t)</w:t>
      </w:r>
      <w:r w:rsidRPr="00EF6C4E">
        <w:rPr>
          <w:rFonts w:ascii="Calibri" w:hAnsi="Calibri" w:cs="Arial"/>
          <w:sz w:val="24"/>
          <w:szCs w:val="22"/>
        </w:rPr>
        <w:t>)</w:t>
      </w:r>
      <w:r w:rsidRPr="00EF6C4E">
        <w:rPr>
          <w:rFonts w:ascii="Calibri" w:hAnsi="Calibri"/>
          <w:sz w:val="24"/>
          <w:szCs w:val="22"/>
        </w:rPr>
        <w:t xml:space="preserve"> are omitted and multi-compartment components for asymptomatic infection, treatment and IPT are shown as a single compartment. Full details are given in the equations that follow. The one year old SP group has an IPT component because children in the IPT compartment who reach one year of age may still be protected from a dose received during infancy. There is no flow into the IPT compartment in the one year age group because it is assumed that the latest a dose of IPT can be given is just before 12 months of age.</w:t>
      </w:r>
    </w:p>
    <w:p w:rsidR="00415958" w:rsidRPr="00EF6C4E" w:rsidRDefault="00415958" w:rsidP="00415958">
      <w:pPr>
        <w:rPr>
          <w:rFonts w:ascii="Calibri" w:hAnsi="Calibri"/>
          <w:b/>
          <w:sz w:val="24"/>
          <w:szCs w:val="22"/>
          <w:u w:val="single"/>
          <w:lang w:val="en-US"/>
        </w:rPr>
        <w:sectPr w:rsidR="00415958" w:rsidRPr="00EF6C4E" w:rsidSect="0068531B">
          <w:pgSz w:w="12242" w:h="15842" w:code="1"/>
          <w:pgMar w:top="1418" w:right="1758" w:bottom="1418" w:left="1758" w:header="709" w:footer="709" w:gutter="0"/>
          <w:cols w:space="708"/>
          <w:docGrid w:linePitch="360"/>
        </w:sectPr>
      </w:pPr>
    </w:p>
    <w:p w:rsidR="00415958" w:rsidRPr="00EF6C4E" w:rsidRDefault="00415958" w:rsidP="00415958">
      <w:pPr>
        <w:spacing w:line="360" w:lineRule="auto"/>
        <w:rPr>
          <w:rFonts w:ascii="Calibri" w:hAnsi="Calibri"/>
          <w:b/>
          <w:sz w:val="24"/>
          <w:szCs w:val="22"/>
          <w:lang w:val="en-US"/>
        </w:rPr>
      </w:pPr>
      <w:r w:rsidRPr="00EF6C4E">
        <w:rPr>
          <w:rFonts w:ascii="Calibri" w:hAnsi="Calibri"/>
          <w:b/>
          <w:sz w:val="24"/>
          <w:szCs w:val="22"/>
          <w:lang w:val="en-US"/>
        </w:rPr>
        <w:lastRenderedPageBreak/>
        <w:t>Extensions to the basic model</w:t>
      </w:r>
    </w:p>
    <w:p w:rsidR="00415958" w:rsidRPr="00EF6C4E" w:rsidRDefault="00415958" w:rsidP="00415958">
      <w:pPr>
        <w:spacing w:line="360" w:lineRule="auto"/>
        <w:rPr>
          <w:rFonts w:ascii="Calibri" w:hAnsi="Calibri"/>
          <w:sz w:val="24"/>
          <w:szCs w:val="22"/>
        </w:rPr>
      </w:pPr>
      <w:r w:rsidRPr="00EF6C4E">
        <w:rPr>
          <w:rFonts w:ascii="Calibri" w:hAnsi="Calibri"/>
          <w:sz w:val="24"/>
          <w:szCs w:val="22"/>
          <w:lang w:val="en-US"/>
        </w:rPr>
        <w:t>T</w:t>
      </w:r>
      <w:r w:rsidRPr="00EF6C4E">
        <w:rPr>
          <w:rFonts w:ascii="Calibri" w:hAnsi="Calibri"/>
          <w:sz w:val="24"/>
          <w:szCs w:val="22"/>
        </w:rPr>
        <w:t xml:space="preserve">wo extensions are made to the full model to incorporate the effect of maternal immunity and heterogeneity in malaria exposure. Additional parameters of the extensions are described in </w:t>
      </w:r>
      <w:r w:rsidR="00845607" w:rsidRPr="00EF6C4E">
        <w:rPr>
          <w:rFonts w:ascii="Calibri" w:hAnsi="Calibri"/>
          <w:sz w:val="24"/>
          <w:szCs w:val="22"/>
        </w:rPr>
        <w:t>table S2</w:t>
      </w:r>
      <w:r w:rsidRPr="00EF6C4E">
        <w:rPr>
          <w:rFonts w:ascii="Calibri" w:hAnsi="Calibri"/>
          <w:sz w:val="24"/>
          <w:szCs w:val="22"/>
        </w:rPr>
        <w:t>.</w:t>
      </w:r>
    </w:p>
    <w:p w:rsidR="00415958" w:rsidRPr="00EF6C4E" w:rsidRDefault="00415958" w:rsidP="00415958">
      <w:pPr>
        <w:spacing w:line="360" w:lineRule="auto"/>
        <w:rPr>
          <w:rFonts w:ascii="Calibri" w:hAnsi="Calibri"/>
          <w:sz w:val="24"/>
          <w:szCs w:val="22"/>
        </w:rPr>
      </w:pPr>
    </w:p>
    <w:p w:rsidR="00415958" w:rsidRPr="00EF6C4E" w:rsidRDefault="00B96760" w:rsidP="00415958">
      <w:pPr>
        <w:spacing w:line="360" w:lineRule="auto"/>
        <w:rPr>
          <w:rFonts w:ascii="Calibri" w:hAnsi="Calibri"/>
          <w:b/>
          <w:sz w:val="24"/>
        </w:rPr>
      </w:pPr>
      <w:r w:rsidRPr="00EF6C4E">
        <w:rPr>
          <w:rFonts w:ascii="Calibri" w:hAnsi="Calibri"/>
          <w:b/>
          <w:sz w:val="24"/>
        </w:rPr>
        <w:t xml:space="preserve">Table </w:t>
      </w:r>
      <w:r w:rsidR="0068531B" w:rsidRPr="00EF6C4E">
        <w:rPr>
          <w:rFonts w:ascii="Calibri" w:hAnsi="Calibri"/>
          <w:b/>
          <w:sz w:val="24"/>
        </w:rPr>
        <w:t>S2</w:t>
      </w:r>
      <w:r w:rsidR="00415958" w:rsidRPr="00EF6C4E">
        <w:rPr>
          <w:rFonts w:ascii="Calibri" w:hAnsi="Calibri"/>
          <w:b/>
          <w:sz w:val="24"/>
        </w:rPr>
        <w:t>. Additional parameters used in extensions to the basic model</w:t>
      </w:r>
    </w:p>
    <w:tbl>
      <w:tblPr>
        <w:tblW w:w="8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08"/>
        <w:gridCol w:w="6400"/>
      </w:tblGrid>
      <w:tr w:rsidR="00415958" w:rsidRPr="00EF6C4E" w:rsidTr="00415958">
        <w:tc>
          <w:tcPr>
            <w:tcW w:w="2108" w:type="dxa"/>
            <w:tcBorders>
              <w:bottom w:val="single" w:sz="4" w:space="0" w:color="auto"/>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Parameter</w:t>
            </w:r>
          </w:p>
        </w:tc>
        <w:tc>
          <w:tcPr>
            <w:tcW w:w="6400" w:type="dxa"/>
            <w:tcBorders>
              <w:bottom w:val="single" w:sz="4" w:space="0" w:color="auto"/>
            </w:tcBorders>
            <w:vAlign w:val="bottom"/>
          </w:tcPr>
          <w:p w:rsidR="00415958" w:rsidRPr="00EF6C4E" w:rsidRDefault="00415958" w:rsidP="00415958">
            <w:pPr>
              <w:rPr>
                <w:rFonts w:ascii="Calibri" w:hAnsi="Calibri"/>
                <w:szCs w:val="18"/>
              </w:rPr>
            </w:pPr>
            <w:r w:rsidRPr="00EF6C4E">
              <w:rPr>
                <w:rFonts w:ascii="Calibri" w:hAnsi="Calibri"/>
                <w:szCs w:val="18"/>
              </w:rPr>
              <w:t>Description</w:t>
            </w:r>
          </w:p>
        </w:tc>
      </w:tr>
      <w:tr w:rsidR="00415958" w:rsidRPr="00EF6C4E" w:rsidTr="00415958">
        <w:tc>
          <w:tcPr>
            <w:tcW w:w="2108" w:type="dxa"/>
            <w:tcBorders>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p>
        </w:tc>
        <w:tc>
          <w:tcPr>
            <w:tcW w:w="6400" w:type="dxa"/>
            <w:tcBorders>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Maternal immunity (model 2 and model 3)</w:t>
            </w:r>
          </w:p>
        </w:tc>
      </w:tr>
      <w:tr w:rsidR="00415958" w:rsidRPr="00EF6C4E" w:rsidTr="00415958">
        <w:tc>
          <w:tcPr>
            <w:tcW w:w="2108"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vertAlign w:val="subscript"/>
              </w:rPr>
            </w:pPr>
            <w:r w:rsidRPr="00EF6C4E">
              <w:rPr>
                <w:rFonts w:ascii="Calibri" w:hAnsi="Calibri"/>
                <w:szCs w:val="18"/>
              </w:rPr>
              <w:t>d</w:t>
            </w:r>
            <w:r w:rsidRPr="00EF6C4E">
              <w:rPr>
                <w:rFonts w:ascii="Calibri" w:hAnsi="Calibri"/>
                <w:szCs w:val="18"/>
                <w:vertAlign w:val="subscript"/>
              </w:rPr>
              <w:t>m</w:t>
            </w:r>
          </w:p>
        </w:tc>
        <w:tc>
          <w:tcPr>
            <w:tcW w:w="6400"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Duration of maternal protection after enrolment at 2 months of age</w:t>
            </w:r>
          </w:p>
        </w:tc>
      </w:tr>
      <w:tr w:rsidR="00415958" w:rsidRPr="00EF6C4E" w:rsidTr="00415958">
        <w:tc>
          <w:tcPr>
            <w:tcW w:w="2108" w:type="dxa"/>
            <w:tcBorders>
              <w:top w:val="single" w:sz="4" w:space="0" w:color="C0C0C0"/>
              <w:bottom w:val="single" w:sz="4" w:space="0" w:color="C0C0C0"/>
            </w:tcBorders>
            <w:vAlign w:val="bottom"/>
          </w:tcPr>
          <w:p w:rsidR="00415958" w:rsidRPr="00EF6C4E" w:rsidRDefault="00415958" w:rsidP="00415958">
            <w:pPr>
              <w:rPr>
                <w:rFonts w:ascii="Calibri" w:hAnsi="Calibri" w:cs="Arial"/>
                <w:szCs w:val="18"/>
              </w:rPr>
            </w:pPr>
          </w:p>
          <w:p w:rsidR="00415958" w:rsidRPr="00EF6C4E" w:rsidRDefault="00415958" w:rsidP="00415958">
            <w:pPr>
              <w:rPr>
                <w:rFonts w:ascii="Calibri" w:hAnsi="Calibri"/>
                <w:szCs w:val="18"/>
              </w:rPr>
            </w:pPr>
            <w:r w:rsidRPr="00EF6C4E">
              <w:rPr>
                <w:rFonts w:ascii="Calibri" w:hAnsi="Calibri" w:cs="Arial"/>
                <w:szCs w:val="18"/>
              </w:rPr>
              <w:t>γ</w:t>
            </w:r>
          </w:p>
        </w:tc>
        <w:tc>
          <w:tcPr>
            <w:tcW w:w="6400"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Rate of loss of maternal immunity in each compartment (4/d</w:t>
            </w:r>
            <w:r w:rsidRPr="00EF6C4E">
              <w:rPr>
                <w:rFonts w:ascii="Calibri" w:hAnsi="Calibri"/>
                <w:szCs w:val="18"/>
                <w:vertAlign w:val="subscript"/>
              </w:rPr>
              <w:t>m</w:t>
            </w:r>
            <w:r w:rsidRPr="00EF6C4E">
              <w:rPr>
                <w:rFonts w:ascii="Calibri" w:hAnsi="Calibri"/>
                <w:szCs w:val="18"/>
              </w:rPr>
              <w:t>)</w:t>
            </w:r>
          </w:p>
        </w:tc>
      </w:tr>
      <w:tr w:rsidR="00415958" w:rsidRPr="00EF6C4E" w:rsidTr="00415958">
        <w:tc>
          <w:tcPr>
            <w:tcW w:w="2108" w:type="dxa"/>
            <w:tcBorders>
              <w:top w:val="single" w:sz="4" w:space="0" w:color="C0C0C0"/>
              <w:bottom w:val="single" w:sz="4" w:space="0" w:color="C0C0C0"/>
            </w:tcBorders>
            <w:vAlign w:val="bottom"/>
          </w:tcPr>
          <w:p w:rsidR="00415958" w:rsidRPr="00EF6C4E" w:rsidRDefault="00415958" w:rsidP="00415958">
            <w:pPr>
              <w:rPr>
                <w:rFonts w:ascii="Calibri" w:hAnsi="Calibri"/>
                <w:szCs w:val="18"/>
                <w:vertAlign w:val="subscript"/>
              </w:rPr>
            </w:pPr>
            <w:r w:rsidRPr="00EF6C4E">
              <w:rPr>
                <w:rFonts w:ascii="Calibri" w:hAnsi="Calibri"/>
                <w:szCs w:val="18"/>
              </w:rPr>
              <w:t>p</w:t>
            </w:r>
            <w:r w:rsidRPr="00EF6C4E">
              <w:rPr>
                <w:rFonts w:ascii="Calibri" w:hAnsi="Calibri"/>
                <w:szCs w:val="18"/>
                <w:vertAlign w:val="subscript"/>
              </w:rPr>
              <w:t>maternal</w:t>
            </w:r>
          </w:p>
          <w:p w:rsidR="00415958" w:rsidRPr="00EF6C4E" w:rsidRDefault="00415958" w:rsidP="00415958">
            <w:pPr>
              <w:rPr>
                <w:rFonts w:ascii="Calibri" w:hAnsi="Calibri"/>
                <w:szCs w:val="18"/>
                <w:vertAlign w:val="subscript"/>
              </w:rPr>
            </w:pPr>
          </w:p>
        </w:tc>
        <w:tc>
          <w:tcPr>
            <w:tcW w:w="6400" w:type="dxa"/>
            <w:tcBorders>
              <w:top w:val="single" w:sz="4" w:space="0" w:color="C0C0C0"/>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 xml:space="preserve">Probability that an infective bite that results in successful infection </w:t>
            </w:r>
            <w:r w:rsidRPr="00EF6C4E">
              <w:rPr>
                <w:rFonts w:ascii="Calibri" w:hAnsi="Calibri"/>
                <w:i/>
                <w:szCs w:val="18"/>
              </w:rPr>
              <w:t>(λ*b)</w:t>
            </w:r>
            <w:r w:rsidRPr="00EF6C4E">
              <w:rPr>
                <w:rFonts w:ascii="Calibri" w:hAnsi="Calibri"/>
                <w:szCs w:val="18"/>
              </w:rPr>
              <w:t xml:space="preserve"> succeeds in a child protected by maternal immunity</w:t>
            </w:r>
          </w:p>
        </w:tc>
      </w:tr>
      <w:tr w:rsidR="00415958" w:rsidRPr="00EF6C4E" w:rsidTr="00415958">
        <w:tc>
          <w:tcPr>
            <w:tcW w:w="2108" w:type="dxa"/>
            <w:tcBorders>
              <w:top w:val="single" w:sz="4" w:space="0" w:color="C0C0C0"/>
              <w:bottom w:val="single" w:sz="4" w:space="0" w:color="auto"/>
            </w:tcBorders>
            <w:vAlign w:val="bottom"/>
          </w:tcPr>
          <w:p w:rsidR="00415958" w:rsidRPr="00EF6C4E" w:rsidRDefault="00415958" w:rsidP="00415958">
            <w:pPr>
              <w:rPr>
                <w:rFonts w:ascii="Calibri" w:hAnsi="Calibri"/>
                <w:i/>
                <w:szCs w:val="18"/>
              </w:rPr>
            </w:pPr>
          </w:p>
          <w:p w:rsidR="00415958" w:rsidRPr="00EF6C4E" w:rsidRDefault="00415958" w:rsidP="00415958">
            <w:pPr>
              <w:rPr>
                <w:rFonts w:ascii="Calibri" w:hAnsi="Calibri"/>
                <w:i/>
                <w:szCs w:val="18"/>
                <w:vertAlign w:val="subscript"/>
              </w:rPr>
            </w:pPr>
            <w:r w:rsidRPr="00EF6C4E">
              <w:rPr>
                <w:rFonts w:ascii="Calibri" w:hAnsi="Calibri"/>
                <w:i/>
                <w:szCs w:val="18"/>
              </w:rPr>
              <w:t>λ</w:t>
            </w:r>
            <w:r w:rsidRPr="00EF6C4E">
              <w:rPr>
                <w:rFonts w:ascii="Calibri" w:hAnsi="Calibri"/>
                <w:i/>
                <w:szCs w:val="18"/>
                <w:vertAlign w:val="subscript"/>
              </w:rPr>
              <w:t>m</w:t>
            </w:r>
          </w:p>
        </w:tc>
        <w:tc>
          <w:tcPr>
            <w:tcW w:w="6400" w:type="dxa"/>
            <w:tcBorders>
              <w:top w:val="single" w:sz="4" w:space="0" w:color="C0C0C0"/>
              <w:bottom w:val="single" w:sz="4" w:space="0" w:color="auto"/>
            </w:tcBorders>
            <w:vAlign w:val="bottom"/>
          </w:tcPr>
          <w:p w:rsidR="00415958" w:rsidRPr="00EF6C4E" w:rsidRDefault="00415958" w:rsidP="00415958">
            <w:pPr>
              <w:rPr>
                <w:rFonts w:ascii="Calibri" w:hAnsi="Calibri"/>
                <w:szCs w:val="18"/>
              </w:rPr>
            </w:pPr>
            <w:r w:rsidRPr="00EF6C4E">
              <w:rPr>
                <w:rFonts w:ascii="Calibri" w:hAnsi="Calibri"/>
                <w:szCs w:val="18"/>
              </w:rPr>
              <w:t>Force of infection acting on maternally protected children</w:t>
            </w:r>
          </w:p>
        </w:tc>
      </w:tr>
      <w:tr w:rsidR="00415958" w:rsidRPr="00EF6C4E" w:rsidTr="00415958">
        <w:tc>
          <w:tcPr>
            <w:tcW w:w="2108" w:type="dxa"/>
            <w:tcBorders>
              <w:top w:val="single" w:sz="4" w:space="0" w:color="auto"/>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i/>
                <w:szCs w:val="18"/>
              </w:rPr>
            </w:pPr>
          </w:p>
        </w:tc>
        <w:tc>
          <w:tcPr>
            <w:tcW w:w="6400" w:type="dxa"/>
            <w:tcBorders>
              <w:top w:val="single" w:sz="4" w:space="0" w:color="auto"/>
              <w:bottom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Heterogeneity (model 3)</w:t>
            </w:r>
          </w:p>
        </w:tc>
      </w:tr>
      <w:tr w:rsidR="00415958" w:rsidRPr="00EF6C4E" w:rsidTr="00415958">
        <w:tc>
          <w:tcPr>
            <w:tcW w:w="2108" w:type="dxa"/>
            <w:tcBorders>
              <w:top w:val="single" w:sz="4" w:space="0" w:color="C0C0C0"/>
            </w:tcBorders>
            <w:vAlign w:val="bottom"/>
          </w:tcPr>
          <w:p w:rsidR="00415958" w:rsidRPr="00EF6C4E" w:rsidRDefault="00415958" w:rsidP="00415958">
            <w:pPr>
              <w:rPr>
                <w:rFonts w:ascii="Calibri" w:hAnsi="Calibri"/>
                <w:i/>
                <w:szCs w:val="18"/>
              </w:rPr>
            </w:pPr>
            <w:r w:rsidRPr="00EF6C4E">
              <w:rPr>
                <w:rFonts w:ascii="Calibri" w:hAnsi="Calibri"/>
                <w:i/>
                <w:szCs w:val="18"/>
              </w:rPr>
              <w:t>λ(x)</w:t>
            </w:r>
          </w:p>
          <w:p w:rsidR="00415958" w:rsidRPr="00EF6C4E" w:rsidRDefault="00415958" w:rsidP="00415958">
            <w:pPr>
              <w:rPr>
                <w:rFonts w:ascii="Calibri" w:hAnsi="Calibri"/>
                <w:i/>
                <w:szCs w:val="18"/>
              </w:rPr>
            </w:pPr>
          </w:p>
        </w:tc>
        <w:tc>
          <w:tcPr>
            <w:tcW w:w="6400" w:type="dxa"/>
            <w:tcBorders>
              <w:top w:val="single" w:sz="4" w:space="0" w:color="C0C0C0"/>
            </w:tcBorders>
            <w:vAlign w:val="bottom"/>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Force of infection according to exposure group. For less exposed children x=0; for highly exposed children x=1</w:t>
            </w:r>
          </w:p>
        </w:tc>
      </w:tr>
    </w:tbl>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Maternal immunity (model 2)</w:t>
      </w:r>
    </w:p>
    <w:p w:rsidR="00415958" w:rsidRPr="00EF6C4E" w:rsidRDefault="008A3851" w:rsidP="00415958">
      <w:pPr>
        <w:spacing w:line="360" w:lineRule="auto"/>
        <w:rPr>
          <w:rFonts w:ascii="Calibri" w:hAnsi="Calibri"/>
          <w:i/>
          <w:sz w:val="24"/>
          <w:szCs w:val="18"/>
          <w:vertAlign w:val="subscript"/>
        </w:rPr>
      </w:pPr>
      <w:r w:rsidRPr="00EF6C4E">
        <w:rPr>
          <w:rFonts w:ascii="Calibri" w:hAnsi="Calibri"/>
          <w:sz w:val="24"/>
          <w:szCs w:val="22"/>
        </w:rPr>
        <w:t xml:space="preserve">Maternal immunity </w:t>
      </w:r>
      <w:r w:rsidR="007C4091" w:rsidRPr="00EF6C4E">
        <w:rPr>
          <w:rFonts w:ascii="Calibri" w:hAnsi="Calibri"/>
          <w:sz w:val="24"/>
          <w:szCs w:val="22"/>
        </w:rPr>
        <w:t xml:space="preserve">was </w:t>
      </w:r>
      <w:r w:rsidR="00415958" w:rsidRPr="00EF6C4E">
        <w:rPr>
          <w:rFonts w:ascii="Calibri" w:hAnsi="Calibri"/>
          <w:sz w:val="24"/>
          <w:szCs w:val="22"/>
        </w:rPr>
        <w:t>modelled by adding an additional set of protective compartments</w:t>
      </w:r>
      <w:r w:rsidR="007C4091" w:rsidRPr="00EF6C4E">
        <w:rPr>
          <w:rFonts w:ascii="Calibri" w:hAnsi="Calibri"/>
          <w:sz w:val="24"/>
          <w:szCs w:val="22"/>
        </w:rPr>
        <w:t>:</w:t>
      </w:r>
      <w:r w:rsidR="00415958" w:rsidRPr="00EF6C4E">
        <w:rPr>
          <w:rFonts w:ascii="Calibri" w:hAnsi="Calibri"/>
          <w:sz w:val="24"/>
          <w:szCs w:val="22"/>
        </w:rPr>
        <w:t xml:space="preserve"> children enter the model into a series of four compartments (M</w:t>
      </w:r>
      <w:r w:rsidR="00415958" w:rsidRPr="00EF6C4E">
        <w:rPr>
          <w:rFonts w:ascii="Calibri" w:hAnsi="Calibri"/>
          <w:sz w:val="24"/>
          <w:szCs w:val="22"/>
          <w:vertAlign w:val="subscript"/>
        </w:rPr>
        <w:t>1</w:t>
      </w:r>
      <w:r w:rsidR="00415958" w:rsidRPr="00EF6C4E">
        <w:rPr>
          <w:rFonts w:ascii="Calibri" w:hAnsi="Calibri"/>
          <w:sz w:val="24"/>
          <w:szCs w:val="22"/>
        </w:rPr>
        <w:t xml:space="preserve"> - M</w:t>
      </w:r>
      <w:r w:rsidR="00415958" w:rsidRPr="00EF6C4E">
        <w:rPr>
          <w:rFonts w:ascii="Calibri" w:hAnsi="Calibri"/>
          <w:sz w:val="24"/>
          <w:szCs w:val="22"/>
          <w:vertAlign w:val="subscript"/>
        </w:rPr>
        <w:t>4</w:t>
      </w:r>
      <w:r w:rsidR="00415958" w:rsidRPr="00EF6C4E">
        <w:rPr>
          <w:rFonts w:ascii="Calibri" w:hAnsi="Calibri"/>
          <w:sz w:val="24"/>
          <w:szCs w:val="22"/>
        </w:rPr>
        <w:t xml:space="preserve">) representing a protected state. Waning of immunity is denoted by </w:t>
      </w:r>
      <w:r w:rsidR="00415958" w:rsidRPr="00EF6C4E">
        <w:rPr>
          <w:rFonts w:ascii="Calibri" w:hAnsi="Calibri" w:cs="Arial"/>
          <w:i/>
          <w:sz w:val="24"/>
          <w:szCs w:val="22"/>
        </w:rPr>
        <w:t>γ=4/d</w:t>
      </w:r>
      <w:r w:rsidR="00415958" w:rsidRPr="00EF6C4E">
        <w:rPr>
          <w:rFonts w:ascii="Calibri" w:hAnsi="Calibri" w:cs="Arial"/>
          <w:i/>
          <w:sz w:val="24"/>
          <w:szCs w:val="22"/>
          <w:vertAlign w:val="subscript"/>
        </w:rPr>
        <w:t>m</w:t>
      </w:r>
      <w:r w:rsidR="00415958" w:rsidRPr="00EF6C4E">
        <w:rPr>
          <w:rFonts w:ascii="Calibri" w:hAnsi="Calibri" w:cs="Arial"/>
          <w:sz w:val="24"/>
          <w:szCs w:val="22"/>
          <w:vertAlign w:val="subscript"/>
        </w:rPr>
        <w:t xml:space="preserve">, </w:t>
      </w:r>
      <w:r w:rsidR="00415958" w:rsidRPr="00EF6C4E">
        <w:rPr>
          <w:rFonts w:ascii="Calibri" w:hAnsi="Calibri" w:cs="Arial"/>
          <w:sz w:val="24"/>
          <w:szCs w:val="22"/>
        </w:rPr>
        <w:t xml:space="preserve">where </w:t>
      </w:r>
      <w:r w:rsidR="00415958" w:rsidRPr="00EF6C4E">
        <w:rPr>
          <w:rFonts w:ascii="Calibri" w:hAnsi="Calibri" w:cs="Arial"/>
          <w:i/>
          <w:sz w:val="24"/>
          <w:szCs w:val="22"/>
        </w:rPr>
        <w:t>d</w:t>
      </w:r>
      <w:r w:rsidR="00415958" w:rsidRPr="00EF6C4E">
        <w:rPr>
          <w:rFonts w:ascii="Calibri" w:hAnsi="Calibri" w:cs="Arial"/>
          <w:i/>
          <w:sz w:val="24"/>
          <w:szCs w:val="22"/>
          <w:vertAlign w:val="subscript"/>
        </w:rPr>
        <w:t>m</w:t>
      </w:r>
      <w:r w:rsidR="00415958" w:rsidRPr="00EF6C4E">
        <w:rPr>
          <w:rFonts w:ascii="Calibri" w:hAnsi="Calibri" w:cs="Arial"/>
          <w:sz w:val="24"/>
          <w:szCs w:val="22"/>
          <w:vertAlign w:val="subscript"/>
        </w:rPr>
        <w:t xml:space="preserve"> </w:t>
      </w:r>
      <w:r w:rsidR="00415958" w:rsidRPr="00EF6C4E">
        <w:rPr>
          <w:rFonts w:ascii="Calibri" w:hAnsi="Calibri" w:cs="Arial"/>
          <w:sz w:val="24"/>
          <w:szCs w:val="22"/>
        </w:rPr>
        <w:t>is the mean total duration of maternal protection. T</w:t>
      </w:r>
      <w:r w:rsidR="00415958" w:rsidRPr="00EF6C4E">
        <w:rPr>
          <w:rFonts w:ascii="Calibri" w:hAnsi="Calibri"/>
          <w:sz w:val="24"/>
          <w:szCs w:val="22"/>
        </w:rPr>
        <w:t>ransfer between each compartment is thus exponential and individuals move from last the maternally protected component into the uninfected compartment, U, following a gamma distribution. Children protected by maternal immunity are exposed to the same EIR and can still be infected, but the probability of a successful infection is much lower</w:t>
      </w:r>
      <w:r w:rsidR="007C4091" w:rsidRPr="00EF6C4E">
        <w:rPr>
          <w:rFonts w:ascii="Calibri" w:hAnsi="Calibri"/>
          <w:sz w:val="24"/>
          <w:szCs w:val="22"/>
        </w:rPr>
        <w:t xml:space="preserve">, </w:t>
      </w:r>
      <w:r w:rsidR="00415958" w:rsidRPr="00EF6C4E">
        <w:rPr>
          <w:rFonts w:ascii="Calibri" w:hAnsi="Calibri"/>
          <w:sz w:val="24"/>
          <w:szCs w:val="22"/>
        </w:rPr>
        <w:t xml:space="preserve">denoted by a modified force of infection </w:t>
      </w:r>
      <w:r w:rsidR="00415958" w:rsidRPr="00EF6C4E">
        <w:rPr>
          <w:rFonts w:ascii="Calibri" w:hAnsi="Calibri"/>
          <w:i/>
          <w:sz w:val="24"/>
          <w:szCs w:val="22"/>
        </w:rPr>
        <w:t>λ</w:t>
      </w:r>
      <w:r w:rsidR="00415958" w:rsidRPr="00EF6C4E">
        <w:rPr>
          <w:rFonts w:ascii="Calibri" w:hAnsi="Calibri"/>
          <w:sz w:val="24"/>
          <w:szCs w:val="22"/>
          <w:vertAlign w:val="subscript"/>
        </w:rPr>
        <w:t>m</w:t>
      </w:r>
      <w:r w:rsidR="00415958" w:rsidRPr="00EF6C4E">
        <w:rPr>
          <w:rFonts w:ascii="Calibri" w:hAnsi="Calibri"/>
          <w:sz w:val="24"/>
          <w:szCs w:val="22"/>
        </w:rPr>
        <w:t xml:space="preserve"> = </w:t>
      </w:r>
      <w:r w:rsidR="00415958" w:rsidRPr="00EF6C4E">
        <w:rPr>
          <w:rFonts w:ascii="Calibri" w:hAnsi="Calibri"/>
          <w:i/>
          <w:sz w:val="24"/>
          <w:szCs w:val="18"/>
        </w:rPr>
        <w:t>λ*</w:t>
      </w:r>
      <w:r w:rsidR="00415958" w:rsidRPr="00EF6C4E">
        <w:rPr>
          <w:rFonts w:ascii="Calibri" w:hAnsi="Calibri"/>
          <w:sz w:val="24"/>
          <w:szCs w:val="18"/>
        </w:rPr>
        <w:t>p</w:t>
      </w:r>
      <w:r w:rsidR="00415958" w:rsidRPr="00EF6C4E">
        <w:rPr>
          <w:rFonts w:ascii="Calibri" w:hAnsi="Calibri"/>
          <w:sz w:val="24"/>
          <w:szCs w:val="18"/>
          <w:vertAlign w:val="subscript"/>
        </w:rPr>
        <w:t>maternal</w:t>
      </w:r>
      <w:r w:rsidR="00415958" w:rsidRPr="00EF6C4E">
        <w:rPr>
          <w:rFonts w:ascii="Calibri" w:hAnsi="Calibri"/>
          <w:sz w:val="24"/>
          <w:szCs w:val="18"/>
        </w:rPr>
        <w:t xml:space="preserve"> where p</w:t>
      </w:r>
      <w:r w:rsidR="00415958" w:rsidRPr="00EF6C4E">
        <w:rPr>
          <w:rFonts w:ascii="Calibri" w:hAnsi="Calibri"/>
          <w:sz w:val="24"/>
          <w:szCs w:val="18"/>
          <w:vertAlign w:val="subscript"/>
        </w:rPr>
        <w:t>maternal</w:t>
      </w:r>
      <w:r w:rsidR="00415958" w:rsidRPr="00EF6C4E">
        <w:rPr>
          <w:rFonts w:ascii="Calibri" w:hAnsi="Calibri"/>
          <w:sz w:val="24"/>
          <w:szCs w:val="18"/>
        </w:rPr>
        <w:t xml:space="preserve"> represents the proportion of successful infections that overcome maternal protection. </w:t>
      </w:r>
      <w:r w:rsidR="00415958" w:rsidRPr="00EF6C4E">
        <w:rPr>
          <w:rFonts w:ascii="Calibri" w:hAnsi="Calibri"/>
          <w:sz w:val="24"/>
          <w:szCs w:val="22"/>
        </w:rPr>
        <w:t xml:space="preserve">Biologically it may be the case that maternal </w:t>
      </w:r>
      <w:r w:rsidR="00415958" w:rsidRPr="00EF6C4E">
        <w:rPr>
          <w:rFonts w:ascii="Calibri" w:hAnsi="Calibri"/>
          <w:sz w:val="24"/>
          <w:szCs w:val="22"/>
        </w:rPr>
        <w:lastRenderedPageBreak/>
        <w:t xml:space="preserve">protection is against symptoms rather than infection </w:t>
      </w:r>
      <w:r w:rsidR="00415958" w:rsidRPr="00EF6C4E">
        <w:rPr>
          <w:rFonts w:ascii="Calibri" w:hAnsi="Calibri"/>
          <w:i/>
          <w:sz w:val="24"/>
          <w:szCs w:val="22"/>
        </w:rPr>
        <w:t>per se</w:t>
      </w:r>
      <w:r w:rsidR="00415958" w:rsidRPr="00EF6C4E">
        <w:rPr>
          <w:rFonts w:ascii="Calibri" w:hAnsi="Calibri"/>
          <w:sz w:val="24"/>
          <w:szCs w:val="22"/>
        </w:rPr>
        <w:t xml:space="preserve">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&lt;EndNote&gt;&lt;Cite&gt;&lt;Author&gt;Kitua&lt;/Author&gt;&lt;Year&gt;1996&lt;/Year&gt;&lt;RecNum&gt;716&lt;/RecNum&gt;&lt;record&gt;&lt;rec-number&gt;716&lt;/rec-number&gt;&lt;foreign-keys&gt;&lt;key app="EN" db-id="50vzxafd505dzseevvi5prdyd0vsefrtrrpx"&gt;716&lt;/key&gt;&lt;/foreign-keys&gt;&lt;ref-type name="Journal Article"&gt;17&lt;/ref-type&gt;&lt;contributors&gt;&lt;authors&gt;&lt;author&gt;Kitua, A. Y.&lt;/author&gt;&lt;author&gt;Smith, T.&lt;/author&gt;&lt;author&gt;Alonso, P. L.&lt;/author&gt;&lt;author&gt;Masanja, H.&lt;/author&gt;&lt;author&gt;Urassa, H.&lt;/author&gt;&lt;author&gt;Menendez, C.&lt;/author&gt;&lt;author&gt;Kimario, J.&lt;/author&gt;&lt;author&gt;Tanner, M.&lt;/author&gt;&lt;/authors&gt;&lt;/contributors&gt;&lt;auth-address&gt;Ifakara Centre, Tanzania.&lt;/auth-address&gt;&lt;titles&gt;&lt;title&gt;Plasmodium falciparum malaria in the first year of life in an area of intense and perennial transmission&lt;/title&gt;&lt;secondary-title&gt;Trop Med Int Health&lt;/secondary-title&gt;&lt;/titles&gt;&lt;periodical&gt;&lt;full-title&gt;Trop Med Int Health&lt;/full-title&gt;&lt;/periodical&gt;&lt;pages&gt;475-84&lt;/pages&gt;&lt;volume&gt;1&lt;/volume&gt;&lt;number&gt;4&lt;/number&gt;&lt;keywords&gt;&lt;keyword&gt;Cohort Studies&lt;/keyword&gt;&lt;keyword&gt;Cross-Sectional Studies&lt;/keyword&gt;&lt;keyword&gt;Female&lt;/keyword&gt;&lt;keyword&gt;Humans&lt;/keyword&gt;&lt;keyword&gt;Immunity, Maternally-Acquired&lt;/keyword&gt;&lt;keyword&gt;Incidence&lt;/keyword&gt;&lt;keyword&gt;Infant&lt;/keyword&gt;&lt;keyword&gt;Infant, Newborn&lt;/keyword&gt;&lt;keyword&gt;Longitudinal Studies&lt;/keyword&gt;&lt;keyword&gt;Malaria, Falciparum/ epidemiology/immunology/transmission&lt;/keyword&gt;&lt;keyword&gt;Male&lt;/keyword&gt;&lt;keyword&gt;Prevalence&lt;/keyword&gt;&lt;keyword&gt;Quality Assurance, Health Care&lt;/keyword&gt;&lt;keyword&gt;Risk Factors&lt;/keyword&gt;&lt;keyword&gt;Rural Population&lt;/keyword&gt;&lt;keyword&gt;Tanzania/epidemiology&lt;/keyword&gt;&lt;/keywords&gt;&lt;dates&gt;&lt;year&gt;1996&lt;/year&gt;&lt;pub-dates&gt;&lt;date&gt;Aug&lt;/date&gt;&lt;/pub-dates&gt;&lt;/dates&gt;&lt;isbn&gt;1360-2276 (Print)&lt;/isbn&gt;&lt;accession-num&gt;8765455&lt;/accession-num&gt;&lt;urls&gt;&lt;/urls&gt;&lt;/record&gt;&lt;/Cite&gt;&lt;/EndNote&gt;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[9]</w:t>
      </w:r>
      <w:r w:rsidR="00AA2259" w:rsidRPr="00EF6C4E">
        <w:rPr>
          <w:rFonts w:ascii="Calibri" w:hAnsi="Calibri"/>
          <w:sz w:val="24"/>
          <w:szCs w:val="22"/>
        </w:rPr>
        <w:fldChar w:fldCharType="end"/>
      </w:r>
      <w:r w:rsidR="00415958" w:rsidRPr="00EF6C4E">
        <w:rPr>
          <w:rFonts w:ascii="Calibri" w:hAnsi="Calibri"/>
          <w:sz w:val="24"/>
          <w:szCs w:val="22"/>
        </w:rPr>
        <w:t>, this approach is chosen for simplicity</w:t>
      </w:r>
      <w:r w:rsidR="007C4091" w:rsidRPr="00EF6C4E">
        <w:rPr>
          <w:rFonts w:ascii="Calibri" w:hAnsi="Calibri"/>
          <w:sz w:val="24"/>
          <w:szCs w:val="22"/>
        </w:rPr>
        <w:t>.</w:t>
      </w:r>
      <w:r w:rsidR="00415958" w:rsidRPr="00EF6C4E">
        <w:rPr>
          <w:rFonts w:ascii="Calibri" w:hAnsi="Calibri"/>
          <w:sz w:val="24"/>
          <w:szCs w:val="22"/>
        </w:rPr>
        <w:t xml:space="preserve"> A diagram of the maternal immunity component is shown </w:t>
      </w:r>
      <w:r w:rsidR="00845607" w:rsidRPr="00EF6C4E">
        <w:rPr>
          <w:rFonts w:ascii="Calibri" w:hAnsi="Calibri"/>
          <w:sz w:val="24"/>
          <w:szCs w:val="22"/>
        </w:rPr>
        <w:t>in figure S5</w:t>
      </w:r>
      <w:r w:rsidR="00415958" w:rsidRPr="00EF6C4E">
        <w:rPr>
          <w:rFonts w:ascii="Calibri" w:hAnsi="Calibri"/>
          <w:sz w:val="24"/>
          <w:szCs w:val="22"/>
        </w:rPr>
        <w:t>.</w:t>
      </w:r>
    </w:p>
    <w:p w:rsidR="00415958" w:rsidRPr="00EF6C4E" w:rsidRDefault="00415958" w:rsidP="00415958">
      <w:pPr>
        <w:spacing w:line="360" w:lineRule="auto"/>
        <w:outlineLvl w:val="0"/>
        <w:rPr>
          <w:rFonts w:ascii="Calibri" w:hAnsi="Calibri"/>
          <w:sz w:val="24"/>
          <w:szCs w:val="22"/>
        </w:rPr>
      </w:pPr>
    </w:p>
    <w:p w:rsidR="00415958" w:rsidRPr="00EF6C4E" w:rsidRDefault="00415958" w:rsidP="00415958">
      <w:pPr>
        <w:spacing w:line="360" w:lineRule="auto"/>
        <w:outlineLvl w:val="0"/>
        <w:rPr>
          <w:rFonts w:ascii="Calibri" w:hAnsi="Calibri"/>
          <w:sz w:val="24"/>
          <w:szCs w:val="22"/>
        </w:rPr>
      </w:pPr>
      <w:r w:rsidRPr="00EF6C4E">
        <w:rPr>
          <w:rFonts w:ascii="Calibri" w:hAnsi="Calibri"/>
          <w:sz w:val="24"/>
          <w:szCs w:val="22"/>
        </w:rPr>
        <w:t xml:space="preserve">Because children were not enrolled into the IPTi trial until two months of age it is unclear how important the remaining maternal protection is. For this reason the effect of its inclusion was examined by comparison with model 1. This is consistent with the approach of other IPTi modelling studies e.g. Gosling et al.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 ExcludeAuth="1"&gt;&lt;Year&gt;2008&lt;/Year&gt;&lt;RecNum&gt;544&lt;/RecNum&gt;&lt;record&gt;&lt;rec-number&gt;544&lt;/rec-number&gt;&lt;foreign-keys&gt;&lt;key app="EN" db-id="50vzxafd505dzseevvi5prdyd0vsefrtrrpx"&gt;544&lt;/key&gt;&lt;/foreign-keys&gt;&lt;ref-type name="Journal Article"&gt;17&lt;/ref-type&gt;&lt;contributors&gt;&lt;authors&gt;&lt;author&gt;Gosling, R. D.&lt;/author&gt;&lt;author&gt;Ghani, A. C.&lt;/author&gt;&lt;author&gt;Deen, J. L.&lt;/author&gt;&lt;author&gt;von Seidlein, L.&lt;/author&gt;&lt;author&gt;Greenwood, B. M.&lt;/author&gt;&lt;author&gt;Chandramohan, D.&lt;/author&gt;&lt;/authors&gt;&lt;/contributors&gt;&lt;auth-address&gt;Department of Infectious and Tropical Disease, London School of Hygiene and Tropical Medicine, London, UK. Roly.gosling@gmail.com&lt;/auth-address&gt;&lt;titles&gt;&lt;title&gt;Can changes in malaria transmission intensity explain prolonged protection and contribute to high protective efficacy of intermittent preventive treatment for malaria in infants?&lt;/title&gt;&lt;secondary-title&gt;Malar J&lt;/secondary-title&gt;&lt;/titles&gt;&lt;periodical&gt;&lt;full-title&gt;Malar J&lt;/full-title&gt;&lt;/periodical&gt;&lt;pages&gt;54&lt;/pages&gt;&lt;volume&gt;7&lt;/volume&gt;&lt;dates&gt;&lt;year&gt;2008&lt;/year&gt;&lt;/dates&gt;&lt;isbn&gt;1475-2875 (Electronic)&lt;/isbn&gt;&lt;accession-num&gt;18387180&lt;/accession-num&gt;&lt;urls&gt;&lt;pdf-urls&gt;&lt;url&gt;file:///C:/Documents%20and%20Settings/Matt%20Cairns/My%20Documents/My%20Documents/1%20PHD/OVERVIEW/GOSLING%20ipt%20model%20transm%20changes%20MAL%20J%202008.pdf&lt;/url&gt;&lt;/pdf-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[10]</w:t>
      </w:r>
      <w:r w:rsidR="00AA2259" w:rsidRPr="00EF6C4E">
        <w:rPr>
          <w:rFonts w:ascii="Calibri" w:hAnsi="Calibri"/>
          <w:sz w:val="24"/>
          <w:szCs w:val="22"/>
        </w:rPr>
        <w:fldChar w:fldCharType="end"/>
      </w:r>
      <w:r w:rsidRPr="00EF6C4E">
        <w:rPr>
          <w:rFonts w:ascii="Calibri" w:hAnsi="Calibri"/>
          <w:sz w:val="24"/>
          <w:szCs w:val="22"/>
        </w:rPr>
        <w:t xml:space="preserve">. </w:t>
      </w:r>
    </w:p>
    <w:p w:rsidR="00415958" w:rsidRPr="00EF6C4E" w:rsidRDefault="00415958" w:rsidP="00415958">
      <w:pPr>
        <w:spacing w:line="360" w:lineRule="auto"/>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 xml:space="preserve">Figure </w:t>
      </w:r>
      <w:r w:rsidR="0068531B" w:rsidRPr="00EF6C4E">
        <w:rPr>
          <w:rFonts w:ascii="Calibri" w:hAnsi="Calibri"/>
          <w:b/>
          <w:sz w:val="24"/>
          <w:szCs w:val="22"/>
        </w:rPr>
        <w:t>S5</w:t>
      </w:r>
      <w:r w:rsidR="00B96760" w:rsidRPr="00EF6C4E">
        <w:rPr>
          <w:rFonts w:ascii="Calibri" w:hAnsi="Calibri"/>
          <w:b/>
          <w:sz w:val="24"/>
          <w:szCs w:val="22"/>
        </w:rPr>
        <w:t>.</w:t>
      </w:r>
      <w:r w:rsidRPr="00EF6C4E">
        <w:rPr>
          <w:rFonts w:ascii="Calibri" w:hAnsi="Calibri"/>
          <w:b/>
          <w:sz w:val="24"/>
          <w:szCs w:val="22"/>
        </w:rPr>
        <w:t xml:space="preserve"> Incorporation of the maternal immunity component</w:t>
      </w:r>
    </w:p>
    <w:p w:rsidR="00415958" w:rsidRPr="00EF6C4E" w:rsidRDefault="00AA2259" w:rsidP="00415958">
      <w:pPr>
        <w:outlineLvl w:val="0"/>
        <w:rPr>
          <w:rFonts w:ascii="Calibri" w:hAnsi="Calibri"/>
          <w:szCs w:val="22"/>
        </w:rPr>
      </w:pPr>
      <w:r>
        <w:rPr>
          <w:rFonts w:ascii="Calibri" w:hAnsi="Calibri"/>
          <w:szCs w:val="22"/>
        </w:rPr>
      </w:r>
      <w:r>
        <w:rPr>
          <w:rFonts w:ascii="Calibri" w:hAnsi="Calibri"/>
          <w:szCs w:val="22"/>
        </w:rPr>
        <w:pict>
          <v:group id="_x0000_s1026" editas="canvas" style="width:435pt;height:327.9pt;mso-position-horizontal-relative:char;mso-position-vertical-relative:line" coordorigin="4297,2887" coordsize="7282,5622">
            <o:lock v:ext="edit" aspectratio="t"/>
            <v:shape id="_x0000_s1027" type="#_x0000_t75" style="position:absolute;left:4297;top:2887;width:7282;height:5622" o:preferrelative="f">
              <v:fill o:detectmouseclick="t"/>
              <v:path o:extrusionok="t" o:connecttype="none"/>
              <o:lock v:ext="edit" text="t"/>
            </v:shape>
            <v:shape id="_x0000_s1028" type="#_x0000_t202" style="position:absolute;left:7174;top:3724;width:670;height:618">
              <v:textbox style="mso-next-textbox:#_x0000_s1028" inset="5.76pt,2.88pt,5.76pt,2.88pt">
                <w:txbxContent>
                  <w:p w:rsidR="00896728" w:rsidRPr="00E126A9" w:rsidRDefault="00896728" w:rsidP="00415958">
                    <w:pPr>
                      <w:jc w:val="center"/>
                      <w:rPr>
                        <w:sz w:val="19"/>
                      </w:rPr>
                    </w:pPr>
                  </w:p>
                  <w:p w:rsidR="00896728" w:rsidRPr="00E126A9" w:rsidRDefault="00896728" w:rsidP="00415958">
                    <w:pPr>
                      <w:jc w:val="center"/>
                      <w:rPr>
                        <w:sz w:val="19"/>
                      </w:rPr>
                    </w:pPr>
                    <w:r w:rsidRPr="00E126A9">
                      <w:rPr>
                        <w:sz w:val="19"/>
                      </w:rPr>
                      <w:t>U</w:t>
                    </w:r>
                  </w:p>
                </w:txbxContent>
              </v:textbox>
            </v:shape>
            <v:shape id="_x0000_s1029" type="#_x0000_t202" style="position:absolute;left:8448;top:3724;width:669;height:618">
              <v:textbox style="mso-next-textbox:#_x0000_s1029" inset="5.76pt,2.88pt,5.76pt,2.88pt">
                <w:txbxContent>
                  <w:p w:rsidR="00896728" w:rsidRPr="00E126A9" w:rsidRDefault="00896728" w:rsidP="00415958">
                    <w:pPr>
                      <w:jc w:val="center"/>
                      <w:rPr>
                        <w:sz w:val="19"/>
                      </w:rPr>
                    </w:pPr>
                  </w:p>
                  <w:p w:rsidR="00896728" w:rsidRPr="00F83F52" w:rsidRDefault="00896728" w:rsidP="00415958">
                    <w:pPr>
                      <w:jc w:val="center"/>
                      <w:rPr>
                        <w:sz w:val="19"/>
                        <w:vertAlign w:val="subscript"/>
                      </w:rPr>
                    </w:pPr>
                    <w:r w:rsidRPr="00E126A9">
                      <w:rPr>
                        <w:sz w:val="19"/>
                      </w:rPr>
                      <w:t>E</w:t>
                    </w:r>
                    <w:r>
                      <w:rPr>
                        <w:sz w:val="19"/>
                        <w:vertAlign w:val="subscript"/>
                      </w:rPr>
                      <w:t>1</w:t>
                    </w:r>
                  </w:p>
                </w:txbxContent>
              </v:textbox>
            </v:shape>
            <v:line id="_x0000_s1030" style="position:absolute" from="7846,4017" to="8450,4018">
              <v:stroke endarrow="block"/>
            </v:line>
            <v:shape id="_x0000_s1031" type="#_x0000_t32" style="position:absolute;left:6394;top:4034;width:780;height:1" o:connectortype="straight">
              <v:stroke endarrow="block"/>
            </v:shape>
            <v:shape id="_x0000_s1032" type="#_x0000_t202" style="position:absolute;left:6265;top:3746;width:1063;height:307" filled="f" stroked="f">
              <v:textbox style="mso-next-textbox:#_x0000_s1032">
                <w:txbxContent>
                  <w:p w:rsidR="00896728" w:rsidRPr="007706CC" w:rsidRDefault="00896728" w:rsidP="00415958">
                    <w:pPr>
                      <w:rPr>
                        <w:rFonts w:ascii="Times New Roman" w:hAnsi="Times New Roman"/>
                        <w:lang w:val="en-US"/>
                      </w:rPr>
                    </w:pPr>
                    <w:r>
                      <w:rPr>
                        <w:rFonts w:ascii="Times New Roman" w:hAnsi="Times New Roman"/>
                        <w:lang w:val="en-US"/>
                      </w:rPr>
                      <w:t>enrolment</w:t>
                    </w:r>
                  </w:p>
                </w:txbxContent>
              </v:textbox>
            </v:shape>
            <v:shape id="_x0000_s1033" type="#_x0000_t202" style="position:absolute;left:4381;top:6205;width:1063;height:309" filled="f" stroked="f">
              <v:textbox style="mso-next-textbox:#_x0000_s1033">
                <w:txbxContent>
                  <w:p w:rsidR="00896728" w:rsidRPr="007706CC" w:rsidRDefault="00896728" w:rsidP="00415958">
                    <w:pPr>
                      <w:rPr>
                        <w:rFonts w:ascii="Times New Roman" w:hAnsi="Times New Roman"/>
                        <w:lang w:val="en-US"/>
                      </w:rPr>
                    </w:pPr>
                    <w:r>
                      <w:rPr>
                        <w:rFonts w:ascii="Times New Roman" w:hAnsi="Times New Roman"/>
                        <w:lang w:val="en-US"/>
                      </w:rPr>
                      <w:t>enrolment</w:t>
                    </w:r>
                  </w:p>
                </w:txbxContent>
              </v:textbox>
            </v:shape>
            <v:shape id="_x0000_s1034" type="#_x0000_t202" style="position:absolute;left:4381;top:3109;width:2427;height:310" stroked="f">
              <v:fill opacity="0"/>
              <v:textbox style="mso-next-textbox:#_x0000_s1034">
                <w:txbxContent>
                  <w:p w:rsidR="00896728" w:rsidRPr="00B2256C" w:rsidRDefault="00896728" w:rsidP="00415958">
                    <w:pPr>
                      <w:rPr>
                        <w:b/>
                        <w:sz w:val="18"/>
                      </w:rPr>
                    </w:pPr>
                    <w:r w:rsidRPr="00B2256C">
                      <w:rPr>
                        <w:b/>
                        <w:sz w:val="18"/>
                      </w:rPr>
                      <w:t>No maternal protection</w:t>
                    </w:r>
                  </w:p>
                </w:txbxContent>
              </v:textbox>
            </v:shape>
            <v:shape id="_x0000_s1035" type="#_x0000_t202" style="position:absolute;left:4381;top:5269;width:2427;height:307" stroked="f">
              <v:fill opacity="0"/>
              <v:textbox style="mso-next-textbox:#_x0000_s1035">
                <w:txbxContent>
                  <w:p w:rsidR="00896728" w:rsidRPr="00B2256C" w:rsidRDefault="00896728" w:rsidP="00415958">
                    <w:pPr>
                      <w:rPr>
                        <w:b/>
                        <w:sz w:val="18"/>
                      </w:rPr>
                    </w:pPr>
                    <w:r>
                      <w:rPr>
                        <w:b/>
                        <w:sz w:val="18"/>
                      </w:rPr>
                      <w:t xml:space="preserve">With </w:t>
                    </w:r>
                    <w:r w:rsidRPr="00B2256C">
                      <w:rPr>
                        <w:b/>
                        <w:sz w:val="18"/>
                      </w:rPr>
                      <w:t>maternal protection</w:t>
                    </w:r>
                  </w:p>
                </w:txbxContent>
              </v:textbox>
            </v:shape>
            <v:shape id="_x0000_s1036" type="#_x0000_t32" style="position:absolute;left:9106;top:4027;width:939;height:989" o:connectortype="straight">
              <v:stroke endarrow="block"/>
            </v:shape>
            <v:shape id="_x0000_s1037" type="#_x0000_t32" style="position:absolute;left:9106;top:3040;width:939;height:987;flip:y" o:connectortype="straight">
              <v:stroke endarrow="block"/>
            </v:shape>
            <v:shape id="_x0000_s1038" type="#_x0000_t202" style="position:absolute;left:9137;top:3142;width:586;height:461" filled="f" stroked="f">
              <v:fill opacity="0"/>
              <v:textbox style="mso-next-textbox:#_x0000_s1038">
                <w:txbxContent>
                  <w:p w:rsidR="00896728" w:rsidRPr="00B86471" w:rsidRDefault="00896728" w:rsidP="00415958">
                    <w:pPr>
                      <w:rPr>
                        <w:rFonts w:ascii="Times New Roman" w:hAnsi="Times New Roman"/>
                        <w:vertAlign w:val="subscript"/>
                      </w:rPr>
                    </w:pPr>
                    <w:r w:rsidRPr="00E64DA5">
                      <w:rPr>
                        <w:rFonts w:ascii="Times New Roman" w:hAnsi="Times New Roman"/>
                        <w:i/>
                      </w:rPr>
                      <w:t>f</w:t>
                    </w:r>
                    <w:r>
                      <w:rPr>
                        <w:rFonts w:ascii="Times New Roman" w:hAnsi="Times New Roman"/>
                      </w:rPr>
                      <w:t xml:space="preserve"> θ</w:t>
                    </w:r>
                    <w:r>
                      <w:rPr>
                        <w:rFonts w:ascii="Times New Roman" w:hAnsi="Times New Roman"/>
                        <w:vertAlign w:val="subscript"/>
                      </w:rPr>
                      <w:t>1</w:t>
                    </w:r>
                  </w:p>
                </w:txbxContent>
              </v:textbox>
            </v:shape>
            <v:shape id="_x0000_s1039" type="#_x0000_t202" style="position:absolute;left:8848;top:4432;width:1086;height:464" filled="f" stroked="f">
              <v:fill opacity="0"/>
              <v:textbox style="mso-next-textbox:#_x0000_s1039">
                <w:txbxContent>
                  <w:p w:rsidR="00896728" w:rsidRPr="00B86471" w:rsidRDefault="00896728" w:rsidP="00415958">
                    <w:pPr>
                      <w:rPr>
                        <w:rFonts w:ascii="Times New Roman" w:hAnsi="Times New Roman"/>
                      </w:rPr>
                    </w:pPr>
                    <w:r w:rsidRPr="00E64DA5">
                      <w:rPr>
                        <w:rFonts w:ascii="Times New Roman" w:hAnsi="Times New Roman"/>
                        <w:i/>
                      </w:rPr>
                      <w:t>f</w:t>
                    </w:r>
                    <w:r>
                      <w:rPr>
                        <w:rFonts w:ascii="Times New Roman" w:hAnsi="Times New Roman"/>
                      </w:rPr>
                      <w:t>(1-θ</w:t>
                    </w:r>
                    <w:r>
                      <w:rPr>
                        <w:rFonts w:ascii="Times New Roman" w:hAnsi="Times New Roman"/>
                        <w:vertAlign w:val="subscript"/>
                      </w:rPr>
                      <w:t>1</w:t>
                    </w:r>
                    <w:r>
                      <w:rPr>
                        <w:rFonts w:ascii="Times New Roman" w:hAnsi="Times New Roman"/>
                      </w:rPr>
                      <w:t>)</w:t>
                    </w:r>
                  </w:p>
                </w:txbxContent>
              </v:textbox>
            </v:shape>
            <v:shape id="_x0000_s1040" type="#_x0000_t202" style="position:absolute;left:4381;top:7120;width:667;height:618">
              <v:textbox style="mso-next-textbox:#_x0000_s1040"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sidRPr="0010410F">
                      <w:rPr>
                        <w:sz w:val="19"/>
                      </w:rPr>
                      <w:t>M</w:t>
                    </w:r>
                    <w:r w:rsidRPr="00E126A9">
                      <w:rPr>
                        <w:sz w:val="19"/>
                        <w:vertAlign w:val="subscript"/>
                      </w:rPr>
                      <w:t>1</w:t>
                    </w:r>
                    <w:r>
                      <w:rPr>
                        <w:sz w:val="19"/>
                        <w:vertAlign w:val="subscript"/>
                      </w:rPr>
                      <w:tab/>
                    </w:r>
                    <w:r>
                      <w:rPr>
                        <w:sz w:val="19"/>
                        <w:vertAlign w:val="subscript"/>
                      </w:rPr>
                      <w:tab/>
                    </w:r>
                  </w:p>
                </w:txbxContent>
              </v:textbox>
            </v:shape>
            <v:shape id="_x0000_s1041" type="#_x0000_t202" style="position:absolute;left:5553;top:7132;width:670;height:618">
              <v:textbox style="mso-next-textbox:#_x0000_s1041"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Pr>
                        <w:sz w:val="19"/>
                      </w:rPr>
                      <w:t>M</w:t>
                    </w:r>
                    <w:r w:rsidRPr="00E126A9">
                      <w:rPr>
                        <w:sz w:val="19"/>
                        <w:vertAlign w:val="subscript"/>
                      </w:rPr>
                      <w:t>2</w:t>
                    </w:r>
                  </w:p>
                </w:txbxContent>
              </v:textbox>
            </v:shape>
            <v:line id="_x0000_s1042" style="position:absolute" from="5050,7440" to="5553,7441">
              <v:stroke endarrow="block"/>
            </v:line>
            <v:shape id="_x0000_s1043" type="#_x0000_t202" style="position:absolute;left:6726;top:7132;width:668;height:620">
              <v:textbox style="mso-next-textbox:#_x0000_s1043"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Pr>
                        <w:sz w:val="19"/>
                      </w:rPr>
                      <w:t>M</w:t>
                    </w:r>
                    <w:r>
                      <w:rPr>
                        <w:sz w:val="19"/>
                        <w:vertAlign w:val="subscript"/>
                      </w:rPr>
                      <w:t>3</w:t>
                    </w:r>
                  </w:p>
                </w:txbxContent>
              </v:textbox>
            </v:shape>
            <v:shape id="_x0000_s1044" type="#_x0000_t202" style="position:absolute;left:7897;top:7132;width:669;height:620">
              <v:textbox style="mso-next-textbox:#_x0000_s1044" inset="5.76pt,2.88pt,5.76pt,2.88pt">
                <w:txbxContent>
                  <w:p w:rsidR="00896728" w:rsidRPr="00E126A9" w:rsidRDefault="00896728" w:rsidP="00415958">
                    <w:pPr>
                      <w:jc w:val="center"/>
                      <w:rPr>
                        <w:sz w:val="19"/>
                      </w:rPr>
                    </w:pPr>
                  </w:p>
                  <w:p w:rsidR="00896728" w:rsidRPr="00E126A9" w:rsidRDefault="00896728" w:rsidP="00415958">
                    <w:pPr>
                      <w:jc w:val="center"/>
                      <w:rPr>
                        <w:sz w:val="19"/>
                        <w:vertAlign w:val="subscript"/>
                      </w:rPr>
                    </w:pPr>
                    <w:r>
                      <w:rPr>
                        <w:sz w:val="19"/>
                      </w:rPr>
                      <w:t>M</w:t>
                    </w:r>
                    <w:r>
                      <w:rPr>
                        <w:sz w:val="19"/>
                        <w:vertAlign w:val="subscript"/>
                      </w:rPr>
                      <w:t>4</w:t>
                    </w:r>
                  </w:p>
                </w:txbxContent>
              </v:textbox>
            </v:shape>
            <v:shape id="_x0000_s1045" type="#_x0000_t202" style="position:absolute;left:9547;top:6205;width:672;height:618">
              <v:textbox style="mso-next-textbox:#_x0000_s1045" inset="5.76pt,2.88pt,5.76pt,2.88pt">
                <w:txbxContent>
                  <w:p w:rsidR="00896728" w:rsidRPr="00E126A9" w:rsidRDefault="00896728" w:rsidP="00415958">
                    <w:pPr>
                      <w:jc w:val="center"/>
                      <w:rPr>
                        <w:sz w:val="19"/>
                      </w:rPr>
                    </w:pPr>
                  </w:p>
                  <w:p w:rsidR="00896728" w:rsidRPr="00F83F52" w:rsidRDefault="00896728" w:rsidP="00415958">
                    <w:pPr>
                      <w:jc w:val="center"/>
                      <w:rPr>
                        <w:sz w:val="19"/>
                        <w:vertAlign w:val="subscript"/>
                      </w:rPr>
                    </w:pPr>
                    <w:r w:rsidRPr="00E126A9">
                      <w:rPr>
                        <w:sz w:val="19"/>
                      </w:rPr>
                      <w:t>E</w:t>
                    </w:r>
                    <w:r>
                      <w:rPr>
                        <w:sz w:val="19"/>
                        <w:vertAlign w:val="subscript"/>
                      </w:rPr>
                      <w:t>1</w:t>
                    </w:r>
                  </w:p>
                </w:txbxContent>
              </v:textbox>
            </v:shape>
            <v:shape id="_x0000_s1046" type="#_x0000_t202" style="position:absolute;left:4716;top:7825;width:898;height:462" filled="f" stroked="f">
              <v:fill opacity="0"/>
              <v:textbox style="mso-next-textbox:#_x0000_s1046">
                <w:txbxContent>
                  <w:p w:rsidR="00896728" w:rsidRPr="00641AA1" w:rsidRDefault="00896728" w:rsidP="00415958">
                    <w:pPr>
                      <w:rPr>
                        <w:rFonts w:ascii="Times New Roman" w:hAnsi="Times New Roman"/>
                        <w:i/>
                      </w:rPr>
                    </w:pPr>
                    <w:r w:rsidRPr="00912C24">
                      <w:rPr>
                        <w:rFonts w:ascii="Times New Roman" w:hAnsi="Times New Roman"/>
                        <w:i/>
                      </w:rPr>
                      <w:t>λ</w:t>
                    </w:r>
                    <w:r>
                      <w:rPr>
                        <w:rFonts w:ascii="Times New Roman" w:hAnsi="Times New Roman"/>
                        <w:i/>
                        <w:vertAlign w:val="subscript"/>
                      </w:rPr>
                      <w:t>m</w:t>
                    </w:r>
                    <w:r>
                      <w:rPr>
                        <w:rFonts w:ascii="Times New Roman" w:hAnsi="Times New Roman"/>
                        <w:i/>
                      </w:rPr>
                      <w:t>(t)</w:t>
                    </w:r>
                  </w:p>
                </w:txbxContent>
              </v:textbox>
            </v:shape>
            <v:shape id="_x0000_s1047" type="#_x0000_t202" style="position:absolute;left:5050;top:6978;width:697;height:307" filled="f" stroked="f">
              <v:fill opacity="0"/>
              <v:textbox style="mso-next-textbox:#_x0000_s1047">
                <w:txbxContent>
                  <w:p w:rsidR="00896728" w:rsidRPr="00912C24" w:rsidRDefault="00896728" w:rsidP="00415958">
                    <w:pPr>
                      <w:rPr>
                        <w:rFonts w:ascii="Times New Roman" w:hAnsi="Times New Roman"/>
                        <w:i/>
                        <w:vertAlign w:val="subscript"/>
                      </w:rPr>
                    </w:pPr>
                    <w:r w:rsidRPr="00912C24">
                      <w:rPr>
                        <w:rFonts w:ascii="Times New Roman" w:hAnsi="Times New Roman"/>
                        <w:i/>
                      </w:rPr>
                      <w:t>4/d</w:t>
                    </w:r>
                    <w:r w:rsidRPr="00912C24">
                      <w:rPr>
                        <w:rFonts w:ascii="Times New Roman" w:hAnsi="Times New Roman"/>
                        <w:i/>
                        <w:vertAlign w:val="subscript"/>
                      </w:rPr>
                      <w:t>m</w:t>
                    </w:r>
                  </w:p>
                </w:txbxContent>
              </v:textbox>
            </v:shape>
            <v:shape id="_x0000_s1048" type="#_x0000_t202" style="position:absolute;left:7897;top:5731;width:669;height:618">
              <v:textbox style="mso-next-textbox:#_x0000_s1048" inset="5.76pt,2.88pt,5.76pt,2.88pt">
                <w:txbxContent>
                  <w:p w:rsidR="00896728" w:rsidRPr="00E126A9" w:rsidRDefault="00896728" w:rsidP="00415958">
                    <w:pPr>
                      <w:jc w:val="center"/>
                      <w:rPr>
                        <w:sz w:val="19"/>
                      </w:rPr>
                    </w:pPr>
                  </w:p>
                  <w:p w:rsidR="00896728" w:rsidRPr="00E126A9" w:rsidRDefault="00896728" w:rsidP="00415958">
                    <w:pPr>
                      <w:jc w:val="center"/>
                      <w:rPr>
                        <w:sz w:val="19"/>
                      </w:rPr>
                    </w:pPr>
                    <w:r w:rsidRPr="00E126A9">
                      <w:rPr>
                        <w:sz w:val="19"/>
                      </w:rPr>
                      <w:t>U</w:t>
                    </w:r>
                  </w:p>
                </w:txbxContent>
              </v:textbox>
            </v:shape>
            <v:line id="_x0000_s1049" style="position:absolute;flip:y" from="8231,6349" to="8232,7120">
              <v:stroke endarrow="block"/>
            </v:line>
            <v:shape id="_x0000_s1050" type="#_x0000_t32" style="position:absolute;left:6223;top:7442;width:503;height:1" o:connectortype="straight">
              <v:stroke endarrow="block"/>
            </v:shape>
            <v:shape id="_x0000_s1051" type="#_x0000_t32" style="position:absolute;left:7395;top:7440;width:502;height:1" o:connectortype="straight">
              <v:stroke endarrow="block"/>
            </v:shape>
            <v:shape id="_x0000_s1052" type="#_x0000_t202" style="position:absolute;left:6223;top:6978;width:695;height:306" filled="f" stroked="f">
              <v:fill opacity="0"/>
              <v:textbox style="mso-next-textbox:#_x0000_s1052">
                <w:txbxContent>
                  <w:p w:rsidR="00896728" w:rsidRPr="00912C24" w:rsidRDefault="00896728" w:rsidP="00415958">
                    <w:pPr>
                      <w:rPr>
                        <w:rFonts w:ascii="Times New Roman" w:hAnsi="Times New Roman"/>
                        <w:i/>
                        <w:vertAlign w:val="subscript"/>
                      </w:rPr>
                    </w:pPr>
                    <w:r w:rsidRPr="00912C24">
                      <w:rPr>
                        <w:rFonts w:ascii="Times New Roman" w:hAnsi="Times New Roman"/>
                        <w:i/>
                      </w:rPr>
                      <w:t>4/d</w:t>
                    </w:r>
                    <w:r w:rsidRPr="00912C24">
                      <w:rPr>
                        <w:rFonts w:ascii="Times New Roman" w:hAnsi="Times New Roman"/>
                        <w:i/>
                        <w:vertAlign w:val="subscript"/>
                      </w:rPr>
                      <w:t>m</w:t>
                    </w:r>
                  </w:p>
                </w:txbxContent>
              </v:textbox>
            </v:shape>
            <v:shape id="_x0000_s1053" type="#_x0000_t202" style="position:absolute;left:7395;top:6978;width:695;height:306" filled="f" stroked="f">
              <v:fill opacity="0"/>
              <v:textbox style="mso-next-textbox:#_x0000_s1053">
                <w:txbxContent>
                  <w:p w:rsidR="00896728" w:rsidRPr="00912C24" w:rsidRDefault="00896728" w:rsidP="00415958">
                    <w:pPr>
                      <w:rPr>
                        <w:rFonts w:ascii="Times New Roman" w:hAnsi="Times New Roman"/>
                        <w:i/>
                        <w:vertAlign w:val="subscript"/>
                      </w:rPr>
                    </w:pPr>
                    <w:r w:rsidRPr="00912C24">
                      <w:rPr>
                        <w:rFonts w:ascii="Times New Roman" w:hAnsi="Times New Roman"/>
                        <w:i/>
                      </w:rPr>
                      <w:t>4/d</w:t>
                    </w:r>
                    <w:r w:rsidRPr="00912C24">
                      <w:rPr>
                        <w:rFonts w:ascii="Times New Roman" w:hAnsi="Times New Roman"/>
                        <w:i/>
                        <w:vertAlign w:val="subscript"/>
                      </w:rPr>
                      <w:t>m</w:t>
                    </w:r>
                  </w:p>
                </w:txbxContent>
              </v:textbox>
            </v:shape>
            <v:shape id="_x0000_s1054" type="#_x0000_t202" style="position:absolute;left:7730;top:6514;width:696;height:308" filled="f" stroked="f">
              <v:fill opacity="0"/>
              <v:textbox style="mso-next-textbox:#_x0000_s1054">
                <w:txbxContent>
                  <w:p w:rsidR="00896728" w:rsidRPr="00912C24" w:rsidRDefault="00896728" w:rsidP="00415958">
                    <w:pPr>
                      <w:rPr>
                        <w:rFonts w:ascii="Times New Roman" w:hAnsi="Times New Roman"/>
                        <w:i/>
                        <w:vertAlign w:val="subscript"/>
                      </w:rPr>
                    </w:pPr>
                    <w:r w:rsidRPr="00912C24">
                      <w:rPr>
                        <w:rFonts w:ascii="Times New Roman" w:hAnsi="Times New Roman"/>
                        <w:i/>
                      </w:rPr>
                      <w:t>4/d</w:t>
                    </w:r>
                    <w:r w:rsidRPr="00912C24">
                      <w:rPr>
                        <w:rFonts w:ascii="Times New Roman" w:hAnsi="Times New Roman"/>
                        <w:i/>
                        <w:vertAlign w:val="subscript"/>
                      </w:rPr>
                      <w:t>m</w:t>
                    </w:r>
                  </w:p>
                </w:txbxContent>
              </v:textbox>
            </v:shape>
            <v:shapetype id="_x0000_t33" coordsize="21600,21600" o:spt="33" o:oned="t" path="m,l21600,r,21600e" filled="f">
              <v:stroke joinstyle="miter"/>
              <v:path arrowok="t" fillok="f" o:connecttype="none"/>
              <o:lock v:ext="edit" shapetype="t"/>
            </v:shapetype>
            <v:shape id="_x0000_s1055" type="#_x0000_t33" style="position:absolute;left:4716;top:6823;width:5167;height:1542;flip:y" o:connectortype="elbow" adj="-7734,134520,-7734">
              <v:stroke endarrow="block"/>
            </v:shape>
            <v:shape id="_x0000_s1056" type="#_x0000_t32" style="position:absolute;left:4715;top:7750;width:1;height:615" o:connectortype="straight">
              <v:stroke endarrow="block"/>
            </v:shape>
            <v:shape id="_x0000_s1057" type="#_x0000_t32" style="position:absolute;left:5887;top:7750;width:2;height:615" o:connectortype="straight">
              <v:stroke endarrow="block"/>
            </v:shape>
            <v:shape id="_x0000_s1058" type="#_x0000_t32" style="position:absolute;left:7060;top:7750;width:1;height:615" o:connectortype="straight">
              <v:stroke endarrow="block"/>
            </v:shape>
            <v:shape id="_x0000_s1059" type="#_x0000_t32" style="position:absolute;left:8232;top:7750;width:1;height:615" o:connectortype="straight">
              <v:stroke endarrow="block"/>
            </v:shape>
            <v:shape id="_x0000_s1060" type="#_x0000_t32" style="position:absolute;left:10226;top:6505;width:938;height:989" o:connectortype="straight">
              <v:stroke endarrow="block"/>
            </v:shape>
            <v:shape id="_x0000_s1061" type="#_x0000_t32" style="position:absolute;left:10226;top:5520;width:938;height:985;flip:y" o:connectortype="straight">
              <v:stroke endarrow="block"/>
            </v:shape>
            <v:shape id="_x0000_s1062" type="#_x0000_t202" style="position:absolute;left:10257;top:5618;width:586;height:462" filled="f" stroked="f">
              <v:fill opacity="0"/>
              <v:textbox style="mso-next-textbox:#_x0000_s1062">
                <w:txbxContent>
                  <w:p w:rsidR="00896728" w:rsidRPr="00B86471" w:rsidRDefault="00896728" w:rsidP="00415958">
                    <w:pPr>
                      <w:rPr>
                        <w:rFonts w:ascii="Times New Roman" w:hAnsi="Times New Roman"/>
                        <w:vertAlign w:val="subscript"/>
                      </w:rPr>
                    </w:pPr>
                    <w:r w:rsidRPr="00E64DA5">
                      <w:rPr>
                        <w:rFonts w:ascii="Times New Roman" w:hAnsi="Times New Roman"/>
                        <w:i/>
                      </w:rPr>
                      <w:t>f</w:t>
                    </w:r>
                    <w:r>
                      <w:rPr>
                        <w:rFonts w:ascii="Times New Roman" w:hAnsi="Times New Roman"/>
                      </w:rPr>
                      <w:t xml:space="preserve"> θ</w:t>
                    </w:r>
                  </w:p>
                </w:txbxContent>
              </v:textbox>
            </v:shape>
            <v:shape id="_x0000_s1063" type="#_x0000_t202" style="position:absolute;left:10493;top:6514;width:1085;height:464" filled="f" stroked="f">
              <v:fill opacity="0"/>
              <v:textbox style="mso-next-textbox:#_x0000_s1063">
                <w:txbxContent>
                  <w:p w:rsidR="00896728" w:rsidRPr="00B86471" w:rsidRDefault="00896728" w:rsidP="00415958">
                    <w:pPr>
                      <w:rPr>
                        <w:rFonts w:ascii="Times New Roman" w:hAnsi="Times New Roman"/>
                      </w:rPr>
                    </w:pPr>
                    <w:r w:rsidRPr="00E64DA5">
                      <w:rPr>
                        <w:rFonts w:ascii="Times New Roman" w:hAnsi="Times New Roman"/>
                        <w:i/>
                      </w:rPr>
                      <w:t>f</w:t>
                    </w:r>
                    <w:r>
                      <w:rPr>
                        <w:rFonts w:ascii="Times New Roman" w:hAnsi="Times New Roman"/>
                      </w:rPr>
                      <w:t>(1-θ)</w:t>
                    </w:r>
                  </w:p>
                </w:txbxContent>
              </v:textbox>
            </v:shape>
            <v:line id="_x0000_s1064" style="position:absolute" from="8567,6049" to="9572,6514">
              <v:stroke endarrow="block"/>
            </v:line>
            <v:shape id="_x0000_s1065" type="#_x0000_t32" style="position:absolute;left:5135;top:8365;width:168;height:1" o:connectortype="straight">
              <v:stroke endarrow="block"/>
            </v:shape>
            <v:shape id="_x0000_s1066" type="#_x0000_t32" style="position:absolute;left:6390;top:8365;width:168;height:1" o:connectortype="straight">
              <v:stroke endarrow="block"/>
            </v:shape>
            <v:shape id="_x0000_s1067" type="#_x0000_t32" style="position:absolute;left:7563;top:8365;width:167;height:1" o:connectortype="straight">
              <v:stroke endarrow="block"/>
            </v:shape>
            <v:shape id="_x0000_s1068" type="#_x0000_t32" style="position:absolute;left:8986;top:8365;width:166;height:1" o:connectortype="straight">
              <v:stroke endarrow="block"/>
            </v:shape>
            <v:shape id="_x0000_s1069" type="#_x0000_t32" style="position:absolute;left:4715;top:6514;width:1;height:618" o:connectortype="straight">
              <v:stroke endarrow="block"/>
            </v:shape>
            <v:shape id="_x0000_s1070" type="#_x0000_t202" style="position:absolute;left:7896;top:3659;width:741;height:306" filled="f" stroked="f">
              <v:fill opacity="0"/>
              <v:textbox style="mso-next-textbox:#_x0000_s1070">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071" type="#_x0000_t202" style="position:absolute;left:8817;top:5819;width:738;height:308" filled="f" stroked="f">
              <v:fill opacity="0"/>
              <v:textbox style="mso-next-textbox:#_x0000_s1071">
                <w:txbxContent>
                  <w:p w:rsidR="00896728" w:rsidRPr="00E64DA5" w:rsidRDefault="00896728" w:rsidP="00415958">
                    <w:pPr>
                      <w:rPr>
                        <w:rFonts w:ascii="Times New Roman" w:hAnsi="Times New Roman"/>
                        <w:i/>
                      </w:rPr>
                    </w:pPr>
                    <w:r w:rsidRPr="00E64DA5">
                      <w:rPr>
                        <w:rFonts w:ascii="Times New Roman" w:hAnsi="Times New Roman"/>
                        <w:i/>
                      </w:rPr>
                      <w:t>λ</w:t>
                    </w:r>
                    <w:r>
                      <w:rPr>
                        <w:rFonts w:ascii="Times New Roman" w:hAnsi="Times New Roman"/>
                        <w:i/>
                      </w:rPr>
                      <w:t>(t)</w:t>
                    </w:r>
                  </w:p>
                </w:txbxContent>
              </v:textbox>
            </v:shape>
            <v:shape id="_x0000_s1072" type="#_x0000_t202" style="position:absolute;left:5887;top:7825;width:898;height:462" filled="f" stroked="f">
              <v:fill opacity="0"/>
              <v:textbox style="mso-next-textbox:#_x0000_s1072">
                <w:txbxContent>
                  <w:p w:rsidR="00896728" w:rsidRPr="00641AA1" w:rsidRDefault="00896728" w:rsidP="00415958">
                    <w:pPr>
                      <w:rPr>
                        <w:rFonts w:ascii="Times New Roman" w:hAnsi="Times New Roman"/>
                        <w:i/>
                      </w:rPr>
                    </w:pPr>
                    <w:r w:rsidRPr="00912C24">
                      <w:rPr>
                        <w:rFonts w:ascii="Times New Roman" w:hAnsi="Times New Roman"/>
                        <w:i/>
                      </w:rPr>
                      <w:t>λ</w:t>
                    </w:r>
                    <w:r>
                      <w:rPr>
                        <w:rFonts w:ascii="Times New Roman" w:hAnsi="Times New Roman"/>
                        <w:i/>
                        <w:vertAlign w:val="subscript"/>
                      </w:rPr>
                      <w:t>m</w:t>
                    </w:r>
                    <w:r>
                      <w:rPr>
                        <w:rFonts w:ascii="Times New Roman" w:hAnsi="Times New Roman"/>
                        <w:i/>
                      </w:rPr>
                      <w:t>(t)</w:t>
                    </w:r>
                  </w:p>
                </w:txbxContent>
              </v:textbox>
            </v:shape>
            <v:shape id="_x0000_s1073" type="#_x0000_t202" style="position:absolute;left:7059;top:7825;width:900;height:462" filled="f" stroked="f">
              <v:fill opacity="0"/>
              <v:textbox style="mso-next-textbox:#_x0000_s1073">
                <w:txbxContent>
                  <w:p w:rsidR="00896728" w:rsidRPr="00641AA1" w:rsidRDefault="00896728" w:rsidP="00415958">
                    <w:pPr>
                      <w:rPr>
                        <w:rFonts w:ascii="Times New Roman" w:hAnsi="Times New Roman"/>
                        <w:i/>
                      </w:rPr>
                    </w:pPr>
                    <w:r w:rsidRPr="00912C24">
                      <w:rPr>
                        <w:rFonts w:ascii="Times New Roman" w:hAnsi="Times New Roman"/>
                        <w:i/>
                      </w:rPr>
                      <w:t>λ</w:t>
                    </w:r>
                    <w:r>
                      <w:rPr>
                        <w:rFonts w:ascii="Times New Roman" w:hAnsi="Times New Roman"/>
                        <w:i/>
                        <w:vertAlign w:val="subscript"/>
                      </w:rPr>
                      <w:t>m</w:t>
                    </w:r>
                    <w:r>
                      <w:rPr>
                        <w:rFonts w:ascii="Times New Roman" w:hAnsi="Times New Roman"/>
                        <w:i/>
                      </w:rPr>
                      <w:t>(t)</w:t>
                    </w:r>
                  </w:p>
                </w:txbxContent>
              </v:textbox>
            </v:shape>
            <v:shape id="_x0000_s1074" type="#_x0000_t202" style="position:absolute;left:8231;top:7825;width:898;height:462" filled="f" stroked="f">
              <v:fill opacity="0"/>
              <v:textbox style="mso-next-textbox:#_x0000_s1074">
                <w:txbxContent>
                  <w:p w:rsidR="00896728" w:rsidRPr="00641AA1" w:rsidRDefault="00896728" w:rsidP="00415958">
                    <w:pPr>
                      <w:rPr>
                        <w:rFonts w:ascii="Times New Roman" w:hAnsi="Times New Roman"/>
                        <w:i/>
                      </w:rPr>
                    </w:pPr>
                    <w:r w:rsidRPr="00912C24">
                      <w:rPr>
                        <w:rFonts w:ascii="Times New Roman" w:hAnsi="Times New Roman"/>
                        <w:i/>
                      </w:rPr>
                      <w:t>λ</w:t>
                    </w:r>
                    <w:r>
                      <w:rPr>
                        <w:rFonts w:ascii="Times New Roman" w:hAnsi="Times New Roman"/>
                        <w:i/>
                        <w:vertAlign w:val="subscript"/>
                      </w:rPr>
                      <w:t>m</w:t>
                    </w:r>
                    <w:r>
                      <w:rPr>
                        <w:rFonts w:ascii="Times New Roman" w:hAnsi="Times New Roman"/>
                        <w:i/>
                      </w:rPr>
                      <w:t>(t)</w:t>
                    </w:r>
                  </w:p>
                </w:txbxContent>
              </v:textbox>
            </v:shape>
            <w10:anchorlock/>
          </v:group>
        </w:pict>
      </w:r>
    </w:p>
    <w:p w:rsidR="00415958" w:rsidRDefault="00415958" w:rsidP="00415958">
      <w:pPr>
        <w:spacing w:line="360" w:lineRule="auto"/>
        <w:outlineLvl w:val="0"/>
        <w:rPr>
          <w:rFonts w:ascii="Calibri" w:hAnsi="Calibri"/>
          <w:b/>
          <w:sz w:val="24"/>
          <w:szCs w:val="22"/>
          <w:lang w:val="en-US"/>
        </w:rPr>
      </w:pPr>
      <w:r w:rsidRPr="00EF6C4E">
        <w:rPr>
          <w:rFonts w:ascii="Calibri" w:hAnsi="Calibri"/>
          <w:b/>
          <w:szCs w:val="22"/>
          <w:lang w:val="en-US"/>
        </w:rPr>
        <w:br w:type="page"/>
      </w:r>
      <w:r w:rsidRPr="00EF6C4E">
        <w:rPr>
          <w:rFonts w:ascii="Calibri" w:hAnsi="Calibri"/>
          <w:b/>
          <w:sz w:val="24"/>
          <w:szCs w:val="22"/>
          <w:lang w:val="en-US"/>
        </w:rPr>
        <w:lastRenderedPageBreak/>
        <w:t>Equations of the model incorporating maternal immunity (model 2)</w:t>
      </w:r>
    </w:p>
    <w:p w:rsidR="00CF07E8" w:rsidRPr="00EF6C4E" w:rsidRDefault="00CF07E8" w:rsidP="00415958">
      <w:pPr>
        <w:spacing w:line="360" w:lineRule="auto"/>
        <w:outlineLvl w:val="0"/>
        <w:rPr>
          <w:rFonts w:ascii="Calibri" w:hAnsi="Calibri"/>
          <w:b/>
          <w:sz w:val="24"/>
          <w:szCs w:val="22"/>
          <w:lang w:val="en-US"/>
        </w:rPr>
      </w:pPr>
    </w:p>
    <w:p w:rsidR="00415958" w:rsidRPr="00EF6C4E" w:rsidRDefault="00CF07E8" w:rsidP="00415958">
      <w:pPr>
        <w:outlineLvl w:val="0"/>
        <w:rPr>
          <w:rFonts w:ascii="Calibri" w:hAnsi="Calibri" w:cs="Arial"/>
          <w:sz w:val="24"/>
          <w:szCs w:val="22"/>
          <w:lang w:val="en-US"/>
        </w:rPr>
      </w:pPr>
      <w:r w:rsidRPr="00887698">
        <w:rPr>
          <w:b/>
          <w:position w:val="-36"/>
        </w:rPr>
        <w:object w:dxaOrig="8740" w:dyaOrig="9620">
          <v:shape id="_x0000_i1034" type="#_x0000_t75" style="width:437.05pt;height:481.25pt" o:ole="">
            <v:imagedata r:id="rId14" o:title=""/>
          </v:shape>
          <o:OLEObject Type="Embed" ProgID="Equation.3" ShapeID="_x0000_i1034" DrawAspect="Content" ObjectID="_1362734384" r:id="rId15"/>
        </w:object>
      </w:r>
    </w:p>
    <w:p w:rsidR="00415958" w:rsidRPr="00EF6C4E" w:rsidRDefault="00415958" w:rsidP="00415958">
      <w:pPr>
        <w:rPr>
          <w:rFonts w:ascii="Calibri" w:hAnsi="Calibri"/>
          <w:b/>
        </w:rPr>
      </w:pPr>
    </w:p>
    <w:p w:rsidR="00415958" w:rsidRPr="00EF6C4E" w:rsidRDefault="00415958" w:rsidP="00415958">
      <w:pPr>
        <w:outlineLvl w:val="0"/>
        <w:rPr>
          <w:rFonts w:ascii="Calibri" w:hAnsi="Calibri"/>
          <w:b/>
          <w:szCs w:val="22"/>
          <w:lang w:val="en-US"/>
        </w:rPr>
      </w:pPr>
    </w:p>
    <w:p w:rsidR="00415958" w:rsidRPr="00EF6C4E" w:rsidRDefault="00415958" w:rsidP="00415958">
      <w:pPr>
        <w:spacing w:line="360" w:lineRule="auto"/>
        <w:rPr>
          <w:rFonts w:ascii="Calibri" w:hAnsi="Calibri"/>
          <w:b/>
          <w:sz w:val="24"/>
          <w:szCs w:val="22"/>
          <w:lang w:val="en-US"/>
        </w:rPr>
      </w:pPr>
      <w:r w:rsidRPr="00EF6C4E">
        <w:rPr>
          <w:rFonts w:ascii="Calibri" w:hAnsi="Calibri"/>
          <w:b/>
        </w:rPr>
        <w:br w:type="page"/>
      </w:r>
      <w:r w:rsidRPr="00EF6C4E">
        <w:rPr>
          <w:rFonts w:ascii="Calibri" w:hAnsi="Calibri"/>
          <w:b/>
          <w:sz w:val="24"/>
          <w:szCs w:val="22"/>
          <w:lang w:val="en-US"/>
        </w:rPr>
        <w:lastRenderedPageBreak/>
        <w:t>Heterogeneity (model 3)</w:t>
      </w:r>
    </w:p>
    <w:p w:rsidR="00415958" w:rsidRPr="00EF6C4E" w:rsidRDefault="008A3851" w:rsidP="00415958">
      <w:pPr>
        <w:spacing w:line="360" w:lineRule="auto"/>
        <w:outlineLvl w:val="0"/>
        <w:rPr>
          <w:rFonts w:ascii="Calibri" w:hAnsi="Calibri"/>
          <w:sz w:val="24"/>
          <w:szCs w:val="22"/>
          <w:lang w:val="en-US"/>
        </w:rPr>
      </w:pPr>
      <w:r w:rsidRPr="00EF6C4E">
        <w:rPr>
          <w:rFonts w:ascii="Calibri" w:hAnsi="Calibri"/>
          <w:sz w:val="24"/>
          <w:szCs w:val="22"/>
          <w:lang w:val="en-US"/>
        </w:rPr>
        <w:t>M</w:t>
      </w:r>
      <w:r w:rsidR="00415958" w:rsidRPr="00EF6C4E">
        <w:rPr>
          <w:rFonts w:ascii="Calibri" w:hAnsi="Calibri"/>
          <w:sz w:val="24"/>
          <w:szCs w:val="22"/>
          <w:lang w:val="en-US"/>
        </w:rPr>
        <w:t xml:space="preserve">alaria infections are overdispersed, with a few individuals suffering a disproportionate proportion of the disease burden.. </w:t>
      </w:r>
      <w:r w:rsidR="00FC291C" w:rsidRPr="00EF6C4E">
        <w:rPr>
          <w:rFonts w:ascii="Calibri" w:hAnsi="Calibri"/>
          <w:sz w:val="24"/>
          <w:szCs w:val="22"/>
          <w:lang w:val="en-US"/>
        </w:rPr>
        <w:t xml:space="preserve">On average (over several studies) approximately 20% of the population were found to bear 80% of all infections, while the remaining 80% of individuals experienced only 20% </w:t>
      </w:r>
      <w:r w:rsidR="00AA2259" w:rsidRPr="00EF6C4E">
        <w:rPr>
          <w:rFonts w:ascii="Calibri" w:hAnsi="Calibri"/>
          <w:sz w:val="24"/>
          <w:szCs w:val="22"/>
          <w:lang w:val="en-US"/>
        </w:rPr>
        <w:fldChar w:fldCharType="begin"/>
      </w:r>
      <w:r w:rsidR="002441A6">
        <w:rPr>
          <w:rFonts w:ascii="Calibri" w:hAnsi="Calibri"/>
          <w:sz w:val="24"/>
          <w:szCs w:val="22"/>
          <w:lang w:val="en-US"/>
        </w:rPr>
        <w:instrText xml:space="preserve"> ADDIN EN.CITE &lt;EndNote&gt;&lt;Cite&gt;&lt;Author&gt;Smith&lt;/Author&gt;&lt;Year&gt;2005&lt;/Year&gt;&lt;RecNum&gt;370&lt;/RecNum&gt;&lt;record&gt;&lt;rec-number&gt;370&lt;/rec-number&gt;&lt;foreign-keys&gt;&lt;key app="EN" db-id="50vzxafd505dzseevvi5prdyd0vsefrtrrpx"&gt;370&lt;/key&gt;&lt;/foreign-keys&gt;&lt;ref-type name="Journal Article"&gt;17&lt;/ref-type&gt;&lt;contributors&gt;&lt;authors&gt;&lt;author&gt;Smith, D. L.&lt;/author&gt;&lt;author&gt;Dushoff, J.&lt;/author&gt;&lt;author&gt;Snow, R. W.&lt;/author&gt;&lt;author&gt;Hay, S. I.&lt;/author&gt;&lt;/authors&gt;&lt;/contributors&gt;&lt;titles&gt;&lt;title&gt;The entomological inoculation rate and Plasmodium falciparum infection in African children&lt;/title&gt;&lt;secondary-title&gt;Nature&lt;/secondary-title&gt;&lt;/titles&gt;&lt;periodical&gt;&lt;full-title&gt;Nature&lt;/full-title&gt;&lt;/periodical&gt;&lt;pages&gt;492-495&lt;/pages&gt;&lt;volume&gt;438&lt;/volume&gt;&lt;number&gt;7067&lt;/number&gt;&lt;dates&gt;&lt;year&gt;2005&lt;/year&gt;&lt;pub-dates&gt;&lt;date&gt;Nov&lt;/date&gt;&lt;/pub-dates&gt;&lt;/dates&gt;&lt;accession-num&gt;ISI:000233458200048&lt;/accession-num&gt;&lt;urls&gt;&lt;related-urls&gt;&lt;url&gt;&amp;lt;Go to ISI&amp;gt;://000233458200048 &lt;/url&gt;&lt;/related-urls&gt;&lt;pdf-urls&gt;&lt;url&gt;get&lt;/url&gt;&lt;url&gt;file:///C:/Documents%20and%20Settings/Matt%20Cairns/My%20Documents/My%20Documents/1%20PHD/OVERVIEW/SMITH%20EIR%20and%20pfal%20african%20children%20NATURE%202005.pdf&lt;/url&gt;&lt;/pdf-urls&gt;&lt;/urls&gt;&lt;/record&gt;&lt;/Cite&gt;&lt;/EndNote&gt;</w:instrText>
      </w:r>
      <w:r w:rsidR="00AA2259" w:rsidRPr="00EF6C4E">
        <w:rPr>
          <w:rFonts w:ascii="Calibri" w:hAnsi="Calibri"/>
          <w:sz w:val="24"/>
          <w:szCs w:val="22"/>
          <w:lang w:val="en-US"/>
        </w:rPr>
        <w:fldChar w:fldCharType="separate"/>
      </w:r>
      <w:r w:rsidR="005E2935" w:rsidRPr="00EF6C4E">
        <w:rPr>
          <w:rFonts w:ascii="Calibri" w:hAnsi="Calibri"/>
          <w:noProof/>
          <w:sz w:val="24"/>
          <w:szCs w:val="22"/>
          <w:lang w:val="en-US"/>
        </w:rPr>
        <w:t>[11]</w:t>
      </w:r>
      <w:r w:rsidR="00AA2259" w:rsidRPr="00EF6C4E">
        <w:rPr>
          <w:rFonts w:ascii="Calibri" w:hAnsi="Calibri"/>
          <w:sz w:val="24"/>
          <w:szCs w:val="22"/>
          <w:lang w:val="en-US"/>
        </w:rPr>
        <w:fldChar w:fldCharType="end"/>
      </w:r>
      <w:r w:rsidR="00FC291C" w:rsidRPr="00EF6C4E">
        <w:rPr>
          <w:rFonts w:ascii="Calibri" w:hAnsi="Calibri"/>
          <w:sz w:val="24"/>
          <w:szCs w:val="22"/>
          <w:lang w:val="en-US"/>
        </w:rPr>
        <w:t>.</w:t>
      </w:r>
      <w:r w:rsidR="00415958" w:rsidRPr="00EF6C4E">
        <w:rPr>
          <w:rFonts w:ascii="Calibri" w:hAnsi="Calibri"/>
          <w:sz w:val="24"/>
          <w:szCs w:val="22"/>
          <w:lang w:val="en-US"/>
        </w:rPr>
        <w:t xml:space="preserve"> </w:t>
      </w:r>
      <w:r w:rsidR="00FC291C" w:rsidRPr="00EF6C4E">
        <w:rPr>
          <w:rFonts w:ascii="Calibri" w:hAnsi="Calibri"/>
          <w:sz w:val="24"/>
          <w:szCs w:val="22"/>
          <w:lang w:val="en-US"/>
        </w:rPr>
        <w:t>The effect of heterogeneity on the efficacy of different IPT strategies was investigated by creating a human model with two levels of exposure</w:t>
      </w:r>
      <w:r w:rsidR="00C949D6" w:rsidRPr="00EF6C4E">
        <w:rPr>
          <w:rFonts w:ascii="Calibri" w:hAnsi="Calibri"/>
          <w:sz w:val="24"/>
          <w:szCs w:val="22"/>
          <w:lang w:val="en-US"/>
        </w:rPr>
        <w:t xml:space="preserve">, one </w:t>
      </w:r>
      <w:r w:rsidR="00415958" w:rsidRPr="00EF6C4E">
        <w:rPr>
          <w:rFonts w:ascii="Calibri" w:hAnsi="Calibri"/>
          <w:sz w:val="24"/>
          <w:szCs w:val="22"/>
          <w:lang w:val="en-US"/>
        </w:rPr>
        <w:t>represent</w:t>
      </w:r>
      <w:r w:rsidR="00C949D6" w:rsidRPr="00EF6C4E">
        <w:rPr>
          <w:rFonts w:ascii="Calibri" w:hAnsi="Calibri"/>
          <w:sz w:val="24"/>
          <w:szCs w:val="22"/>
          <w:lang w:val="en-US"/>
        </w:rPr>
        <w:t>ing</w:t>
      </w:r>
      <w:r w:rsidR="00415958" w:rsidRPr="00EF6C4E">
        <w:rPr>
          <w:rFonts w:ascii="Calibri" w:hAnsi="Calibri"/>
          <w:sz w:val="24"/>
          <w:szCs w:val="22"/>
          <w:lang w:val="en-US"/>
        </w:rPr>
        <w:t xml:space="preserve"> 20% of the trial cohort who were highly exposed and the other the remaining 80% with low exposure. </w:t>
      </w:r>
      <w:r w:rsidR="005E2468" w:rsidRPr="00EF6C4E">
        <w:rPr>
          <w:rFonts w:ascii="Calibri" w:hAnsi="Calibri"/>
          <w:sz w:val="24"/>
          <w:szCs w:val="22"/>
          <w:lang w:val="en-US"/>
        </w:rPr>
        <w:t>O</w:t>
      </w:r>
      <w:r w:rsidR="00415958" w:rsidRPr="00EF6C4E">
        <w:rPr>
          <w:rFonts w:ascii="Calibri" w:hAnsi="Calibri"/>
          <w:sz w:val="24"/>
          <w:szCs w:val="22"/>
          <w:lang w:val="en-US"/>
        </w:rPr>
        <w:t>nly the force of infection varies</w:t>
      </w:r>
      <w:r w:rsidR="005E2468" w:rsidRPr="00EF6C4E">
        <w:rPr>
          <w:rFonts w:ascii="Calibri" w:hAnsi="Calibri"/>
          <w:sz w:val="24"/>
          <w:szCs w:val="22"/>
          <w:lang w:val="en-US"/>
        </w:rPr>
        <w:t xml:space="preserve"> between the levels</w:t>
      </w:r>
      <w:r w:rsidR="00415958" w:rsidRPr="00EF6C4E">
        <w:rPr>
          <w:rFonts w:ascii="Calibri" w:hAnsi="Calibri"/>
          <w:sz w:val="24"/>
          <w:szCs w:val="22"/>
          <w:lang w:val="en-US"/>
        </w:rPr>
        <w:t xml:space="preserve">. The different levels of the model are given the additional index </w:t>
      </w:r>
      <w:r w:rsidR="00415958" w:rsidRPr="00EF6C4E">
        <w:rPr>
          <w:rFonts w:ascii="Calibri" w:hAnsi="Calibri"/>
          <w:i/>
          <w:sz w:val="24"/>
          <w:szCs w:val="22"/>
          <w:lang w:val="en-US"/>
        </w:rPr>
        <w:t>x</w:t>
      </w:r>
      <w:r w:rsidR="00415958" w:rsidRPr="00EF6C4E">
        <w:rPr>
          <w:rFonts w:ascii="Calibri" w:hAnsi="Calibri"/>
          <w:sz w:val="24"/>
          <w:szCs w:val="22"/>
          <w:lang w:val="en-US"/>
        </w:rPr>
        <w:t xml:space="preserve">: 0 represents the less exposed group and 1 the highly exposed group. </w:t>
      </w:r>
      <w:r w:rsidR="005E2468" w:rsidRPr="00EF6C4E">
        <w:rPr>
          <w:rFonts w:ascii="Calibri" w:hAnsi="Calibri"/>
          <w:sz w:val="24"/>
          <w:szCs w:val="22"/>
          <w:lang w:val="en-US"/>
        </w:rPr>
        <w:t>T</w:t>
      </w:r>
      <w:r w:rsidR="00415958" w:rsidRPr="00EF6C4E">
        <w:rPr>
          <w:rFonts w:ascii="Calibri" w:hAnsi="Calibri"/>
          <w:sz w:val="24"/>
          <w:szCs w:val="22"/>
          <w:lang w:val="en-US"/>
        </w:rPr>
        <w:t xml:space="preserve">he notation for the model incorporating heterogeneity is </w:t>
      </w:r>
      <w:r w:rsidR="005E2468" w:rsidRPr="00EF6C4E">
        <w:rPr>
          <w:rFonts w:ascii="Calibri" w:hAnsi="Calibri"/>
          <w:sz w:val="24"/>
          <w:szCs w:val="22"/>
          <w:lang w:val="en-US"/>
        </w:rPr>
        <w:t xml:space="preserve">thus </w:t>
      </w:r>
      <w:r w:rsidR="00415958" w:rsidRPr="00EF6C4E">
        <w:rPr>
          <w:rFonts w:ascii="Calibri" w:hAnsi="Calibri"/>
          <w:sz w:val="24"/>
          <w:szCs w:val="22"/>
          <w:lang w:val="en-US"/>
        </w:rPr>
        <w:t>a,x,z where a denotes age, x denotes</w:t>
      </w:r>
      <w:r w:rsidR="00415958" w:rsidRPr="00EF6C4E" w:rsidDel="008A5CED">
        <w:rPr>
          <w:rFonts w:ascii="Calibri" w:hAnsi="Calibri"/>
          <w:sz w:val="24"/>
          <w:szCs w:val="22"/>
          <w:lang w:val="en-US"/>
        </w:rPr>
        <w:t xml:space="preserve"> </w:t>
      </w:r>
      <w:r w:rsidR="00415958" w:rsidRPr="00EF6C4E">
        <w:rPr>
          <w:rFonts w:ascii="Calibri" w:hAnsi="Calibri"/>
          <w:sz w:val="24"/>
          <w:szCs w:val="22"/>
          <w:lang w:val="en-US"/>
        </w:rPr>
        <w:t xml:space="preserve">exposure and z denotes intervention group. Implicitly, this assumes that the degree of exposure is independent of access to IPT and treatment, although this can be varied in the model. The impact of high exposure being correlated with poor access to IPT is explored later. </w:t>
      </w:r>
    </w:p>
    <w:p w:rsidR="00415958" w:rsidRPr="00EF6C4E" w:rsidRDefault="00415958" w:rsidP="00415958">
      <w:pPr>
        <w:spacing w:line="360" w:lineRule="auto"/>
        <w:outlineLvl w:val="0"/>
        <w:rPr>
          <w:rFonts w:ascii="Calibri" w:hAnsi="Calibri"/>
          <w:sz w:val="24"/>
          <w:szCs w:val="22"/>
          <w:lang w:val="en-US"/>
        </w:rPr>
      </w:pPr>
    </w:p>
    <w:p w:rsidR="00415958" w:rsidRPr="00EF6C4E" w:rsidRDefault="00415958" w:rsidP="00415958">
      <w:pPr>
        <w:spacing w:line="360" w:lineRule="auto"/>
        <w:outlineLvl w:val="0"/>
        <w:rPr>
          <w:rFonts w:ascii="Calibri" w:hAnsi="Calibri"/>
          <w:sz w:val="24"/>
          <w:szCs w:val="22"/>
          <w:lang w:val="en-US"/>
        </w:rPr>
      </w:pPr>
      <w:r w:rsidRPr="00EF6C4E">
        <w:rPr>
          <w:rFonts w:ascii="Calibri" w:hAnsi="Calibri"/>
          <w:sz w:val="24"/>
          <w:szCs w:val="22"/>
          <w:lang w:val="en-US"/>
        </w:rPr>
        <w:t>In order that the infection burden divides with 80% of infections occurring to 20% of the population and 20% to 80% the force of infection is modified</w:t>
      </w:r>
      <w:r w:rsidR="007C4091" w:rsidRPr="00EF6C4E">
        <w:rPr>
          <w:rFonts w:ascii="Calibri" w:hAnsi="Calibri"/>
          <w:sz w:val="24"/>
          <w:szCs w:val="22"/>
          <w:lang w:val="en-US"/>
        </w:rPr>
        <w:t>. This is</w:t>
      </w:r>
      <w:r w:rsidRPr="00EF6C4E">
        <w:rPr>
          <w:rFonts w:ascii="Calibri" w:hAnsi="Calibri"/>
          <w:sz w:val="24"/>
          <w:szCs w:val="22"/>
          <w:lang w:val="en-US"/>
        </w:rPr>
        <w:t xml:space="preserve"> denoted </w:t>
      </w:r>
      <w:r w:rsidRPr="00EF6C4E">
        <w:rPr>
          <w:rFonts w:ascii="Calibri" w:hAnsi="Calibri"/>
          <w:i/>
          <w:sz w:val="24"/>
          <w:szCs w:val="22"/>
          <w:lang w:val="en-US"/>
        </w:rPr>
        <w:t>λ(x)</w:t>
      </w:r>
      <w:r w:rsidRPr="00EF6C4E">
        <w:rPr>
          <w:rFonts w:ascii="Calibri" w:hAnsi="Calibri"/>
          <w:sz w:val="24"/>
          <w:szCs w:val="22"/>
          <w:lang w:val="en-US"/>
        </w:rPr>
        <w:t>, where x=0 denotes the less exposed grou</w:t>
      </w:r>
      <w:r w:rsidR="007C4091" w:rsidRPr="00EF6C4E">
        <w:rPr>
          <w:rFonts w:ascii="Calibri" w:hAnsi="Calibri"/>
          <w:sz w:val="24"/>
          <w:szCs w:val="22"/>
          <w:lang w:val="en-US"/>
        </w:rPr>
        <w:t>p</w:t>
      </w:r>
      <w:r w:rsidRPr="00EF6C4E">
        <w:rPr>
          <w:rFonts w:ascii="Calibri" w:hAnsi="Calibri"/>
          <w:sz w:val="24"/>
          <w:szCs w:val="22"/>
          <w:lang w:val="en-US"/>
        </w:rPr>
        <w:t xml:space="preserve"> and x=1 the highly exposed group. Children in the highly exposed group receive four times the average recorded daily EIR; children in the lower exposure category receive one quarter of the average daily EIR. This simple scaling of force of infection is chosen for simplicity and ignores additional complications that would occur in reality e.g. that highly exposed children might be at risk of infection throughout a longer period of the year than children with lower exposure.</w:t>
      </w:r>
    </w:p>
    <w:p w:rsidR="00415958" w:rsidRPr="00EF6C4E" w:rsidRDefault="00415958" w:rsidP="00415958">
      <w:pPr>
        <w:outlineLvl w:val="0"/>
        <w:rPr>
          <w:rFonts w:ascii="Calibri" w:hAnsi="Calibri"/>
          <w:b/>
          <w:sz w:val="24"/>
          <w:szCs w:val="22"/>
          <w:lang w:val="en-US"/>
        </w:rPr>
      </w:pPr>
    </w:p>
    <w:p w:rsidR="00415958" w:rsidRPr="00EF6C4E" w:rsidRDefault="00415958" w:rsidP="00415958">
      <w:pPr>
        <w:outlineLvl w:val="0"/>
        <w:rPr>
          <w:rFonts w:ascii="Calibri" w:hAnsi="Calibri"/>
          <w:b/>
          <w:sz w:val="24"/>
          <w:szCs w:val="22"/>
          <w:lang w:val="en-US"/>
        </w:rPr>
      </w:pPr>
    </w:p>
    <w:p w:rsidR="00415958" w:rsidRDefault="00415958" w:rsidP="00415958">
      <w:pPr>
        <w:spacing w:line="360" w:lineRule="auto"/>
        <w:outlineLvl w:val="0"/>
        <w:rPr>
          <w:rFonts w:ascii="Calibri" w:hAnsi="Calibri"/>
          <w:b/>
          <w:sz w:val="24"/>
          <w:szCs w:val="22"/>
          <w:lang w:val="en-US"/>
        </w:rPr>
      </w:pPr>
      <w:r w:rsidRPr="00EF6C4E">
        <w:rPr>
          <w:rFonts w:ascii="Calibri" w:hAnsi="Calibri"/>
          <w:b/>
          <w:sz w:val="24"/>
          <w:szCs w:val="22"/>
          <w:lang w:val="en-US"/>
        </w:rPr>
        <w:br w:type="page"/>
      </w:r>
      <w:r w:rsidRPr="00EF6C4E">
        <w:rPr>
          <w:rFonts w:ascii="Calibri" w:hAnsi="Calibri"/>
          <w:b/>
          <w:sz w:val="24"/>
          <w:szCs w:val="22"/>
          <w:lang w:val="en-US"/>
        </w:rPr>
        <w:lastRenderedPageBreak/>
        <w:t>Equations of the model incorporating heterogeneity (model 3)</w:t>
      </w:r>
    </w:p>
    <w:p w:rsidR="00CF07E8" w:rsidRPr="00EF6C4E" w:rsidRDefault="00CF07E8" w:rsidP="00415958">
      <w:pPr>
        <w:spacing w:line="360" w:lineRule="auto"/>
        <w:outlineLvl w:val="0"/>
        <w:rPr>
          <w:rFonts w:ascii="Calibri" w:hAnsi="Calibri"/>
          <w:b/>
          <w:sz w:val="24"/>
          <w:szCs w:val="22"/>
          <w:lang w:val="en-US"/>
        </w:rPr>
      </w:pPr>
    </w:p>
    <w:p w:rsidR="00415958" w:rsidRPr="00EF6C4E" w:rsidRDefault="00CF07E8" w:rsidP="00415958">
      <w:pPr>
        <w:outlineLvl w:val="0"/>
        <w:rPr>
          <w:rFonts w:ascii="Calibri" w:hAnsi="Calibri"/>
          <w:b/>
          <w:szCs w:val="22"/>
          <w:lang w:val="en-US"/>
        </w:rPr>
      </w:pPr>
      <w:r w:rsidRPr="00730558">
        <w:rPr>
          <w:b/>
          <w:position w:val="-216"/>
          <w:szCs w:val="22"/>
          <w:lang w:val="en-US"/>
        </w:rPr>
        <w:object w:dxaOrig="9680" w:dyaOrig="9540">
          <v:shape id="_x0000_i1035" type="#_x0000_t75" style="width:448.4pt;height:444.65pt" o:ole="">
            <v:imagedata r:id="rId16" o:title=""/>
          </v:shape>
          <o:OLEObject Type="Embed" ProgID="Equation.3" ShapeID="_x0000_i1035" DrawAspect="Content" ObjectID="_1362734385" r:id="rId17"/>
        </w:object>
      </w:r>
    </w:p>
    <w:p w:rsidR="00415958" w:rsidRPr="00EF6C4E" w:rsidRDefault="00415958" w:rsidP="00415958">
      <w:pPr>
        <w:spacing w:line="360" w:lineRule="auto"/>
        <w:rPr>
          <w:rFonts w:ascii="Calibri" w:hAnsi="Calibri"/>
          <w:sz w:val="24"/>
        </w:rPr>
      </w:pPr>
      <w:r w:rsidRPr="00EF6C4E">
        <w:rPr>
          <w:rFonts w:ascii="Calibri" w:hAnsi="Calibri"/>
          <w:b/>
        </w:rPr>
        <w:br w:type="page"/>
      </w:r>
      <w:r w:rsidRPr="00EF6C4E">
        <w:rPr>
          <w:rFonts w:ascii="Calibri" w:hAnsi="Calibri"/>
          <w:b/>
          <w:sz w:val="24"/>
          <w:szCs w:val="22"/>
          <w:lang w:val="en-US"/>
        </w:rPr>
        <w:lastRenderedPageBreak/>
        <w:t>Fitting the models</w:t>
      </w:r>
    </w:p>
    <w:p w:rsidR="00415958" w:rsidRPr="00EF6C4E" w:rsidRDefault="001C415C" w:rsidP="00415958">
      <w:pPr>
        <w:spacing w:line="360" w:lineRule="auto"/>
        <w:outlineLvl w:val="0"/>
        <w:rPr>
          <w:rFonts w:ascii="Calibri" w:hAnsi="Calibri"/>
          <w:b/>
          <w:sz w:val="24"/>
          <w:szCs w:val="22"/>
          <w:lang w:val="en-US"/>
        </w:rPr>
      </w:pPr>
      <w:r w:rsidRPr="00EF6C4E">
        <w:rPr>
          <w:rFonts w:ascii="Calibri" w:hAnsi="Calibri"/>
          <w:sz w:val="24"/>
          <w:szCs w:val="22"/>
          <w:lang w:val="en-US"/>
        </w:rPr>
        <w:t>Fitting the components which describe the duration of IPT protection and the entomological inoculation rate was done first before incorporation into the full model.</w:t>
      </w:r>
    </w:p>
    <w:p w:rsidR="00415958" w:rsidRPr="00EF6C4E" w:rsidRDefault="00415958" w:rsidP="00415958">
      <w:pPr>
        <w:spacing w:line="360" w:lineRule="auto"/>
        <w:outlineLvl w:val="0"/>
        <w:rPr>
          <w:rFonts w:ascii="Calibri" w:hAnsi="Calibri"/>
          <w:sz w:val="24"/>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Fitting the duration of IPT protection</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Since protection after IPT is modelled by delaying return to the uninfected susceptible state (i.e. to a state in which a child can receive an infection that will progress normally) it is necessary to subtract the prepatent period from the time spent protected. A new inoculation received approximately one week before drugs fall below parasiticidal levels may succeed because the liver stage will last between 5-7 days for </w:t>
      </w:r>
      <w:r w:rsidRPr="00EF6C4E">
        <w:rPr>
          <w:rFonts w:ascii="Calibri" w:hAnsi="Calibri"/>
          <w:i/>
          <w:sz w:val="24"/>
          <w:szCs w:val="22"/>
        </w:rPr>
        <w:t>P. falciparum</w:t>
      </w:r>
      <w:r w:rsidRPr="00EF6C4E">
        <w:rPr>
          <w:rFonts w:ascii="Calibri" w:hAnsi="Calibri"/>
          <w:sz w:val="24"/>
          <w:szCs w:val="22"/>
        </w:rPr>
        <w:t xml:space="preserve">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&lt;EndNote&gt;&lt;Cite&gt;&lt;Author&gt;Sinden&lt;/Author&gt;&lt;Year&gt;2002&lt;/Year&gt;&lt;RecNum&gt;381&lt;/RecNum&gt;&lt;record&gt;&lt;rec-number&gt;381&lt;/rec-number&gt;&lt;foreign-keys&gt;&lt;key app="EN" db-id="50vzxafd505dzseevvi5prdyd0vsefrtrrpx"&gt;381&lt;/key&gt;&lt;/foreign-keys&gt;&lt;ref-type name="Book Section"&gt;5&lt;/ref-type&gt;&lt;contributors&gt;&lt;authors&gt;&lt;author&gt;Sinden, R.E&lt;/author&gt;&lt;author&gt;Gilles, H.M&lt;/author&gt;&lt;/authors&gt;&lt;secondary-authors&gt;&lt;author&gt;Warrell, D.A&lt;/author&gt;&lt;author&gt;Gilles, H.M&lt;/author&gt;&lt;/secondary-authors&gt;&lt;/contributors&gt;&lt;titles&gt;&lt;title&gt;The malaria parasites&lt;/title&gt;&lt;secondary-title&gt;Essential malariology&lt;/secondary-title&gt;&lt;/titles&gt;&lt;edition&gt;Fourth Edition&lt;/edition&gt;&lt;dates&gt;&lt;year&gt;2002&lt;/year&gt;&lt;/dates&gt;&lt;pub-location&gt;London&lt;/pub-location&gt;&lt;publisher&gt;Arnold&lt;/publisher&gt;&lt;urls&gt;&lt;/urls&gt;&lt;/record&gt;&lt;/Cite&gt;&lt;/EndNote&gt;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[12]</w:t>
      </w:r>
      <w:r w:rsidR="00AA2259" w:rsidRPr="00EF6C4E">
        <w:rPr>
          <w:rFonts w:ascii="Calibri" w:hAnsi="Calibri"/>
          <w:sz w:val="24"/>
          <w:szCs w:val="22"/>
        </w:rPr>
        <w:fldChar w:fldCharType="end"/>
      </w:r>
      <w:r w:rsidRPr="00EF6C4E">
        <w:rPr>
          <w:rFonts w:ascii="Calibri" w:hAnsi="Calibri"/>
          <w:sz w:val="24"/>
          <w:szCs w:val="22"/>
        </w:rPr>
        <w:t>, during which time SP does not kill the parasites. The duration spent in the protected (I</w:t>
      </w:r>
      <w:r w:rsidRPr="00EF6C4E">
        <w:rPr>
          <w:rFonts w:ascii="Calibri" w:hAnsi="Calibri"/>
          <w:sz w:val="24"/>
          <w:szCs w:val="22"/>
          <w:vertAlign w:val="subscript"/>
        </w:rPr>
        <w:t>i</w:t>
      </w:r>
      <w:r w:rsidRPr="00EF6C4E">
        <w:rPr>
          <w:rFonts w:ascii="Calibri" w:hAnsi="Calibri"/>
          <w:sz w:val="24"/>
          <w:szCs w:val="22"/>
        </w:rPr>
        <w:t xml:space="preserve">) compartments of the model before return to the U compartment is therefore estimated as being between 7-11 days shorter than the observed protection against clinical malaria. This is based on one prepatent period of 5-7 days plus 2-4 days for parasites to complete one or two 48 hour life-cycles to increase parasite density and cause symptoms.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The protective efficacy against clinical malaria approximately follows a gamma distribution with a mean 35 - 40 days (</w:t>
      </w:r>
      <w:r w:rsidR="00F0440C" w:rsidRPr="00EF6C4E">
        <w:rPr>
          <w:rFonts w:ascii="Calibri" w:hAnsi="Calibri"/>
          <w:sz w:val="24"/>
          <w:szCs w:val="22"/>
        </w:rPr>
        <w:t xml:space="preserve">figure </w:t>
      </w:r>
      <w:r w:rsidR="00845607" w:rsidRPr="00EF6C4E">
        <w:rPr>
          <w:rFonts w:ascii="Calibri" w:hAnsi="Calibri"/>
          <w:sz w:val="24"/>
          <w:szCs w:val="22"/>
        </w:rPr>
        <w:t>S6</w:t>
      </w:r>
      <w:r w:rsidRPr="00EF6C4E">
        <w:rPr>
          <w:rFonts w:ascii="Calibri" w:hAnsi="Calibri"/>
          <w:sz w:val="24"/>
          <w:szCs w:val="22"/>
        </w:rPr>
        <w:t xml:space="preserve">). Discounting 7-11 days suggests that the duration spent in the protected compartments of the model should be modelled with a gamma distribution with a mean of 30 days. 35 days appears likely to be a slight overestimate and 20 days slightly conservative.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Analogously, the minimum 14 days of prophylaxis against blood-stage infection with resistant parasites after CQ treatment </w:t>
      </w:r>
      <w:r w:rsidR="00AA2259" w:rsidRPr="00EF6C4E">
        <w:rPr>
          <w:rFonts w:ascii="Calibri" w:hAnsi="Calibri"/>
          <w:sz w:val="24"/>
          <w:szCs w:val="22"/>
        </w:rPr>
        <w:fldChar w:fldCharType="begin"/>
      </w:r>
      <w:r w:rsidR="002441A6">
        <w:rPr>
          <w:rFonts w:ascii="Calibri" w:hAnsi="Calibri"/>
          <w:sz w:val="24"/>
          <w:szCs w:val="22"/>
        </w:rPr>
        <w:instrText xml:space="preserve"> ADDIN EN.CITE &lt;EndNote&gt;&lt;Cite&gt;&lt;Author&gt;White&lt;/Author&gt;&lt;Year&gt;2008&lt;/Year&gt;&lt;RecNum&gt;517&lt;/RecNum&gt;&lt;record&gt;&lt;rec-number&gt;517&lt;/rec-number&gt;&lt;foreign-keys&gt;&lt;key app="EN" db-id="50vzxafd505dzseevvi5prdyd0vsefrtrrpx"&gt;517&lt;/key&gt;&lt;/foreign-keys&gt;&lt;ref-type name="Journal Article"&gt;17&lt;/ref-type&gt;&lt;contributors&gt;&lt;authors&gt;&lt;author&gt;White, N. J.&lt;/author&gt;&lt;/authors&gt;&lt;/contributors&gt;&lt;titles&gt;&lt;title&gt;How antimalarial drug resistance affects post treatment prophylaxis&lt;/title&gt;&lt;secondary-title&gt;Malar J&lt;/secondary-title&gt;&lt;/titles&gt;&lt;periodical&gt;&lt;full-title&gt;Malar J&lt;/full-title&gt;&lt;/periodical&gt;&lt;pages&gt;9&lt;/pages&gt;&lt;volume&gt;7&lt;/volume&gt;&lt;number&gt;1&lt;/number&gt;&lt;dates&gt;&lt;year&gt;2008&lt;/year&gt;&lt;pub-dates&gt;&lt;date&gt;Jan 11&lt;/date&gt;&lt;/pub-dates&gt;&lt;/dates&gt;&lt;isbn&gt;1475-2875 (Electronic)&lt;/isbn&gt;&lt;accession-num&gt;18186948&lt;/accession-num&gt;&lt;urls&gt;&lt;pdf-urls&gt;&lt;url&gt;file:///C:/Documents%20and%20Settings/Matt%20Cairns/My%20Documents/My%20Documents/1%20PHD/OVERVIEW/WHITE%20-%20DR%20and%20post-treat%20proph%20(PTP)%20MAL%20J%202008.pdf&lt;/url&gt;&lt;/pdf-urls&gt;&lt;/urls&gt;&lt;/record&gt;&lt;/Cite&gt;&lt;/EndNote&gt;</w:instrText>
      </w:r>
      <w:r w:rsidR="00AA2259" w:rsidRPr="00EF6C4E">
        <w:rPr>
          <w:rFonts w:ascii="Calibri" w:hAnsi="Calibri"/>
          <w:sz w:val="24"/>
          <w:szCs w:val="22"/>
        </w:rPr>
        <w:fldChar w:fldCharType="separate"/>
      </w:r>
      <w:r w:rsidR="005E2935" w:rsidRPr="00EF6C4E">
        <w:rPr>
          <w:rFonts w:ascii="Calibri" w:hAnsi="Calibri"/>
          <w:noProof/>
          <w:sz w:val="24"/>
          <w:szCs w:val="22"/>
        </w:rPr>
        <w:t>[4]</w:t>
      </w:r>
      <w:r w:rsidR="00AA2259" w:rsidRPr="00EF6C4E">
        <w:rPr>
          <w:rFonts w:ascii="Calibri" w:hAnsi="Calibri"/>
          <w:sz w:val="24"/>
          <w:szCs w:val="22"/>
        </w:rPr>
        <w:fldChar w:fldCharType="end"/>
      </w:r>
      <w:r w:rsidRPr="00EF6C4E">
        <w:rPr>
          <w:rFonts w:ascii="Calibri" w:hAnsi="Calibri"/>
          <w:sz w:val="24"/>
          <w:szCs w:val="22"/>
        </w:rPr>
        <w:t xml:space="preserve"> is modelled with a minimum of 7 days spent in the treatment component to allow for the lag between inoculation and patency. </w:t>
      </w:r>
    </w:p>
    <w:p w:rsidR="00415958" w:rsidRPr="00EF6C4E" w:rsidRDefault="00415958" w:rsidP="00415958">
      <w:pPr>
        <w:rPr>
          <w:rFonts w:ascii="Calibri" w:hAnsi="Calibri"/>
          <w:sz w:val="24"/>
        </w:rPr>
      </w:pPr>
    </w:p>
    <w:p w:rsidR="00415958" w:rsidRPr="00EF6C4E" w:rsidRDefault="00415958" w:rsidP="00415958">
      <w:pPr>
        <w:spacing w:line="360" w:lineRule="auto"/>
        <w:rPr>
          <w:rFonts w:ascii="Calibri" w:hAnsi="Calibri"/>
          <w:b/>
          <w:sz w:val="24"/>
          <w:szCs w:val="22"/>
        </w:rPr>
      </w:pPr>
      <w:r w:rsidRPr="00EF6C4E">
        <w:rPr>
          <w:rFonts w:ascii="Calibri" w:hAnsi="Calibri"/>
          <w:b/>
          <w:sz w:val="24"/>
        </w:rPr>
        <w:br w:type="page"/>
      </w:r>
      <w:r w:rsidR="00B96760" w:rsidRPr="00EF6C4E">
        <w:rPr>
          <w:rFonts w:ascii="Calibri" w:hAnsi="Calibri"/>
          <w:b/>
          <w:sz w:val="24"/>
        </w:rPr>
        <w:lastRenderedPageBreak/>
        <w:t xml:space="preserve">Figure </w:t>
      </w:r>
      <w:r w:rsidR="0068531B" w:rsidRPr="00EF6C4E">
        <w:rPr>
          <w:rFonts w:ascii="Calibri" w:hAnsi="Calibri"/>
          <w:b/>
          <w:sz w:val="24"/>
        </w:rPr>
        <w:t>S6</w:t>
      </w:r>
      <w:r w:rsidR="00B96760" w:rsidRPr="00EF6C4E">
        <w:rPr>
          <w:rFonts w:ascii="Calibri" w:hAnsi="Calibri"/>
          <w:b/>
          <w:sz w:val="24"/>
        </w:rPr>
        <w:t>.</w:t>
      </w:r>
      <w:r w:rsidRPr="00EF6C4E">
        <w:rPr>
          <w:rFonts w:ascii="Calibri" w:hAnsi="Calibri"/>
          <w:b/>
          <w:sz w:val="24"/>
        </w:rPr>
        <w:t xml:space="preserve"> Duration of protection after IPT</w:t>
      </w:r>
    </w:p>
    <w:p w:rsidR="00415958" w:rsidRPr="00EF6C4E" w:rsidRDefault="00AC61F2" w:rsidP="00415958">
      <w:pPr>
        <w:outlineLvl w:val="0"/>
        <w:rPr>
          <w:rFonts w:ascii="Calibri" w:hAnsi="Calibri"/>
          <w:b/>
          <w:sz w:val="24"/>
          <w:szCs w:val="22"/>
        </w:rPr>
      </w:pPr>
      <w:r w:rsidRPr="00AA2259">
        <w:rPr>
          <w:rFonts w:ascii="Calibri" w:hAnsi="Calibri"/>
          <w:sz w:val="24"/>
        </w:rPr>
        <w:pict>
          <v:shape id="_x0000_i1036" type="#_x0000_t75" style="width:391.6pt;height:214.75pt">
            <v:imagedata r:id="rId18" o:title=""/>
          </v:shape>
        </w:pict>
      </w:r>
    </w:p>
    <w:p w:rsidR="00415958" w:rsidRPr="00EF6C4E" w:rsidRDefault="00415958" w:rsidP="00415958">
      <w:pPr>
        <w:outlineLvl w:val="0"/>
        <w:rPr>
          <w:rFonts w:ascii="Calibri" w:hAnsi="Calibri"/>
          <w:sz w:val="24"/>
        </w:rPr>
      </w:pPr>
      <w:r w:rsidRPr="00EF6C4E">
        <w:rPr>
          <w:rFonts w:ascii="Calibri" w:hAnsi="Calibri"/>
          <w:sz w:val="24"/>
        </w:rPr>
        <w:t>Proportion of those treated with IPT remaining in the protected compartments of the model (delay before returning to U compartment) by time, with total mean duration of protection set at 20, 30, 35 and 40 days. Protective efficacy of SP against clinical malaria from</w:t>
      </w:r>
      <w:r w:rsidR="00F0440C" w:rsidRPr="00EF6C4E">
        <w:rPr>
          <w:rFonts w:ascii="Calibri" w:hAnsi="Calibri"/>
          <w:sz w:val="24"/>
        </w:rPr>
        <w:t xml:space="preserve"> Cairns et al. </w:t>
      </w:r>
      <w:r w:rsidR="00AA2259" w:rsidRPr="00EF6C4E">
        <w:rPr>
          <w:rFonts w:ascii="Calibri" w:hAnsi="Calibri"/>
          <w:sz w:val="24"/>
        </w:rPr>
        <w:fldChar w:fldCharType="begin"/>
      </w:r>
      <w:r w:rsidR="002441A6">
        <w:rPr>
          <w:rFonts w:ascii="Calibri" w:hAnsi="Calibri"/>
          <w:sz w:val="24"/>
        </w:rPr>
        <w:instrText xml:space="preserve"> ADDIN EN.CITE &lt;EndNote&gt;&lt;Cite ExcludeAuth="1"&gt;&lt;Year&gt;2008&lt;/Year&gt;&lt;RecNum&gt;558&lt;/RecNum&gt;&lt;record&gt;&lt;rec-number&gt;558&lt;/rec-number&gt;&lt;foreign-keys&gt;&lt;key app="EN" db-id="50vzxafd505dzseevvi5prdyd0vsefrtrrpx"&gt;558&lt;/key&gt;&lt;/foreign-keys&gt;&lt;ref-type name="Journal Article"&gt;17&lt;/ref-type&gt;&lt;contributors&gt;&lt;authors&gt;&lt;author&gt;Cairns, Matthew&lt;/author&gt;&lt;author&gt;Carneiro, Ilona&lt;/author&gt;&lt;author&gt;Milligan, Paul&lt;/author&gt;&lt;author&gt;Owusu-Agyei, Seth&lt;/author&gt;&lt;author&gt;Awine, Timothy&lt;/author&gt;&lt;author&gt;Gosling, Roly&lt;/author&gt;&lt;author&gt;Greenwood, Brian&lt;/author&gt;&lt;author&gt;Chandramohan, Daniel&lt;/author&gt;&lt;/authors&gt;&lt;/contributors&gt;&lt;titles&gt;&lt;title&gt;Duration of Protection against Malaria and Anaemia Provided by Intermittent Preventive Treatment in Infants in Navrongo, Ghana&lt;/title&gt;&lt;secondary-title&gt;PLoS ONE&lt;/secondary-title&gt;&lt;/titles&gt;&lt;periodical&gt;&lt;full-title&gt;PLoS ONE&lt;/full-title&gt;&lt;/periodical&gt;&lt;pages&gt;e2227&lt;/pages&gt;&lt;volume&gt;3&lt;/volume&gt;&lt;number&gt;5&lt;/number&gt;&lt;dates&gt;&lt;year&gt;2008&lt;/year&gt;&lt;/dates&gt;&lt;publisher&gt;Public Library of Science&lt;/publisher&gt;&lt;urls&gt;&lt;related-urls&gt;&lt;url&gt;http://dx.doi.org/10.1371%2Fjournal.pone.0002227 &lt;/url&gt;&lt;/related-urls&gt;&lt;pdf-urls&gt;&lt;url&gt;file:///C:/Documents%20and%20Settings/Matt%20Cairns/My%20Documents/My%20Documents/1%20PHD/OVERVIEW/CAIRNS%20duration%20of%20IPT%20protection%20PLoS%20ONE%202008.pdf&lt;/url&gt;&lt;/pdf-urls&gt;&lt;/urls&gt;&lt;/record&gt;&lt;/Cite&gt;&lt;/EndNote&gt;</w:instrText>
      </w:r>
      <w:r w:rsidR="00AA2259" w:rsidRPr="00EF6C4E">
        <w:rPr>
          <w:rFonts w:ascii="Calibri" w:hAnsi="Calibri"/>
          <w:sz w:val="24"/>
        </w:rPr>
        <w:fldChar w:fldCharType="separate"/>
      </w:r>
      <w:r w:rsidR="005E2935" w:rsidRPr="00EF6C4E">
        <w:rPr>
          <w:rFonts w:ascii="Calibri" w:hAnsi="Calibri"/>
          <w:noProof/>
          <w:sz w:val="24"/>
        </w:rPr>
        <w:t>[7]</w:t>
      </w:r>
      <w:r w:rsidR="00AA2259" w:rsidRPr="00EF6C4E">
        <w:rPr>
          <w:rFonts w:ascii="Calibri" w:hAnsi="Calibri"/>
          <w:sz w:val="24"/>
        </w:rPr>
        <w:fldChar w:fldCharType="end"/>
      </w:r>
      <w:r w:rsidR="00F0440C" w:rsidRPr="00EF6C4E">
        <w:rPr>
          <w:rFonts w:ascii="Calibri" w:hAnsi="Calibri"/>
          <w:sz w:val="24"/>
        </w:rPr>
        <w:t xml:space="preserve"> is also shown</w:t>
      </w:r>
      <w:r w:rsidRPr="00EF6C4E">
        <w:rPr>
          <w:rFonts w:ascii="Calibri" w:hAnsi="Calibri"/>
          <w:sz w:val="24"/>
        </w:rPr>
        <w:t>.</w:t>
      </w:r>
    </w:p>
    <w:p w:rsidR="00415958" w:rsidRPr="00EF6C4E" w:rsidRDefault="00415958" w:rsidP="00415958">
      <w:pPr>
        <w:outlineLvl w:val="0"/>
        <w:rPr>
          <w:rFonts w:ascii="Calibri" w:hAnsi="Calibri"/>
          <w:b/>
          <w:sz w:val="24"/>
          <w:szCs w:val="22"/>
        </w:rPr>
      </w:pPr>
    </w:p>
    <w:p w:rsidR="00415958" w:rsidRPr="00EF6C4E" w:rsidRDefault="00415958" w:rsidP="00415958">
      <w:pPr>
        <w:outlineLvl w:val="0"/>
        <w:rPr>
          <w:rFonts w:ascii="Calibri" w:hAnsi="Calibri"/>
          <w:b/>
          <w:sz w:val="24"/>
          <w:szCs w:val="22"/>
        </w:rPr>
      </w:pPr>
    </w:p>
    <w:p w:rsidR="00415958" w:rsidRPr="00EF6C4E" w:rsidRDefault="00415958" w:rsidP="00415958">
      <w:pPr>
        <w:spacing w:line="360" w:lineRule="auto"/>
        <w:outlineLvl w:val="0"/>
        <w:rPr>
          <w:rFonts w:ascii="Calibri" w:hAnsi="Calibri"/>
          <w:b/>
          <w:sz w:val="24"/>
          <w:szCs w:val="22"/>
        </w:rPr>
      </w:pPr>
      <w:r w:rsidRPr="00EF6C4E">
        <w:rPr>
          <w:rFonts w:ascii="Calibri" w:hAnsi="Calibri"/>
          <w:b/>
          <w:sz w:val="24"/>
          <w:szCs w:val="22"/>
        </w:rPr>
        <w:t>Fitting the entomological inoculation rate</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Data on the entomological inoculation rate for the Kassena-Nankana district between November 2001 – October 2004 were </w:t>
      </w:r>
      <w:r w:rsidR="007C4091" w:rsidRPr="00EF6C4E">
        <w:rPr>
          <w:rFonts w:ascii="Calibri" w:hAnsi="Calibri"/>
          <w:sz w:val="24"/>
          <w:szCs w:val="22"/>
        </w:rPr>
        <w:t>used</w:t>
      </w:r>
      <w:r w:rsidRPr="00EF6C4E">
        <w:rPr>
          <w:rFonts w:ascii="Calibri" w:hAnsi="Calibri"/>
          <w:sz w:val="24"/>
          <w:szCs w:val="22"/>
        </w:rPr>
        <w:t xml:space="preserve"> </w:t>
      </w:r>
      <w:r w:rsidR="002441A6" w:rsidRPr="002C4968">
        <w:rPr>
          <w:sz w:val="22"/>
          <w:szCs w:val="22"/>
        </w:rPr>
        <w:t>(</w:t>
      </w:r>
      <w:r w:rsidR="002441A6" w:rsidRPr="00E4487E">
        <w:rPr>
          <w:sz w:val="22"/>
          <w:szCs w:val="22"/>
          <w:highlight w:val="yellow"/>
        </w:rPr>
        <w:t xml:space="preserve">Anto et al. </w:t>
      </w:r>
      <w:r w:rsidR="00AA2259" w:rsidRPr="00E4487E">
        <w:rPr>
          <w:sz w:val="22"/>
          <w:szCs w:val="22"/>
          <w:highlight w:val="yellow"/>
        </w:rPr>
        <w:fldChar w:fldCharType="begin"/>
      </w:r>
      <w:r w:rsidR="002441A6">
        <w:rPr>
          <w:sz w:val="22"/>
          <w:szCs w:val="22"/>
          <w:highlight w:val="yellow"/>
        </w:rPr>
        <w:instrText xml:space="preserve"> ADDIN EN.CITE &lt;EndNote&gt;&lt;Cite ExcludeAuth="1"&gt;&lt;Year&gt;2004&lt;/Year&gt;&lt;RecNum&gt;689&lt;/RecNum&gt;&lt;record&gt;&lt;rec-number&gt;689&lt;/rec-number&gt;&lt;foreign-keys&gt;&lt;key app="EN" db-id="50vzxafd505dzseevvi5prdyd0vsefrtrrpx"&gt;689&lt;/key&gt;&lt;/foreign-keys&gt;&lt;ref-type name="Unpublished Work"&gt;34&lt;/ref-type&gt;&lt;contributors&gt;&lt;authors&gt;&lt;author&gt;Anto, F.&lt;/author&gt;&lt;author&gt;Tindana, C.&lt;/author&gt;&lt;author&gt;Asoala, V.&lt;/author&gt;&lt;author&gt;Awini, E.&lt;/author&gt;&lt;author&gt;Adjuik, M.&lt;/author&gt;&lt;author&gt;Owusu Agyei, S.&lt;/author&gt;&lt;/authors&gt;&lt;/contributors&gt;&lt;titles&gt;&lt;title&gt;Entomological inoculation rate in Kassena Nankana District, Ghana: Nov 2001 to October 2004 (unpublished data)&lt;/title&gt;&lt;/titles&gt;&lt;dates&gt;&lt;year&gt;2004&lt;/year&gt;&lt;/dates&gt;&lt;urls&gt;&lt;/urls&gt;&lt;/record&gt;&lt;/Cite&gt;&lt;/EndNote&gt;</w:instrText>
      </w:r>
      <w:r w:rsidR="00AA2259" w:rsidRPr="00E4487E">
        <w:rPr>
          <w:sz w:val="22"/>
          <w:szCs w:val="22"/>
          <w:highlight w:val="yellow"/>
        </w:rPr>
        <w:fldChar w:fldCharType="separate"/>
      </w:r>
      <w:r w:rsidR="002441A6">
        <w:rPr>
          <w:noProof/>
          <w:sz w:val="22"/>
          <w:szCs w:val="22"/>
          <w:highlight w:val="yellow"/>
        </w:rPr>
        <w:t>[13]</w:t>
      </w:r>
      <w:r w:rsidR="00AA2259" w:rsidRPr="00E4487E">
        <w:rPr>
          <w:sz w:val="22"/>
          <w:szCs w:val="22"/>
          <w:highlight w:val="yellow"/>
        </w:rPr>
        <w:fldChar w:fldCharType="end"/>
      </w:r>
      <w:r w:rsidR="002441A6" w:rsidRPr="00E4487E">
        <w:rPr>
          <w:sz w:val="22"/>
          <w:szCs w:val="22"/>
          <w:highlight w:val="yellow"/>
        </w:rPr>
        <w:t>, unpublished</w:t>
      </w:r>
      <w:r w:rsidR="002441A6" w:rsidRPr="002C4968">
        <w:rPr>
          <w:sz w:val="22"/>
          <w:szCs w:val="22"/>
        </w:rPr>
        <w:t>)</w:t>
      </w:r>
      <w:r w:rsidRPr="00EF6C4E">
        <w:rPr>
          <w:rFonts w:ascii="Calibri" w:hAnsi="Calibri"/>
          <w:sz w:val="24"/>
          <w:szCs w:val="22"/>
        </w:rPr>
        <w:t>.</w:t>
      </w:r>
      <w:r w:rsidR="005C20FF" w:rsidRPr="00EF6C4E">
        <w:rPr>
          <w:rFonts w:ascii="Calibri" w:hAnsi="Calibri"/>
          <w:sz w:val="24"/>
          <w:szCs w:val="22"/>
        </w:rPr>
        <w:t xml:space="preserve"> </w:t>
      </w:r>
      <w:r w:rsidRPr="00EF6C4E">
        <w:rPr>
          <w:rFonts w:ascii="Calibri" w:hAnsi="Calibri"/>
          <w:sz w:val="24"/>
          <w:szCs w:val="22"/>
        </w:rPr>
        <w:t>A function describing the log EIR was used to model seasonality. The functions were Fourier series of the form:</w:t>
      </w:r>
    </w:p>
    <w:p w:rsidR="00415958" w:rsidRPr="00EF6C4E" w:rsidRDefault="00415958" w:rsidP="00415958">
      <w:pPr>
        <w:spacing w:line="360" w:lineRule="auto"/>
        <w:rPr>
          <w:rFonts w:ascii="Calibri" w:hAnsi="Calibri"/>
          <w:sz w:val="24"/>
          <w:szCs w:val="22"/>
        </w:rPr>
      </w:pPr>
    </w:p>
    <w:p w:rsidR="00415958" w:rsidRPr="00EF6C4E" w:rsidRDefault="00AA2259" w:rsidP="00415958">
      <w:pPr>
        <w:spacing w:line="360" w:lineRule="auto"/>
        <w:ind w:firstLine="720"/>
        <w:rPr>
          <w:rFonts w:ascii="Calibri" w:hAnsi="Calibri"/>
          <w:sz w:val="24"/>
          <w:szCs w:val="22"/>
        </w:rPr>
      </w:pPr>
      <w:r w:rsidRPr="00AA2259">
        <w:rPr>
          <w:rFonts w:ascii="Calibri" w:hAnsi="Calibri"/>
          <w:position w:val="-28"/>
          <w:sz w:val="24"/>
          <w:szCs w:val="22"/>
        </w:rPr>
        <w:pict>
          <v:shape id="_x0000_i1037" type="#_x0000_t75" style="width:336pt;height:35.35pt">
            <v:imagedata r:id="rId19"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The term a</w:t>
      </w:r>
      <w:r w:rsidRPr="00EF6C4E">
        <w:rPr>
          <w:rFonts w:ascii="Calibri" w:hAnsi="Calibri"/>
          <w:sz w:val="24"/>
          <w:szCs w:val="22"/>
          <w:vertAlign w:val="subscript"/>
        </w:rPr>
        <w:t>0</w:t>
      </w:r>
      <w:r w:rsidRPr="00EF6C4E">
        <w:rPr>
          <w:rFonts w:ascii="Calibri" w:hAnsi="Calibri"/>
          <w:sz w:val="24"/>
          <w:szCs w:val="22"/>
        </w:rPr>
        <w:t>/2 is the the mean value of the function, and a</w:t>
      </w:r>
      <w:r w:rsidRPr="00EF6C4E">
        <w:rPr>
          <w:rFonts w:ascii="Calibri" w:hAnsi="Calibri"/>
          <w:sz w:val="24"/>
          <w:szCs w:val="22"/>
          <w:vertAlign w:val="subscript"/>
        </w:rPr>
        <w:t>n</w:t>
      </w:r>
      <w:r w:rsidRPr="00EF6C4E">
        <w:rPr>
          <w:rFonts w:ascii="Calibri" w:hAnsi="Calibri"/>
          <w:sz w:val="24"/>
          <w:szCs w:val="22"/>
        </w:rPr>
        <w:t xml:space="preserve"> and b</w:t>
      </w:r>
      <w:r w:rsidRPr="00EF6C4E">
        <w:rPr>
          <w:rFonts w:ascii="Calibri" w:hAnsi="Calibri"/>
          <w:sz w:val="24"/>
          <w:szCs w:val="22"/>
          <w:vertAlign w:val="subscript"/>
        </w:rPr>
        <w:t>n</w:t>
      </w:r>
      <w:r w:rsidRPr="00EF6C4E">
        <w:rPr>
          <w:rFonts w:ascii="Calibri" w:hAnsi="Calibri"/>
          <w:sz w:val="24"/>
          <w:szCs w:val="22"/>
        </w:rPr>
        <w:t xml:space="preserve"> are a series of fourier coefficients. The parameters a</w:t>
      </w:r>
      <w:r w:rsidRPr="00EF6C4E">
        <w:rPr>
          <w:rFonts w:ascii="Calibri" w:hAnsi="Calibri"/>
          <w:sz w:val="24"/>
          <w:szCs w:val="22"/>
          <w:vertAlign w:val="subscript"/>
        </w:rPr>
        <w:t>0</w:t>
      </w:r>
      <w:r w:rsidRPr="00EF6C4E">
        <w:rPr>
          <w:rFonts w:ascii="Calibri" w:hAnsi="Calibri"/>
          <w:sz w:val="24"/>
          <w:szCs w:val="22"/>
        </w:rPr>
        <w:t>, a</w:t>
      </w:r>
      <w:r w:rsidRPr="00EF6C4E">
        <w:rPr>
          <w:rFonts w:ascii="Calibri" w:hAnsi="Calibri"/>
          <w:sz w:val="24"/>
          <w:szCs w:val="22"/>
          <w:vertAlign w:val="subscript"/>
        </w:rPr>
        <w:t>1…n</w:t>
      </w:r>
      <w:r w:rsidRPr="00EF6C4E">
        <w:rPr>
          <w:rFonts w:ascii="Calibri" w:hAnsi="Calibri"/>
          <w:sz w:val="24"/>
          <w:szCs w:val="22"/>
        </w:rPr>
        <w:t>, b</w:t>
      </w:r>
      <w:r w:rsidRPr="00EF6C4E">
        <w:rPr>
          <w:rFonts w:ascii="Calibri" w:hAnsi="Calibri"/>
          <w:sz w:val="24"/>
          <w:szCs w:val="22"/>
          <w:vertAlign w:val="subscript"/>
        </w:rPr>
        <w:t>1…n</w:t>
      </w:r>
      <w:r w:rsidRPr="00EF6C4E">
        <w:rPr>
          <w:rFonts w:ascii="Calibri" w:hAnsi="Calibri"/>
          <w:sz w:val="24"/>
          <w:szCs w:val="22"/>
        </w:rPr>
        <w:t>, N and T were allowed to vary in order to provide the best fit to the EIR data for each year. Fits to data from each of the four years were performed separately using least squares in Berkeley-Madonna. The fitted functions for EIR in each year were then combined together to give a smooth function for the EIR during the entire study period (</w:t>
      </w:r>
      <w:r w:rsidR="00845607" w:rsidRPr="00EF6C4E">
        <w:rPr>
          <w:rFonts w:ascii="Calibri" w:hAnsi="Calibri"/>
          <w:sz w:val="24"/>
          <w:szCs w:val="22"/>
        </w:rPr>
        <w:t>figure S7</w:t>
      </w:r>
      <w:r w:rsidRPr="00EF6C4E">
        <w:rPr>
          <w:rFonts w:ascii="Calibri" w:hAnsi="Calibri"/>
          <w:sz w:val="24"/>
          <w:szCs w:val="22"/>
        </w:rPr>
        <w:t xml:space="preserve">). </w:t>
      </w:r>
    </w:p>
    <w:p w:rsidR="00415958" w:rsidRPr="00EF6C4E" w:rsidRDefault="00415958" w:rsidP="00415958">
      <w:pPr>
        <w:spacing w:line="360" w:lineRule="auto"/>
        <w:rPr>
          <w:rFonts w:ascii="Calibri" w:hAnsi="Calibri"/>
          <w:b/>
          <w:sz w:val="24"/>
          <w:szCs w:val="22"/>
          <w:u w:val="single"/>
        </w:rPr>
      </w:pPr>
      <w:r w:rsidRPr="00EF6C4E" w:rsidDel="00A97F65">
        <w:rPr>
          <w:rFonts w:ascii="Calibri" w:hAnsi="Calibri"/>
          <w:sz w:val="24"/>
          <w:szCs w:val="22"/>
        </w:rPr>
        <w:lastRenderedPageBreak/>
        <w:t xml:space="preserve"> </w:t>
      </w:r>
    </w:p>
    <w:p w:rsidR="00415958" w:rsidRPr="00EF6C4E" w:rsidRDefault="00415958" w:rsidP="00415958">
      <w:pPr>
        <w:spacing w:line="360" w:lineRule="auto"/>
        <w:rPr>
          <w:rFonts w:ascii="Calibri" w:hAnsi="Calibri"/>
          <w:b/>
          <w:sz w:val="24"/>
        </w:rPr>
      </w:pPr>
      <w:r w:rsidRPr="00EF6C4E">
        <w:rPr>
          <w:rFonts w:ascii="Calibri" w:hAnsi="Calibri"/>
          <w:b/>
          <w:sz w:val="24"/>
        </w:rPr>
        <w:t xml:space="preserve">Figure </w:t>
      </w:r>
      <w:r w:rsidR="0068531B" w:rsidRPr="00EF6C4E">
        <w:rPr>
          <w:rFonts w:ascii="Calibri" w:hAnsi="Calibri"/>
          <w:b/>
          <w:sz w:val="24"/>
        </w:rPr>
        <w:t>S7</w:t>
      </w:r>
      <w:r w:rsidR="00B96760" w:rsidRPr="00EF6C4E">
        <w:rPr>
          <w:rFonts w:ascii="Calibri" w:hAnsi="Calibri"/>
          <w:b/>
          <w:sz w:val="24"/>
        </w:rPr>
        <w:t>.</w:t>
      </w:r>
      <w:r w:rsidRPr="00EF6C4E">
        <w:rPr>
          <w:rFonts w:ascii="Calibri" w:hAnsi="Calibri"/>
          <w:b/>
          <w:sz w:val="24"/>
        </w:rPr>
        <w:t xml:space="preserve"> Entomological inoculation rate during the IPTi trial </w:t>
      </w:r>
    </w:p>
    <w:p w:rsidR="00415958" w:rsidRPr="00EF6C4E" w:rsidRDefault="00AC61F2" w:rsidP="00415958">
      <w:pPr>
        <w:rPr>
          <w:rFonts w:ascii="Calibri" w:hAnsi="Calibri"/>
          <w:sz w:val="24"/>
          <w:szCs w:val="22"/>
        </w:rPr>
      </w:pPr>
      <w:r w:rsidRPr="00AA2259">
        <w:rPr>
          <w:rFonts w:ascii="Calibri" w:hAnsi="Calibri"/>
          <w:sz w:val="24"/>
        </w:rPr>
        <w:pict>
          <v:shape id="_x0000_i1038" type="#_x0000_t75" style="width:423.15pt;height:209.7pt">
            <v:imagedata r:id="rId20" o:title=""/>
          </v:shape>
        </w:pict>
      </w:r>
    </w:p>
    <w:p w:rsidR="00415958" w:rsidRPr="00EF6C4E" w:rsidRDefault="00415958" w:rsidP="00415958">
      <w:pPr>
        <w:rPr>
          <w:rFonts w:ascii="Calibri" w:hAnsi="Calibri"/>
          <w:sz w:val="24"/>
          <w:szCs w:val="22"/>
        </w:rPr>
      </w:pPr>
      <w:r w:rsidRPr="00EF6C4E">
        <w:rPr>
          <w:rFonts w:ascii="Calibri" w:hAnsi="Calibri"/>
          <w:sz w:val="24"/>
        </w:rPr>
        <w:t xml:space="preserve">Points show data on estimated EIR by Anto et al </w:t>
      </w:r>
      <w:r w:rsidR="007C4091" w:rsidRPr="00EF6C4E">
        <w:rPr>
          <w:rFonts w:ascii="Calibri" w:hAnsi="Calibri"/>
          <w:sz w:val="24"/>
        </w:rPr>
        <w:t>(unpublished data)</w:t>
      </w:r>
      <w:r w:rsidRPr="00EF6C4E">
        <w:rPr>
          <w:rFonts w:ascii="Calibri" w:hAnsi="Calibri"/>
          <w:sz w:val="24"/>
        </w:rPr>
        <w:t>. The line shows the EIR function fitted in the model.</w:t>
      </w:r>
    </w:p>
    <w:p w:rsidR="00415958" w:rsidRPr="00EF6C4E" w:rsidRDefault="00415958" w:rsidP="00415958">
      <w:pPr>
        <w:rPr>
          <w:rFonts w:ascii="Calibri" w:hAnsi="Calibri"/>
          <w:sz w:val="24"/>
          <w:szCs w:val="22"/>
        </w:rPr>
      </w:pPr>
    </w:p>
    <w:p w:rsidR="00415958" w:rsidRPr="00EF6C4E" w:rsidRDefault="00415958" w:rsidP="00415958">
      <w:pPr>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Fitting the models to malaria incidence data</w:t>
      </w:r>
    </w:p>
    <w:p w:rsidR="001C415C" w:rsidRPr="00EF6C4E" w:rsidRDefault="001C415C" w:rsidP="001C415C">
      <w:pPr>
        <w:spacing w:line="360" w:lineRule="auto"/>
        <w:rPr>
          <w:rFonts w:ascii="Calibri" w:hAnsi="Calibri"/>
          <w:sz w:val="24"/>
          <w:szCs w:val="22"/>
        </w:rPr>
      </w:pPr>
      <w:r w:rsidRPr="00EF6C4E">
        <w:rPr>
          <w:rFonts w:ascii="Calibri" w:hAnsi="Calibri"/>
          <w:sz w:val="24"/>
          <w:szCs w:val="22"/>
          <w:lang w:val="en-US"/>
        </w:rPr>
        <w:t xml:space="preserve">All three models were fitted to the data using the approach described below. Malaria incidence data from the Navrongo trial was used for the final fit of the models. </w:t>
      </w:r>
      <w:r w:rsidRPr="00EF6C4E">
        <w:rPr>
          <w:rFonts w:ascii="Calibri" w:hAnsi="Calibri"/>
          <w:sz w:val="24"/>
          <w:szCs w:val="22"/>
        </w:rPr>
        <w:t xml:space="preserve">For all three models, </w:t>
      </w:r>
      <w:r w:rsidR="00415958" w:rsidRPr="00EF6C4E">
        <w:rPr>
          <w:rFonts w:ascii="Calibri" w:hAnsi="Calibri"/>
          <w:sz w:val="24"/>
          <w:szCs w:val="22"/>
        </w:rPr>
        <w:t xml:space="preserve">malaria incidence by the end of each month in the model was fitted to monthly cumulative incidence data from the Navrongo trial cohort. Cumulative malaria incidence in the model was fitted simultaneously to incidence data from the four groups enrolled in the trial (infants and one year old children in the SP and placebo groups). Fitting was carried out by varying parameters in the model in order to maximise the binomial log-likelihood function, using the optimize algorithm in Berkeley Madonna. </w:t>
      </w:r>
      <w:r w:rsidRPr="00EF6C4E">
        <w:rPr>
          <w:rFonts w:ascii="Calibri" w:hAnsi="Calibri"/>
          <w:sz w:val="24"/>
          <w:szCs w:val="22"/>
        </w:rPr>
        <w:t xml:space="preserve">Model parameters and ranges are described in table S3. </w:t>
      </w:r>
    </w:p>
    <w:p w:rsidR="001C415C" w:rsidRPr="00EF6C4E" w:rsidRDefault="001C415C" w:rsidP="001C415C">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The log-likelihood was calculated for each month as:</w:t>
      </w:r>
    </w:p>
    <w:p w:rsidR="00415958" w:rsidRPr="00EF6C4E" w:rsidRDefault="00415958" w:rsidP="00415958">
      <w:pPr>
        <w:spacing w:line="360" w:lineRule="auto"/>
        <w:rPr>
          <w:rFonts w:ascii="Calibri" w:hAnsi="Calibri"/>
          <w:sz w:val="24"/>
          <w:szCs w:val="22"/>
        </w:rPr>
      </w:pPr>
    </w:p>
    <w:p w:rsidR="00415958" w:rsidRPr="00EF6C4E" w:rsidRDefault="00AA2259" w:rsidP="00415958">
      <w:pPr>
        <w:spacing w:line="360" w:lineRule="auto"/>
        <w:ind w:firstLine="720"/>
        <w:rPr>
          <w:rFonts w:ascii="Calibri" w:hAnsi="Calibri"/>
          <w:sz w:val="24"/>
          <w:szCs w:val="22"/>
        </w:rPr>
      </w:pPr>
      <w:r w:rsidRPr="00AA2259">
        <w:rPr>
          <w:rFonts w:ascii="Calibri" w:hAnsi="Calibri"/>
          <w:position w:val="-10"/>
          <w:sz w:val="24"/>
        </w:rPr>
        <w:pict>
          <v:shape id="_x0000_i1039" type="#_x0000_t75" style="width:120pt;height:15.15pt">
            <v:imagedata r:id="rId21"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lastRenderedPageBreak/>
        <w:t xml:space="preserve">where </w:t>
      </w:r>
      <w:r w:rsidRPr="00EF6C4E">
        <w:rPr>
          <w:rFonts w:ascii="Calibri" w:hAnsi="Calibri"/>
          <w:i/>
          <w:sz w:val="24"/>
          <w:szCs w:val="22"/>
        </w:rPr>
        <w:t>x</w:t>
      </w:r>
      <w:r w:rsidRPr="00EF6C4E">
        <w:rPr>
          <w:rFonts w:ascii="Calibri" w:hAnsi="Calibri"/>
          <w:sz w:val="24"/>
          <w:szCs w:val="22"/>
        </w:rPr>
        <w:t xml:space="preserve"> is the number of malaria cases (in the data), </w:t>
      </w:r>
      <w:r w:rsidRPr="00EF6C4E">
        <w:rPr>
          <w:rFonts w:ascii="Calibri" w:hAnsi="Calibri"/>
          <w:i/>
          <w:sz w:val="24"/>
          <w:szCs w:val="22"/>
        </w:rPr>
        <w:t>n</w:t>
      </w:r>
      <w:r w:rsidRPr="00EF6C4E">
        <w:rPr>
          <w:rFonts w:ascii="Calibri" w:hAnsi="Calibri"/>
          <w:sz w:val="24"/>
          <w:szCs w:val="22"/>
        </w:rPr>
        <w:t xml:space="preserve"> is the number of children at risk (in the data) and </w:t>
      </w:r>
      <w:r w:rsidRPr="00EF6C4E">
        <w:rPr>
          <w:rFonts w:ascii="Calibri" w:hAnsi="Calibri"/>
          <w:i/>
          <w:sz w:val="24"/>
          <w:szCs w:val="22"/>
        </w:rPr>
        <w:t>p</w:t>
      </w:r>
      <w:r w:rsidRPr="00EF6C4E">
        <w:rPr>
          <w:rFonts w:ascii="Calibri" w:hAnsi="Calibri"/>
          <w:sz w:val="24"/>
          <w:szCs w:val="22"/>
        </w:rPr>
        <w:t xml:space="preserve"> is the risk in that month (predicted by the model). The binomial log likelihood was used as a measure of goodness of fit.</w:t>
      </w:r>
      <w:r w:rsidR="00AD2B46" w:rsidRPr="00EF6C4E">
        <w:rPr>
          <w:rFonts w:ascii="Calibri" w:hAnsi="Calibri"/>
          <w:sz w:val="24"/>
          <w:szCs w:val="22"/>
        </w:rPr>
        <w:t xml:space="preserve"> </w:t>
      </w:r>
      <w:r w:rsidRPr="00EF6C4E">
        <w:rPr>
          <w:rFonts w:ascii="Calibri" w:hAnsi="Calibri"/>
          <w:sz w:val="24"/>
          <w:szCs w:val="22"/>
        </w:rPr>
        <w:t xml:space="preserve">The total log-likelihood for a particular model fit was calculated by summing across months. If </w:t>
      </w:r>
      <w:r w:rsidRPr="00EF6C4E">
        <w:rPr>
          <w:rFonts w:ascii="Calibri" w:hAnsi="Calibri"/>
          <w:i/>
          <w:sz w:val="24"/>
          <w:szCs w:val="22"/>
        </w:rPr>
        <w:t>c</w:t>
      </w:r>
      <w:r w:rsidRPr="00EF6C4E">
        <w:rPr>
          <w:rFonts w:ascii="Calibri" w:hAnsi="Calibri"/>
          <w:sz w:val="24"/>
          <w:szCs w:val="22"/>
        </w:rPr>
        <w:t xml:space="preserve"> indicates calendar month, then the total likelihood is</w:t>
      </w:r>
    </w:p>
    <w:p w:rsidR="00415958" w:rsidRPr="00EF6C4E" w:rsidRDefault="00415958" w:rsidP="00415958">
      <w:pPr>
        <w:spacing w:line="360" w:lineRule="auto"/>
        <w:rPr>
          <w:rFonts w:ascii="Calibri" w:hAnsi="Calibri"/>
          <w:sz w:val="24"/>
          <w:szCs w:val="22"/>
        </w:rPr>
      </w:pPr>
    </w:p>
    <w:p w:rsidR="00415958" w:rsidRPr="00EF6C4E" w:rsidRDefault="00AA2259" w:rsidP="00415958">
      <w:pPr>
        <w:spacing w:line="360" w:lineRule="auto"/>
        <w:ind w:left="720" w:firstLine="720"/>
        <w:rPr>
          <w:rFonts w:ascii="Calibri" w:hAnsi="Calibri"/>
          <w:sz w:val="24"/>
          <w:szCs w:val="22"/>
        </w:rPr>
      </w:pPr>
      <w:r w:rsidRPr="00AA2259">
        <w:rPr>
          <w:rFonts w:ascii="Calibri" w:hAnsi="Calibri"/>
          <w:position w:val="-28"/>
          <w:sz w:val="24"/>
          <w:szCs w:val="22"/>
        </w:rPr>
        <w:pict>
          <v:shape id="_x0000_i1040" type="#_x0000_t75" style="width:162.95pt;height:35.35pt">
            <v:imagedata r:id="rId22"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vertAlign w:val="subscript"/>
        </w:rPr>
      </w:pPr>
      <w:r w:rsidRPr="00EF6C4E">
        <w:rPr>
          <w:rFonts w:ascii="Calibri" w:hAnsi="Calibri"/>
          <w:sz w:val="24"/>
          <w:szCs w:val="22"/>
        </w:rPr>
        <w:t>where for each calendar month bounded by the interval t1 and t2</w:t>
      </w:r>
    </w:p>
    <w:p w:rsidR="00415958" w:rsidRPr="00EF6C4E" w:rsidRDefault="00415958" w:rsidP="00415958">
      <w:pPr>
        <w:spacing w:line="360" w:lineRule="auto"/>
        <w:ind w:firstLine="720"/>
        <w:rPr>
          <w:rFonts w:ascii="Calibri" w:hAnsi="Calibri"/>
          <w:sz w:val="24"/>
          <w:szCs w:val="22"/>
        </w:rPr>
      </w:pPr>
      <w:r w:rsidRPr="00EF6C4E">
        <w:rPr>
          <w:rFonts w:ascii="Calibri" w:hAnsi="Calibri"/>
          <w:sz w:val="24"/>
          <w:szCs w:val="22"/>
        </w:rPr>
        <w:tab/>
      </w:r>
    </w:p>
    <w:p w:rsidR="00415958" w:rsidRPr="00EF6C4E" w:rsidRDefault="00AA2259" w:rsidP="00415958">
      <w:pPr>
        <w:spacing w:line="360" w:lineRule="auto"/>
        <w:ind w:left="720" w:firstLine="720"/>
        <w:rPr>
          <w:rFonts w:ascii="Calibri" w:hAnsi="Calibri"/>
          <w:sz w:val="24"/>
          <w:szCs w:val="22"/>
        </w:rPr>
      </w:pPr>
      <w:r w:rsidRPr="00AA2259">
        <w:rPr>
          <w:rFonts w:ascii="Calibri" w:hAnsi="Calibri"/>
          <w:position w:val="-32"/>
          <w:sz w:val="24"/>
          <w:szCs w:val="22"/>
        </w:rPr>
        <w:pict>
          <v:shape id="_x0000_i1041" type="#_x0000_t75" style="width:133.9pt;height:37.9pt">
            <v:imagedata r:id="rId23"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Model parameters were varied within the ranges specified by the literature review to determine the best fitting and most plausible description of malaria incidence in the Navrongo trial site. Starting values for parameters was based on the literature review. Due to the large number of parameters in the model, most model parameters were fixed for the final stages of fitting the model to malaria incidence data. However, all parameters were within the plausible ranges indicated by the literature review and for several parameters it was possible to use the values from studies undertaken in the area (Navrongo or Kassena-Nankana District) around the time of trial. The final values and the range considered are shown in </w:t>
      </w:r>
      <w:r w:rsidR="00F0440C" w:rsidRPr="00EF6C4E">
        <w:rPr>
          <w:rFonts w:ascii="Calibri" w:hAnsi="Calibri"/>
          <w:sz w:val="24"/>
          <w:szCs w:val="22"/>
        </w:rPr>
        <w:t xml:space="preserve">table </w:t>
      </w:r>
      <w:r w:rsidR="00845607" w:rsidRPr="00EF6C4E">
        <w:rPr>
          <w:rFonts w:ascii="Calibri" w:hAnsi="Calibri"/>
          <w:sz w:val="24"/>
          <w:szCs w:val="22"/>
        </w:rPr>
        <w:t>S3</w:t>
      </w:r>
      <w:r w:rsidRPr="00EF6C4E">
        <w:rPr>
          <w:rFonts w:ascii="Calibri" w:hAnsi="Calibri"/>
          <w:sz w:val="24"/>
          <w:szCs w:val="22"/>
        </w:rPr>
        <w:t>. The two parameters used for the final stages of fitting are described below.</w:t>
      </w: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br w:type="page"/>
      </w:r>
      <w:r w:rsidRPr="00EF6C4E">
        <w:rPr>
          <w:rFonts w:ascii="Calibri" w:hAnsi="Calibri"/>
          <w:b/>
          <w:sz w:val="24"/>
          <w:szCs w:val="22"/>
        </w:rPr>
        <w:lastRenderedPageBreak/>
        <w:t>Parameters used to fit the final model to malaria incidence data</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The parameters that have most influence on the incidence of malaria predicted by this model and that were used to fit the final model to malaria incidence</w:t>
      </w:r>
      <w:r w:rsidR="00AD2B46" w:rsidRPr="00EF6C4E">
        <w:rPr>
          <w:rFonts w:ascii="Calibri" w:hAnsi="Calibri"/>
          <w:sz w:val="24"/>
          <w:szCs w:val="22"/>
        </w:rPr>
        <w:t xml:space="preserve"> data</w:t>
      </w:r>
      <w:r w:rsidRPr="00EF6C4E">
        <w:rPr>
          <w:rFonts w:ascii="Calibri" w:hAnsi="Calibri"/>
          <w:sz w:val="24"/>
          <w:szCs w:val="22"/>
        </w:rPr>
        <w:t xml:space="preserve"> were 1) the proportion of infective bites that result in human infection, </w:t>
      </w:r>
      <w:r w:rsidRPr="00EF6C4E">
        <w:rPr>
          <w:rFonts w:ascii="Calibri" w:hAnsi="Calibri"/>
          <w:i/>
          <w:sz w:val="24"/>
          <w:szCs w:val="22"/>
        </w:rPr>
        <w:t>b</w:t>
      </w:r>
      <w:r w:rsidRPr="00EF6C4E">
        <w:rPr>
          <w:rFonts w:ascii="Calibri" w:hAnsi="Calibri"/>
          <w:sz w:val="24"/>
          <w:szCs w:val="22"/>
        </w:rPr>
        <w:t xml:space="preserve">, </w:t>
      </w:r>
      <w:r w:rsidR="005E2468" w:rsidRPr="00EF6C4E">
        <w:rPr>
          <w:rFonts w:ascii="Calibri" w:hAnsi="Calibri"/>
          <w:sz w:val="24"/>
          <w:szCs w:val="22"/>
        </w:rPr>
        <w:t xml:space="preserve">and </w:t>
      </w:r>
      <w:r w:rsidRPr="00EF6C4E">
        <w:rPr>
          <w:rFonts w:ascii="Calibri" w:hAnsi="Calibri"/>
          <w:sz w:val="24"/>
          <w:szCs w:val="22"/>
        </w:rPr>
        <w:t xml:space="preserve">2) the proportion of infections that </w:t>
      </w:r>
      <w:r w:rsidR="005C20FF" w:rsidRPr="00EF6C4E">
        <w:rPr>
          <w:rFonts w:ascii="Calibri" w:hAnsi="Calibri"/>
          <w:sz w:val="24"/>
          <w:szCs w:val="22"/>
        </w:rPr>
        <w:t xml:space="preserve">were </w:t>
      </w:r>
      <w:r w:rsidRPr="00EF6C4E">
        <w:rPr>
          <w:rFonts w:ascii="Calibri" w:hAnsi="Calibri"/>
          <w:sz w:val="24"/>
          <w:szCs w:val="22"/>
        </w:rPr>
        <w:t>symptomatic and and treated</w:t>
      </w:r>
      <w:r w:rsidR="005C20FF" w:rsidRPr="00EF6C4E">
        <w:rPr>
          <w:rFonts w:ascii="Calibri" w:hAnsi="Calibri"/>
          <w:sz w:val="24"/>
          <w:szCs w:val="22"/>
        </w:rPr>
        <w:t xml:space="preserve">, </w:t>
      </w:r>
      <w:r w:rsidRPr="00EF6C4E">
        <w:rPr>
          <w:rFonts w:ascii="Times New Roman" w:hAnsi="Times New Roman"/>
          <w:i/>
          <w:sz w:val="24"/>
          <w:szCs w:val="22"/>
        </w:rPr>
        <w:t>θ</w:t>
      </w:r>
      <w:r w:rsidR="005C20FF" w:rsidRPr="00EF6C4E">
        <w:rPr>
          <w:rFonts w:ascii="Calibri" w:hAnsi="Calibri"/>
          <w:sz w:val="24"/>
          <w:szCs w:val="22"/>
        </w:rPr>
        <w:t>.</w:t>
      </w:r>
      <w:r w:rsidRPr="00EF6C4E">
        <w:rPr>
          <w:rFonts w:ascii="Calibri" w:hAnsi="Calibri"/>
          <w:sz w:val="24"/>
          <w:szCs w:val="22"/>
        </w:rPr>
        <w:t xml:space="preserve"> The values of </w:t>
      </w:r>
      <w:r w:rsidRPr="00EF6C4E">
        <w:rPr>
          <w:rFonts w:ascii="Calibri" w:hAnsi="Calibri"/>
          <w:i/>
          <w:sz w:val="24"/>
          <w:szCs w:val="22"/>
        </w:rPr>
        <w:t xml:space="preserve">b </w:t>
      </w:r>
      <w:r w:rsidRPr="00EF6C4E">
        <w:rPr>
          <w:rFonts w:ascii="Calibri" w:hAnsi="Calibri"/>
          <w:sz w:val="24"/>
          <w:szCs w:val="22"/>
        </w:rPr>
        <w:t xml:space="preserve">and </w:t>
      </w:r>
      <w:r w:rsidR="005C20FF" w:rsidRPr="00EF6C4E">
        <w:rPr>
          <w:rFonts w:ascii="Times New Roman" w:hAnsi="Times New Roman"/>
          <w:i/>
          <w:sz w:val="24"/>
          <w:szCs w:val="22"/>
        </w:rPr>
        <w:t>θ</w:t>
      </w:r>
      <w:r w:rsidRPr="00EF6C4E">
        <w:rPr>
          <w:rFonts w:ascii="Calibri" w:hAnsi="Calibri"/>
          <w:i/>
          <w:sz w:val="24"/>
          <w:szCs w:val="22"/>
        </w:rPr>
        <w:t xml:space="preserve"> </w:t>
      </w:r>
      <w:r w:rsidRPr="00EF6C4E">
        <w:rPr>
          <w:rFonts w:ascii="Calibri" w:hAnsi="Calibri"/>
          <w:sz w:val="24"/>
          <w:szCs w:val="22"/>
        </w:rPr>
        <w:t xml:space="preserve">are not certain and were therefore estimated by allowing them to vary within a prespecified range (0.005-0.1 and 0.05-0.35 respectively, </w:t>
      </w:r>
      <w:r w:rsidR="00845607" w:rsidRPr="00EF6C4E">
        <w:rPr>
          <w:rFonts w:ascii="Calibri" w:hAnsi="Calibri"/>
          <w:sz w:val="24"/>
          <w:szCs w:val="22"/>
        </w:rPr>
        <w:t>table S3</w:t>
      </w:r>
      <w:r w:rsidRPr="00EF6C4E">
        <w:rPr>
          <w:rFonts w:ascii="Calibri" w:hAnsi="Calibri"/>
          <w:sz w:val="24"/>
          <w:szCs w:val="22"/>
        </w:rPr>
        <w:t xml:space="preserve">). Allowing </w:t>
      </w:r>
      <w:r w:rsidR="005C20FF" w:rsidRPr="00EF6C4E">
        <w:rPr>
          <w:rFonts w:ascii="Times New Roman" w:hAnsi="Times New Roman"/>
          <w:i/>
          <w:sz w:val="24"/>
          <w:szCs w:val="22"/>
        </w:rPr>
        <w:t>θ</w:t>
      </w:r>
      <w:r w:rsidRPr="00EF6C4E">
        <w:rPr>
          <w:rFonts w:ascii="Calibri" w:hAnsi="Calibri"/>
          <w:sz w:val="24"/>
          <w:szCs w:val="22"/>
        </w:rPr>
        <w:t xml:space="preserve"> to take a different value for superinfections (compared to first infections) did not improve the fit of the model to the data, and in some cases resulted in implausible values being predicted. Consequently, the probability of developing symptoms upon superinfection is assumed to be the same as upon first infection. </w:t>
      </w:r>
    </w:p>
    <w:p w:rsidR="001C415C" w:rsidRPr="00EF6C4E" w:rsidRDefault="001C415C" w:rsidP="00415958">
      <w:pPr>
        <w:spacing w:line="360" w:lineRule="auto"/>
        <w:rPr>
          <w:rFonts w:ascii="Calibri" w:hAnsi="Calibri"/>
          <w:sz w:val="24"/>
          <w:szCs w:val="22"/>
        </w:rPr>
      </w:pPr>
    </w:p>
    <w:p w:rsidR="001C415C" w:rsidRPr="00EF6C4E" w:rsidRDefault="001C415C" w:rsidP="001C415C">
      <w:pPr>
        <w:spacing w:line="360" w:lineRule="auto"/>
        <w:rPr>
          <w:rFonts w:ascii="Calibri" w:hAnsi="Calibri"/>
          <w:b/>
          <w:sz w:val="24"/>
          <w:szCs w:val="22"/>
        </w:rPr>
      </w:pPr>
      <w:r w:rsidRPr="00EF6C4E">
        <w:rPr>
          <w:rFonts w:ascii="Calibri" w:hAnsi="Calibri"/>
          <w:sz w:val="24"/>
          <w:szCs w:val="22"/>
          <w:lang w:val="en-US"/>
        </w:rPr>
        <w:t>The full model incorporating maternal protection and heterogeneity in transmission (model 3) was best fitting. Log-likelihood values were used for the purpose of fitting the models to the data rather than for formal statistical comparison of the different models. The incorporation of maternal immunity and heterogeneity did improve the fit of models, but even if they had not done so it would still have been of interest to explore the possible impact of protection early in life and heterogeneity. Model 3 was used for making the predictions presented below. Discussion of results from the simpler models is given as appropriate.</w:t>
      </w:r>
    </w:p>
    <w:p w:rsidR="001C415C" w:rsidRPr="00EF6C4E" w:rsidRDefault="001C415C"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IPT coverage and efficacy</w:t>
      </w:r>
    </w:p>
    <w:p w:rsidR="00415958" w:rsidRPr="00EF6C4E" w:rsidRDefault="00415958" w:rsidP="00415958">
      <w:pPr>
        <w:spacing w:line="360" w:lineRule="auto"/>
        <w:rPr>
          <w:rFonts w:ascii="Calibri" w:hAnsi="Calibri" w:cs="AdvPSSAB-R"/>
          <w:sz w:val="24"/>
          <w:szCs w:val="16"/>
          <w:lang w:val="en-US"/>
        </w:rPr>
      </w:pPr>
      <w:r w:rsidRPr="00EF6C4E">
        <w:rPr>
          <w:rFonts w:ascii="Calibri" w:hAnsi="Calibri"/>
          <w:sz w:val="24"/>
          <w:szCs w:val="22"/>
        </w:rPr>
        <w:t>Adequate clinical and parasitological response 14 days after treatment with SP for symptomatic malaria in this area was estimated as 77.6%</w:t>
      </w:r>
      <w:r w:rsidRPr="00EF6C4E">
        <w:rPr>
          <w:rFonts w:ascii="Calibri" w:hAnsi="Calibri"/>
          <w:sz w:val="24"/>
          <w:szCs w:val="22"/>
          <w:lang w:val="en-US"/>
        </w:rPr>
        <w:t xml:space="preserve"> </w:t>
      </w:r>
      <w:r w:rsidRPr="00EF6C4E">
        <w:rPr>
          <w:rFonts w:ascii="Calibri" w:hAnsi="Calibri" w:cs="AdvPSSAB-R"/>
          <w:sz w:val="24"/>
          <w:szCs w:val="16"/>
          <w:lang w:val="en-US"/>
        </w:rPr>
        <w:t xml:space="preserve">(95% CI: 68.9, 84.8) </w:t>
      </w:r>
      <w:r w:rsidR="00AA2259" w:rsidRPr="00EF6C4E">
        <w:rPr>
          <w:rFonts w:ascii="Calibri" w:hAnsi="Calibri" w:cs="AdvPSSAB-R"/>
          <w:sz w:val="24"/>
          <w:szCs w:val="16"/>
          <w:lang w:val="en-US"/>
        </w:rPr>
        <w:fldChar w:fldCharType="begin"/>
      </w:r>
      <w:r w:rsidR="002441A6">
        <w:rPr>
          <w:rFonts w:ascii="Calibri" w:hAnsi="Calibri" w:cs="AdvPSSAB-R"/>
          <w:sz w:val="24"/>
          <w:szCs w:val="16"/>
          <w:lang w:val="en-US"/>
        </w:rPr>
        <w:instrText xml:space="preserve"> ADDIN EN.CITE &lt;EndNote&gt;&lt;Cite&gt;&lt;Author&gt;Oduro&lt;/Author&gt;&lt;Year&gt;2005&lt;/Year&gt;&lt;RecNum&gt;449&lt;/RecNum&gt;&lt;record&gt;&lt;rec-number&gt;449&lt;/rec-number&gt;&lt;foreign-keys&gt;&lt;key app="EN" db-id="50vzxafd505dzseevvi5prdyd0vsefrtrrpx"&gt;449&lt;/key&gt;&lt;/foreign-keys&gt;&lt;ref-type name="Journal Article"&gt;17&lt;/ref-type&gt;&lt;contributors&gt;&lt;authors&gt;&lt;author&gt;Oduro, A. R.&lt;/author&gt;&lt;author&gt;Anyorigiya, T.&lt;/author&gt;&lt;author&gt;Hodgson, A.&lt;/author&gt;&lt;author&gt;Ansah, P.&lt;/author&gt;&lt;author&gt;Anto, F.&lt;/author&gt;&lt;author&gt;Ansah, N. A.&lt;/author&gt;&lt;author&gt;Atuguba, F.&lt;/author&gt;&lt;author&gt;Mumuni, G.&lt;/author&gt;&lt;author&gt;Amankwa, J.&lt;/author&gt;&lt;/authors&gt;&lt;/contributors&gt;&lt;auth-address&gt;Navrongo Health Research Centre, Navrongo, Ghana. aoduro@navrongo.mimcom.net&lt;/auth-address&gt;&lt;titles&gt;&lt;title&gt;A randomized comparative study of chloroquine, amodiaquine and sulphadoxine-pyrimethamine for the treatment of uncomplicated malaria in Ghana&lt;/title&gt;&lt;secondary-title&gt;Trop Med Int Health&lt;/secondary-title&gt;&lt;/titles&gt;&lt;periodical&gt;&lt;full-title&gt;Trop Med Int Health&lt;/full-title&gt;&lt;/periodical&gt;&lt;pages&gt;279-84&lt;/pages&gt;&lt;volume&gt;10&lt;/volume&gt;&lt;number&gt;3&lt;/number&gt;&lt;keywords&gt;&lt;keyword&gt;Amodiaquine/adverse effects/therapeutic use&lt;/keyword&gt;&lt;keyword&gt;Antimalarials/adverse effects/ therapeutic use&lt;/keyword&gt;&lt;keyword&gt;Child, Preschool&lt;/keyword&gt;&lt;keyword&gt;Chloroquine/adverse effects/therapeutic use&lt;/keyword&gt;&lt;keyword&gt;Drug Combinations&lt;/keyword&gt;&lt;keyword&gt;Female&lt;/keyword&gt;&lt;keyword&gt;Fever/drug therapy/parasitology&lt;/keyword&gt;&lt;keyword&gt;Ghana&lt;/keyword&gt;&lt;keyword&gt;Humans&lt;/keyword&gt;&lt;keyword&gt;Infant&lt;/keyword&gt;&lt;keyword&gt;Malaria, Falciparum/ drug therapy/parasitology&lt;/keyword&gt;&lt;keyword&gt;Male&lt;/keyword&gt;&lt;keyword&gt;Parasitemia/drug therapy&lt;/keyword&gt;&lt;keyword&gt;Patient Dropouts&lt;/keyword&gt;&lt;keyword&gt;Pyrimethamine/adverse effects/therapeutic use&lt;/keyword&gt;&lt;keyword&gt;Sulfadoxine/adverse effects/therapeutic use&lt;/keyword&gt;&lt;keyword&gt;Treatment Failure&lt;/keyword&gt;&lt;keyword&gt;Treatment Outcome&lt;/keyword&gt;&lt;/keywords&gt;&lt;dates&gt;&lt;year&gt;2005&lt;/year&gt;&lt;pub-dates&gt;&lt;date&gt;Mar&lt;/date&gt;&lt;/pub-dates&gt;&lt;/dates&gt;&lt;isbn&gt;1360-2276 (Print)&lt;/isbn&gt;&lt;accession-num&gt;15730512&lt;/accession-num&gt;&lt;urls&gt;&lt;/urls&gt;&lt;/record&gt;&lt;/Cite&gt;&lt;/EndNote&gt;</w:instrText>
      </w:r>
      <w:r w:rsidR="00AA2259" w:rsidRPr="00EF6C4E">
        <w:rPr>
          <w:rFonts w:ascii="Calibri" w:hAnsi="Calibri" w:cs="AdvPSSAB-R"/>
          <w:sz w:val="24"/>
          <w:szCs w:val="16"/>
          <w:lang w:val="en-US"/>
        </w:rPr>
        <w:fldChar w:fldCharType="separate"/>
      </w:r>
      <w:r w:rsidR="005E2935" w:rsidRPr="00EF6C4E">
        <w:rPr>
          <w:rFonts w:ascii="Calibri" w:hAnsi="Calibri" w:cs="AdvPSSAB-R"/>
          <w:noProof/>
          <w:sz w:val="24"/>
          <w:szCs w:val="16"/>
          <w:lang w:val="en-US"/>
        </w:rPr>
        <w:t>[3]</w:t>
      </w:r>
      <w:r w:rsidR="00AA2259" w:rsidRPr="00EF6C4E">
        <w:rPr>
          <w:rFonts w:ascii="Calibri" w:hAnsi="Calibri" w:cs="AdvPSSAB-R"/>
          <w:sz w:val="24"/>
          <w:szCs w:val="16"/>
          <w:lang w:val="en-US"/>
        </w:rPr>
        <w:fldChar w:fldCharType="end"/>
      </w:r>
      <w:r w:rsidRPr="00EF6C4E">
        <w:rPr>
          <w:rFonts w:ascii="Calibri" w:hAnsi="Calibri" w:cs="AdvPSSAB-R"/>
          <w:sz w:val="24"/>
          <w:szCs w:val="16"/>
          <w:lang w:val="en-US"/>
        </w:rPr>
        <w:t xml:space="preserve">. </w:t>
      </w:r>
      <w:r w:rsidR="00AD2B46" w:rsidRPr="00EF6C4E">
        <w:rPr>
          <w:rFonts w:ascii="Calibri" w:hAnsi="Calibri" w:cs="AdvPSSAB-R"/>
          <w:sz w:val="24"/>
          <w:szCs w:val="16"/>
          <w:lang w:val="en-US"/>
        </w:rPr>
        <w:t xml:space="preserve">Antimalarials </w:t>
      </w:r>
      <w:r w:rsidRPr="00EF6C4E">
        <w:rPr>
          <w:rFonts w:ascii="Calibri" w:hAnsi="Calibri" w:cs="AdvPSSAB-R"/>
          <w:sz w:val="24"/>
          <w:szCs w:val="16"/>
          <w:lang w:val="en-US"/>
        </w:rPr>
        <w:t xml:space="preserve">may be more efficacious </w:t>
      </w:r>
      <w:r w:rsidR="00AD2B46" w:rsidRPr="00EF6C4E">
        <w:rPr>
          <w:rFonts w:ascii="Calibri" w:hAnsi="Calibri" w:cs="AdvPSSAB-R"/>
          <w:sz w:val="24"/>
          <w:szCs w:val="16"/>
          <w:lang w:val="en-US"/>
        </w:rPr>
        <w:t>at clearing new infections</w:t>
      </w:r>
      <w:r w:rsidRPr="00EF6C4E">
        <w:rPr>
          <w:rFonts w:ascii="Calibri" w:hAnsi="Calibri" w:cs="AdvPSSAB-R"/>
          <w:sz w:val="24"/>
          <w:szCs w:val="16"/>
          <w:lang w:val="en-US"/>
        </w:rPr>
        <w:t xml:space="preserve"> </w:t>
      </w:r>
      <w:r w:rsidR="00AD2B46" w:rsidRPr="00EF6C4E">
        <w:rPr>
          <w:rFonts w:ascii="Calibri" w:hAnsi="Calibri" w:cs="AdvPSSAB-R"/>
          <w:sz w:val="24"/>
          <w:szCs w:val="16"/>
          <w:lang w:val="en-US"/>
        </w:rPr>
        <w:t xml:space="preserve">than existing ones, which typically have higher parasite densities </w:t>
      </w:r>
      <w:r w:rsidR="00AA2259" w:rsidRPr="00EF6C4E">
        <w:rPr>
          <w:rFonts w:ascii="Calibri" w:hAnsi="Calibri" w:cs="AdvPSSAB-R"/>
          <w:sz w:val="24"/>
          <w:szCs w:val="16"/>
          <w:lang w:val="en-US"/>
        </w:rPr>
        <w:fldChar w:fldCharType="begin"/>
      </w:r>
      <w:r w:rsidR="002441A6">
        <w:rPr>
          <w:rFonts w:ascii="Calibri" w:hAnsi="Calibri" w:cs="AdvPSSAB-R"/>
          <w:sz w:val="24"/>
          <w:szCs w:val="16"/>
          <w:lang w:val="en-US"/>
        </w:rPr>
        <w:instrText xml:space="preserve"> ADDIN EN.CITE &lt;EndNote&gt;&lt;Cite&gt;&lt;Author&gt;White&lt;/Author&gt;&lt;Year&gt;2004&lt;/Year&gt;&lt;RecNum&gt;139&lt;/RecNum&gt;&lt;record&gt;&lt;rec-number&gt;139&lt;/rec-number&gt;&lt;foreign-keys&gt;&lt;key app="EN" db-id="50vzxafd505dzseevvi5prdyd0vsefrtrrpx"&gt;139&lt;/key&gt;&lt;/foreign-keys&gt;&lt;ref-type name="Journal Article"&gt;17&lt;/ref-type&gt;&lt;contributors&gt;&lt;authors&gt;&lt;author&gt;White, N. J.&lt;/author&gt;&lt;/authors&gt;&lt;/contributors&gt;&lt;titles&gt;&lt;title&gt;Antimalarial drug resistance&lt;/title&gt;&lt;secondary-title&gt;Journal of Clinical Investigation&lt;/secondary-title&gt;&lt;/titles&gt;&lt;pages&gt;1084-1092&lt;/pages&gt;&lt;volume&gt;113&lt;/volume&gt;&lt;number&gt;8&lt;/number&gt;&lt;keywords&gt;&lt;keyword&gt;PLASMODIUM-FALCIPARUM MALARIA&lt;/keyword&gt;&lt;keyword&gt;ELIMINATION HALF-LIFE&lt;/keyword&gt;&lt;keyword&gt;PYRIMETHAMINE-SULFADOXINE&lt;/keyword&gt;&lt;keyword&gt;MEFLOQUINE RESISTANCE&lt;/keyword&gt;&lt;keyword&gt;ARTESUNATE-MEFLOQUINE&lt;/keyword&gt;&lt;keyword&gt;POPULATION-DYNAMICS&lt;/keyword&gt;&lt;keyword&gt;CHILDHOOD MALARIA&lt;/keyword&gt;&lt;keyword&gt;TREATMENT FAILURE&lt;/keyword&gt;&lt;keyword&gt;SOUTHEAST-ASIA&lt;/keyword&gt;&lt;keyword&gt;WESTERN KENYA&lt;/keyword&gt;&lt;/keywords&gt;&lt;dates&gt;&lt;year&gt;2004&lt;/year&gt;&lt;pub-dates&gt;&lt;date&gt;Apr&lt;/date&gt;&lt;/pub-dates&gt;&lt;/dates&gt;&lt;accession-num&gt;ISI:000221365100004&lt;/accession-num&gt;&lt;urls&gt;&lt;related-urls&gt;&lt;url&gt;&amp;lt;Go to ISI&amp;gt;://000221365100004 &lt;/url&gt;&lt;/related-urls&gt;&lt;/urls&gt;&lt;/record&gt;&lt;/Cite&gt;&lt;/EndNote&gt;</w:instrText>
      </w:r>
      <w:r w:rsidR="00AA2259" w:rsidRPr="00EF6C4E">
        <w:rPr>
          <w:rFonts w:ascii="Calibri" w:hAnsi="Calibri" w:cs="AdvPSSAB-R"/>
          <w:sz w:val="24"/>
          <w:szCs w:val="16"/>
          <w:lang w:val="en-US"/>
        </w:rPr>
        <w:fldChar w:fldCharType="separate"/>
      </w:r>
      <w:r w:rsidR="002441A6">
        <w:rPr>
          <w:rFonts w:ascii="Calibri" w:hAnsi="Calibri" w:cs="AdvPSSAB-R"/>
          <w:noProof/>
          <w:sz w:val="24"/>
          <w:szCs w:val="16"/>
          <w:lang w:val="en-US"/>
        </w:rPr>
        <w:t>[14]</w:t>
      </w:r>
      <w:r w:rsidR="00AA2259" w:rsidRPr="00EF6C4E">
        <w:rPr>
          <w:rFonts w:ascii="Calibri" w:hAnsi="Calibri" w:cs="AdvPSSAB-R"/>
          <w:sz w:val="24"/>
          <w:szCs w:val="16"/>
          <w:lang w:val="en-US"/>
        </w:rPr>
        <w:fldChar w:fldCharType="end"/>
      </w:r>
      <w:r w:rsidRPr="00EF6C4E">
        <w:rPr>
          <w:rFonts w:ascii="Calibri" w:hAnsi="Calibri" w:cs="AdvPSSAB-R"/>
          <w:sz w:val="24"/>
          <w:szCs w:val="16"/>
          <w:lang w:val="en-US"/>
        </w:rPr>
        <w:t>. Consequently the efficacy of SP</w:t>
      </w:r>
      <w:r w:rsidR="00AD2B46" w:rsidRPr="00EF6C4E">
        <w:rPr>
          <w:rFonts w:ascii="Calibri" w:hAnsi="Calibri" w:cs="AdvPSSAB-R"/>
          <w:sz w:val="24"/>
          <w:szCs w:val="16"/>
          <w:lang w:val="en-US"/>
        </w:rPr>
        <w:t xml:space="preserve"> when used</w:t>
      </w:r>
      <w:r w:rsidRPr="00EF6C4E">
        <w:rPr>
          <w:rFonts w:ascii="Calibri" w:hAnsi="Calibri" w:cs="AdvPSSAB-R"/>
          <w:sz w:val="24"/>
          <w:szCs w:val="16"/>
          <w:lang w:val="en-US"/>
        </w:rPr>
        <w:t xml:space="preserve"> for IPTi could be slightly greater than that for treatment </w:t>
      </w:r>
      <w:r w:rsidR="008A3851" w:rsidRPr="00EF6C4E">
        <w:rPr>
          <w:rFonts w:ascii="Calibri" w:hAnsi="Calibri" w:cs="AdvPSSAB-R"/>
          <w:sz w:val="24"/>
          <w:szCs w:val="16"/>
          <w:lang w:val="en-US"/>
        </w:rPr>
        <w:t>of symptomatic malaria</w:t>
      </w:r>
      <w:r w:rsidRPr="00EF6C4E">
        <w:rPr>
          <w:rFonts w:ascii="Calibri" w:hAnsi="Calibri" w:cs="AdvPSSAB-R"/>
          <w:sz w:val="24"/>
          <w:szCs w:val="16"/>
          <w:lang w:val="en-US"/>
        </w:rPr>
        <w:t xml:space="preserve">. The fit of the model was best when the assumed efficacy of SP was 85-90% (85% for models 1 and 2 and 90% for model 3). This means that 90% of children given IPT are </w:t>
      </w:r>
      <w:r w:rsidRPr="00EF6C4E">
        <w:rPr>
          <w:rFonts w:ascii="Calibri" w:hAnsi="Calibri" w:cs="AdvPSSAB-R"/>
          <w:sz w:val="24"/>
          <w:szCs w:val="16"/>
          <w:lang w:val="en-US"/>
        </w:rPr>
        <w:lastRenderedPageBreak/>
        <w:t>assumed to clear an infection (if they have an infection at the time of IPT), and enter the protected compartments of the model</w:t>
      </w:r>
      <w:r w:rsidR="00AD2B46" w:rsidRPr="00EF6C4E">
        <w:rPr>
          <w:rFonts w:ascii="Calibri" w:hAnsi="Calibri" w:cs="AdvPSSAB-R"/>
          <w:sz w:val="24"/>
          <w:szCs w:val="16"/>
          <w:lang w:val="en-US"/>
        </w:rPr>
        <w:t>.</w:t>
      </w:r>
      <w:r w:rsidRPr="00EF6C4E">
        <w:rPr>
          <w:rFonts w:ascii="Calibri" w:hAnsi="Calibri" w:cs="AdvPSSAB-R"/>
          <w:sz w:val="24"/>
          <w:szCs w:val="16"/>
          <w:lang w:val="en-US"/>
        </w:rPr>
        <w:t xml:space="preserve"> This level of efficacy seems reasonable given that approximately a quarter of children in the placebo group were infected at IPT-3 and IPT-4 in Navrongo </w:t>
      </w:r>
      <w:r w:rsidR="00AA2259" w:rsidRPr="00EF6C4E">
        <w:rPr>
          <w:rFonts w:ascii="Calibri" w:hAnsi="Calibri" w:cs="AdvPSSAB-R"/>
          <w:sz w:val="24"/>
          <w:szCs w:val="16"/>
          <w:lang w:val="en-US"/>
        </w:rPr>
        <w:fldChar w:fldCharType="begin"/>
      </w:r>
      <w:r w:rsidR="002441A6">
        <w:rPr>
          <w:rFonts w:ascii="Calibri" w:hAnsi="Calibri" w:cs="AdvPSSAB-R"/>
          <w:sz w:val="24"/>
          <w:szCs w:val="16"/>
          <w:lang w:val="en-US"/>
        </w:rPr>
        <w:instrText xml:space="preserve"> ADDIN EN.CITE &lt;EndNote&gt;&lt;Cite&gt;&lt;Author&gt;Chandramohan&lt;/Author&gt;&lt;Year&gt;2005&lt;/Year&gt;&lt;RecNum&gt;161&lt;/RecNum&gt;&lt;record&gt;&lt;rec-number&gt;161&lt;/rec-number&gt;&lt;foreign-keys&gt;&lt;key app="EN" db-id="50vzxafd505dzseevvi5prdyd0vsefrtrrpx"&gt;161&lt;/key&gt;&lt;/foreign-keys&gt;&lt;ref-type name="Journal Article"&gt;17&lt;/ref-type&gt;&lt;contributors&gt;&lt;authors&gt;&lt;author&gt;Chandramohan, D.&lt;/author&gt;&lt;author&gt;Owusu-Agyei, S.&lt;/author&gt;&lt;author&gt;Carneiro, I.&lt;/author&gt;&lt;author&gt;Awine, T.&lt;/author&gt;&lt;author&gt;Amponsa-Achiano, K.&lt;/author&gt;&lt;author&gt;Mensah, N.&lt;/author&gt;&lt;author&gt;Jaffar, S.&lt;/author&gt;&lt;author&gt;Baiden, R.&lt;/author&gt;&lt;author&gt;Hodgson, A.&lt;/author&gt;&lt;author&gt;Binka, F.&lt;/author&gt;&lt;author&gt;Greenwood, B.&lt;/author&gt;&lt;/authors&gt;&lt;/contributors&gt;&lt;titles&gt;&lt;title&gt;Cluster randomised trial of intermittent preventive treatment for malaria in infants in area of high, seasonal transmission in Ghana&lt;/title&gt;&lt;secondary-title&gt;British Medical Journal&lt;/secondary-title&gt;&lt;alt-title&gt;Br. Med. J.&lt;/alt-title&gt;&lt;/titles&gt;&lt;pages&gt;727-733&lt;/pages&gt;&lt;volume&gt;331&lt;/volume&gt;&lt;number&gt;7519&lt;/number&gt;&lt;keywords&gt;&lt;keyword&gt;PLACEBO-CONTROLLED TRIAL&lt;/keyword&gt;&lt;keyword&gt;PLASMODIUM-FALCIPARUM&lt;/keyword&gt;&lt;keyword&gt;TANZANIAN INFANTS&lt;/keyword&gt;&lt;keyword&gt;ANEMIA&lt;/keyword&gt;&lt;keyword&gt;INTENSE&lt;/keyword&gt;&lt;keyword&gt;AMODIAQUINE&lt;/keyword&gt;&lt;keyword&gt;CHILDREN&lt;/keyword&gt;&lt;keyword&gt;AFRICA&lt;/keyword&gt;&lt;keyword&gt;BURDEN&lt;/keyword&gt;&lt;/keywords&gt;&lt;dates&gt;&lt;year&gt;2005&lt;/year&gt;&lt;pub-dates&gt;&lt;date&gt;Oct&lt;/date&gt;&lt;/pub-dates&gt;&lt;/dates&gt;&lt;accession-num&gt;ISI:000232417100018&lt;/accession-num&gt;&lt;work-type&gt;Article&lt;/work-type&gt;&lt;urls&gt;&lt;related-urls&gt;&lt;url&gt;&amp;lt;Go to ISI&amp;gt;://000232417100018 &lt;/url&gt;&lt;/related-urls&gt;&lt;pdf-urls&gt;&lt;url&gt;file:///C:/Documents%20and%20Settings/Matt%20Cairns/My%20Documents/My%20Documents/1%20PHD/OVERVIEW/CHANDRAMOHAN%20-%20Navrongo%20IPTi%20cluster%20BMJ%202005.pdf&lt;/url&gt;&lt;/pdf-urls&gt;&lt;/urls&gt;&lt;/record&gt;&lt;/Cite&gt;&lt;/EndNote&gt;</w:instrText>
      </w:r>
      <w:r w:rsidR="00AA2259" w:rsidRPr="00EF6C4E">
        <w:rPr>
          <w:rFonts w:ascii="Calibri" w:hAnsi="Calibri" w:cs="AdvPSSAB-R"/>
          <w:sz w:val="24"/>
          <w:szCs w:val="16"/>
          <w:lang w:val="en-US"/>
        </w:rPr>
        <w:fldChar w:fldCharType="separate"/>
      </w:r>
      <w:r w:rsidR="002441A6">
        <w:rPr>
          <w:rFonts w:ascii="Calibri" w:hAnsi="Calibri" w:cs="AdvPSSAB-R"/>
          <w:noProof/>
          <w:sz w:val="24"/>
          <w:szCs w:val="16"/>
          <w:lang w:val="en-US"/>
        </w:rPr>
        <w:t>[15]</w:t>
      </w:r>
      <w:r w:rsidR="00AA2259" w:rsidRPr="00EF6C4E">
        <w:rPr>
          <w:rFonts w:ascii="Calibri" w:hAnsi="Calibri" w:cs="AdvPSSAB-R"/>
          <w:sz w:val="24"/>
          <w:szCs w:val="16"/>
          <w:lang w:val="en-US"/>
        </w:rPr>
        <w:fldChar w:fldCharType="end"/>
      </w:r>
      <w:r w:rsidRPr="00EF6C4E">
        <w:rPr>
          <w:rFonts w:ascii="Calibri" w:hAnsi="Calibri" w:cs="AdvPSSAB-R"/>
          <w:sz w:val="24"/>
          <w:szCs w:val="16"/>
          <w:lang w:val="en-US"/>
        </w:rPr>
        <w:t xml:space="preserve">. Assuming 22% of these experienced treatment failure when given SP for IPTi one would still expect less than 6% of all children to experience recrudescence after IPT. In other words, assuming an efficacy of 90%, as used in the model, does not imply an unrealistically high efficacy of SP, and allows for a small amount of reduction in efficacy due to reasons apart from drug resistance (inadequate doses, vomiting after treatment, etc.). </w:t>
      </w:r>
    </w:p>
    <w:p w:rsidR="008A3851" w:rsidRPr="00EF6C4E" w:rsidRDefault="008A3851" w:rsidP="00415958">
      <w:pPr>
        <w:spacing w:line="360" w:lineRule="auto"/>
        <w:rPr>
          <w:rFonts w:ascii="Calibri" w:hAnsi="Calibri"/>
          <w:szCs w:val="22"/>
        </w:rPr>
        <w:sectPr w:rsidR="008A3851" w:rsidRPr="00EF6C4E" w:rsidSect="0068531B">
          <w:pgSz w:w="12242" w:h="15842" w:code="1"/>
          <w:pgMar w:top="1418" w:right="1758" w:bottom="1418" w:left="1758" w:header="709" w:footer="709" w:gutter="0"/>
          <w:cols w:space="708"/>
          <w:docGrid w:linePitch="360"/>
        </w:sectPr>
      </w:pPr>
    </w:p>
    <w:p w:rsidR="00415958" w:rsidRPr="00EF6C4E" w:rsidRDefault="00415958" w:rsidP="00415958">
      <w:pPr>
        <w:spacing w:line="360" w:lineRule="auto"/>
        <w:rPr>
          <w:rFonts w:ascii="Calibri" w:hAnsi="Calibri"/>
          <w:b/>
        </w:rPr>
      </w:pPr>
      <w:r w:rsidRPr="00EF6C4E">
        <w:rPr>
          <w:rFonts w:ascii="Calibri" w:hAnsi="Calibri"/>
          <w:b/>
          <w:sz w:val="24"/>
        </w:rPr>
        <w:lastRenderedPageBreak/>
        <w:t xml:space="preserve">Table </w:t>
      </w:r>
      <w:r w:rsidR="0068531B" w:rsidRPr="00EF6C4E">
        <w:rPr>
          <w:rFonts w:ascii="Calibri" w:hAnsi="Calibri"/>
          <w:b/>
          <w:sz w:val="24"/>
        </w:rPr>
        <w:t>S3</w:t>
      </w:r>
      <w:r w:rsidR="00B96760" w:rsidRPr="00EF6C4E">
        <w:rPr>
          <w:rFonts w:ascii="Calibri" w:hAnsi="Calibri"/>
          <w:b/>
          <w:sz w:val="24"/>
        </w:rPr>
        <w:t>.</w:t>
      </w:r>
      <w:r w:rsidRPr="00EF6C4E">
        <w:rPr>
          <w:rFonts w:ascii="Calibri" w:hAnsi="Calibri"/>
          <w:b/>
          <w:sz w:val="24"/>
        </w:rPr>
        <w:t xml:space="preserve"> Descriptions and values of parameters used in the final model</w:t>
      </w:r>
    </w:p>
    <w:tbl>
      <w:tblPr>
        <w:tblW w:w="12694" w:type="dxa"/>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28"/>
        <w:gridCol w:w="3000"/>
        <w:gridCol w:w="3600"/>
        <w:gridCol w:w="2600"/>
        <w:gridCol w:w="1266"/>
        <w:gridCol w:w="1000"/>
      </w:tblGrid>
      <w:tr w:rsidR="00415958" w:rsidRPr="00EF6C4E" w:rsidTr="00415958">
        <w:trPr>
          <w:tblHeader/>
        </w:trPr>
        <w:tc>
          <w:tcPr>
            <w:tcW w:w="1228"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Parameter</w:t>
            </w:r>
          </w:p>
          <w:p w:rsidR="00415958" w:rsidRPr="00EF6C4E" w:rsidRDefault="00415958" w:rsidP="00415958">
            <w:pPr>
              <w:rPr>
                <w:rFonts w:ascii="Calibri" w:hAnsi="Calibri"/>
                <w:b/>
                <w:szCs w:val="18"/>
              </w:rPr>
            </w:pPr>
          </w:p>
        </w:tc>
        <w:tc>
          <w:tcPr>
            <w:tcW w:w="3000"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Description / details</w:t>
            </w:r>
          </w:p>
        </w:tc>
        <w:tc>
          <w:tcPr>
            <w:tcW w:w="3600"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Values from literature / data</w:t>
            </w:r>
          </w:p>
        </w:tc>
        <w:tc>
          <w:tcPr>
            <w:tcW w:w="2600"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Citation / source of estimate</w:t>
            </w:r>
          </w:p>
        </w:tc>
        <w:tc>
          <w:tcPr>
            <w:tcW w:w="1266"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Best estimate</w:t>
            </w:r>
          </w:p>
        </w:tc>
        <w:tc>
          <w:tcPr>
            <w:tcW w:w="1000" w:type="dxa"/>
            <w:tcBorders>
              <w:top w:val="single" w:sz="4" w:space="0" w:color="auto"/>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Range</w:t>
            </w:r>
          </w:p>
        </w:tc>
      </w:tr>
      <w:tr w:rsidR="00415958" w:rsidRPr="00EF6C4E" w:rsidTr="00415958">
        <w:tc>
          <w:tcPr>
            <w:tcW w:w="1228" w:type="dxa"/>
            <w:tcBorders>
              <w:top w:val="single" w:sz="4" w:space="0" w:color="auto"/>
              <w:bottom w:val="single" w:sz="4" w:space="0" w:color="C0C0C0"/>
            </w:tcBorders>
          </w:tcPr>
          <w:p w:rsidR="00415958" w:rsidRPr="00EF6C4E" w:rsidRDefault="00415958" w:rsidP="00415958">
            <w:pPr>
              <w:rPr>
                <w:rFonts w:ascii="Calibri" w:hAnsi="Calibri"/>
                <w:sz w:val="22"/>
                <w:szCs w:val="18"/>
              </w:rPr>
            </w:pPr>
            <w:r w:rsidRPr="00EF6C4E">
              <w:rPr>
                <w:rFonts w:ascii="Calibri" w:hAnsi="Calibri" w:cs="Arial"/>
                <w:sz w:val="22"/>
                <w:szCs w:val="18"/>
              </w:rPr>
              <w:t>ε(t)</w:t>
            </w:r>
          </w:p>
        </w:tc>
        <w:tc>
          <w:tcPr>
            <w:tcW w:w="3000" w:type="dxa"/>
            <w:tcBorders>
              <w:top w:val="single" w:sz="4" w:space="0" w:color="auto"/>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Enrolment rate</w:t>
            </w:r>
          </w:p>
        </w:tc>
        <w:tc>
          <w:tcPr>
            <w:tcW w:w="3600" w:type="dxa"/>
            <w:tcBorders>
              <w:top w:val="single" w:sz="4" w:space="0" w:color="auto"/>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Varies with time: 1.95/arm/day between days 30 and days 668 </w:t>
            </w:r>
          </w:p>
        </w:tc>
        <w:tc>
          <w:tcPr>
            <w:tcW w:w="2600" w:type="dxa"/>
            <w:tcBorders>
              <w:top w:val="single" w:sz="4" w:space="0" w:color="auto"/>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Navrongo data</w:t>
            </w:r>
          </w:p>
        </w:tc>
        <w:tc>
          <w:tcPr>
            <w:tcW w:w="1266" w:type="dxa"/>
            <w:tcBorders>
              <w:top w:val="single" w:sz="4" w:space="0" w:color="auto"/>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1.95 per arm</w:t>
            </w:r>
          </w:p>
        </w:tc>
        <w:tc>
          <w:tcPr>
            <w:tcW w:w="1000" w:type="dxa"/>
            <w:tcBorders>
              <w:top w:val="single" w:sz="4" w:space="0" w:color="auto"/>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r>
      <w:tr w:rsidR="00415958" w:rsidRPr="00EF6C4E" w:rsidTr="00415958">
        <w:tc>
          <w:tcPr>
            <w:tcW w:w="1228" w:type="dxa"/>
            <w:tcBorders>
              <w:top w:val="single" w:sz="4" w:space="0" w:color="C0C0C0"/>
              <w:bottom w:val="nil"/>
            </w:tcBorders>
          </w:tcPr>
          <w:p w:rsidR="00415958" w:rsidRPr="00EF6C4E" w:rsidRDefault="00415958" w:rsidP="00415958">
            <w:pPr>
              <w:rPr>
                <w:rFonts w:ascii="Calibri" w:hAnsi="Calibri"/>
                <w:sz w:val="22"/>
                <w:szCs w:val="18"/>
                <w:vertAlign w:val="subscript"/>
              </w:rPr>
            </w:pPr>
            <w:r w:rsidRPr="00EF6C4E">
              <w:rPr>
                <w:rFonts w:ascii="Calibri" w:hAnsi="Calibri"/>
                <w:sz w:val="22"/>
                <w:szCs w:val="18"/>
              </w:rPr>
              <w:t>α(t)</w:t>
            </w:r>
          </w:p>
        </w:tc>
        <w:tc>
          <w:tcPr>
            <w:tcW w:w="30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 xml:space="preserve">Ageing </w:t>
            </w:r>
          </w:p>
          <w:p w:rsidR="00415958" w:rsidRPr="00EF6C4E" w:rsidRDefault="00415958" w:rsidP="00415958">
            <w:pPr>
              <w:rPr>
                <w:rFonts w:ascii="Calibri" w:hAnsi="Calibri"/>
                <w:szCs w:val="18"/>
              </w:rPr>
            </w:pPr>
            <w:r w:rsidRPr="00EF6C4E">
              <w:rPr>
                <w:rFonts w:ascii="Calibri" w:hAnsi="Calibri"/>
                <w:szCs w:val="18"/>
              </w:rPr>
              <w:t>infants to 1 year olds</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Varies with time:</w:t>
            </w:r>
          </w:p>
          <w:p w:rsidR="00415958" w:rsidRPr="00EF6C4E" w:rsidRDefault="00415958" w:rsidP="00415958">
            <w:pPr>
              <w:rPr>
                <w:rFonts w:ascii="Calibri" w:hAnsi="Calibri"/>
                <w:szCs w:val="18"/>
              </w:rPr>
            </w:pPr>
            <w:r w:rsidRPr="00EF6C4E">
              <w:rPr>
                <w:rFonts w:ascii="Calibri" w:hAnsi="Calibri"/>
                <w:szCs w:val="18"/>
              </w:rPr>
              <w:t>Enrolment rate + delay of 305 days</w:t>
            </w:r>
          </w:p>
        </w:tc>
        <w:tc>
          <w:tcPr>
            <w:tcW w:w="2600" w:type="dxa"/>
            <w:tcBorders>
              <w:top w:val="single" w:sz="4" w:space="0" w:color="C0C0C0"/>
              <w:bottom w:val="nil"/>
            </w:tcBorders>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w:t>
            </w:r>
          </w:p>
        </w:tc>
        <w:tc>
          <w:tcPr>
            <w:tcW w:w="1266" w:type="dxa"/>
            <w:tcBorders>
              <w:top w:val="single" w:sz="4" w:space="0" w:color="C0C0C0"/>
              <w:bottom w:val="nil"/>
            </w:tcBorders>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w:t>
            </w:r>
          </w:p>
        </w:tc>
        <w:tc>
          <w:tcPr>
            <w:tcW w:w="1000" w:type="dxa"/>
            <w:tcBorders>
              <w:top w:val="single" w:sz="4" w:space="0" w:color="C0C0C0"/>
              <w:bottom w:val="nil"/>
            </w:tcBorders>
          </w:tcPr>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r w:rsidRPr="00EF6C4E">
              <w:rPr>
                <w:rFonts w:ascii="Calibri" w:hAnsi="Calibri"/>
                <w:szCs w:val="18"/>
              </w:rPr>
              <w:t>-</w:t>
            </w: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szCs w:val="18"/>
                <w:vertAlign w:val="subscript"/>
              </w:rPr>
            </w:pPr>
          </w:p>
        </w:tc>
        <w:tc>
          <w:tcPr>
            <w:tcW w:w="30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1 year old to exit from model </w:t>
            </w: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Enrolment rate + delay of 670 days</w:t>
            </w:r>
          </w:p>
        </w:tc>
        <w:tc>
          <w:tcPr>
            <w:tcW w:w="2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266"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0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EIR</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Entomological inoculation rate</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Varies with time according to data (Navrongo) or sinusoidal function (other settings)</w:t>
            </w:r>
          </w:p>
        </w:tc>
        <w:tc>
          <w:tcPr>
            <w:tcW w:w="2600" w:type="dxa"/>
            <w:tcBorders>
              <w:top w:val="single" w:sz="4" w:space="0" w:color="C0C0C0"/>
              <w:bottom w:val="single" w:sz="4" w:space="0" w:color="C0C0C0"/>
            </w:tcBorders>
          </w:tcPr>
          <w:p w:rsidR="00415958" w:rsidRPr="00EF6C4E" w:rsidRDefault="007C4091" w:rsidP="00415958">
            <w:pPr>
              <w:rPr>
                <w:rFonts w:ascii="Calibri" w:hAnsi="Calibri"/>
                <w:szCs w:val="18"/>
              </w:rPr>
            </w:pPr>
            <w:r w:rsidRPr="00EF6C4E">
              <w:rPr>
                <w:rFonts w:ascii="Calibri" w:hAnsi="Calibri"/>
                <w:szCs w:val="18"/>
              </w:rPr>
              <w:t>Anto et al.</w:t>
            </w:r>
            <w:r w:rsidR="00415958" w:rsidRPr="00EF6C4E">
              <w:rPr>
                <w:rFonts w:ascii="Calibri" w:hAnsi="Calibri"/>
                <w:szCs w:val="18"/>
              </w:rPr>
              <w:t xml:space="preserve">, unpublished </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See description</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r>
      <w:tr w:rsidR="00415958" w:rsidRPr="00EF6C4E" w:rsidTr="00415958">
        <w:tc>
          <w:tcPr>
            <w:tcW w:w="1228"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b</w:t>
            </w:r>
          </w:p>
        </w:tc>
        <w:tc>
          <w:tcPr>
            <w:tcW w:w="3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probability an infective bite results in infection in a child</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0.006 (High EIR), 0.07 (Low EIR)</w:t>
            </w:r>
          </w:p>
        </w:tc>
        <w:tc>
          <w:tcPr>
            <w:tcW w:w="2600" w:type="dxa"/>
            <w:tcBorders>
              <w:top w:val="single" w:sz="4" w:space="0" w:color="C0C0C0"/>
              <w:bottom w:val="nil"/>
            </w:tcBorders>
          </w:tcPr>
          <w:p w:rsidR="00415958" w:rsidRPr="00EF6C4E" w:rsidRDefault="00AA2259" w:rsidP="002441A6">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&lt;EndNote&gt;&lt;Cite&gt;&lt;Author&gt;Charlwood&lt;/Author&gt;&lt;Year&gt;1998&lt;/Year&gt;&lt;RecNum&gt;585&lt;/RecNum&gt;&lt;record&gt;&lt;rec-number&gt;585&lt;/rec-number&gt;&lt;foreign-keys&gt;&lt;key app="EN" db-id="50vzxafd505dzseevvi5prdyd0vsefrtrrpx"&gt;585&lt;/key&gt;&lt;/foreign-keys&gt;&lt;ref-type name="Journal Article"&gt;17&lt;/ref-type&gt;&lt;contributors&gt;&lt;authors&gt;&lt;author&gt;Charlwood, J. D.&lt;/author&gt;&lt;author&gt;Smith, T.&lt;/author&gt;&lt;author&gt;Lyimo, E.&lt;/author&gt;&lt;author&gt;Kitua, A. Y.&lt;/author&gt;&lt;author&gt;Masanja, H.&lt;/author&gt;&lt;author&gt;Booth, M.&lt;/author&gt;&lt;author&gt;Alonso, P. L.&lt;/author&gt;&lt;author&gt;Tanner, M.&lt;/author&gt;&lt;/authors&gt;&lt;/contributors&gt;&lt;auth-address&gt;Swiss Tropical Institute, Basel.&lt;/auth-address&gt;&lt;titles&gt;&lt;title&gt;Incidence of Plasmodium falciparum infection in infants in relation to exposure to sporozoite-infected anophelines&lt;/title&gt;&lt;secondary-title&gt;Am J Trop Med Hyg&lt;/secondary-title&gt;&lt;/titles&gt;&lt;periodical&gt;&lt;full-title&gt;Am J Trop Med Hyg&lt;/full-title&gt;&lt;/periodical&gt;&lt;pages&gt;243-51&lt;/pages&gt;&lt;volume&gt;59&lt;/volume&gt;&lt;number&gt;2&lt;/number&gt;&lt;keywords&gt;&lt;keyword&gt;Animals&lt;/keyword&gt;&lt;keyword&gt;Anopheles/ parasitology&lt;/keyword&gt;&lt;keyword&gt;Enzyme-Linked Immunosorbent Assay&lt;/keyword&gt;&lt;keyword&gt;Humans&lt;/keyword&gt;&lt;keyword&gt;Incidence&lt;/keyword&gt;&lt;keyword&gt;Infant&lt;/keyword&gt;&lt;keyword&gt;Insect Bites and Stings/complications/ epidemiology&lt;/keyword&gt;&lt;keyword&gt;Insect Vectors/ parasitology&lt;/keyword&gt;&lt;keyword&gt;Logistic Models&lt;/keyword&gt;&lt;keyword&gt;Longitudinal Studies&lt;/keyword&gt;&lt;keyword&gt;Malaria, Falciparum/ epidemiology/transmission&lt;/keyword&gt;&lt;keyword&gt;Parasitemia/epidemiology/transmission&lt;/keyword&gt;&lt;keyword&gt;Plasmodium falciparum/ isolation &amp;amp; purification&lt;/keyword&gt;&lt;keyword&gt;Poisson Distribution&lt;/keyword&gt;&lt;keyword&gt;Residence Characteristics&lt;/keyword&gt;&lt;keyword&gt;Rural Population&lt;/keyword&gt;&lt;keyword&gt;Seasons&lt;/keyword&gt;&lt;keyword&gt;Tanzania/epidemiology&lt;/keyword&gt;&lt;/keywords&gt;&lt;dates&gt;&lt;year&gt;1998&lt;/year&gt;&lt;pub-dates&gt;&lt;date&gt;Aug&lt;/date&gt;&lt;/pub-dates&gt;&lt;/dates&gt;&lt;isbn&gt;0002-9637 (Print)&lt;/isbn&gt;&lt;accession-num&gt;9715940&lt;/accession-num&gt;&lt;urls&gt;&lt;/urls&gt;&lt;/record&gt;&lt;/Cite&gt;&lt;/EndNote&gt;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[16]</w:t>
            </w:r>
            <w:r w:rsidRPr="00EF6C4E">
              <w:rPr>
                <w:rFonts w:ascii="Calibri" w:hAnsi="Calibri"/>
                <w:szCs w:val="18"/>
                <w:lang w:val="fr-FR"/>
              </w:rPr>
              <w:fldChar w:fldCharType="end"/>
            </w:r>
          </w:p>
        </w:tc>
        <w:tc>
          <w:tcPr>
            <w:tcW w:w="1266" w:type="dxa"/>
            <w:tcBorders>
              <w:top w:val="single" w:sz="4" w:space="0" w:color="C0C0C0"/>
              <w:bottom w:val="nil"/>
            </w:tcBorders>
          </w:tcPr>
          <w:p w:rsidR="00415958" w:rsidRPr="00EF6C4E" w:rsidRDefault="00415958" w:rsidP="00415958">
            <w:pPr>
              <w:rPr>
                <w:rFonts w:ascii="Calibri" w:hAnsi="Calibri"/>
                <w:szCs w:val="18"/>
                <w:lang w:val="en-US"/>
              </w:rPr>
            </w:pPr>
            <w:r w:rsidRPr="00EF6C4E">
              <w:rPr>
                <w:rFonts w:ascii="Calibri" w:hAnsi="Calibri"/>
                <w:szCs w:val="18"/>
              </w:rPr>
              <w:t>0.02</w:t>
            </w:r>
          </w:p>
        </w:tc>
        <w:tc>
          <w:tcPr>
            <w:tcW w:w="1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0.005 – 0.1</w:t>
            </w:r>
          </w:p>
        </w:tc>
      </w:tr>
      <w:tr w:rsidR="00415958" w:rsidRPr="00EF6C4E" w:rsidTr="00415958">
        <w:tc>
          <w:tcPr>
            <w:tcW w:w="1228" w:type="dxa"/>
            <w:tcBorders>
              <w:top w:val="nil"/>
              <w:bottom w:val="nil"/>
            </w:tcBorders>
          </w:tcPr>
          <w:p w:rsidR="00415958" w:rsidRPr="00EF6C4E" w:rsidRDefault="00415958" w:rsidP="00415958">
            <w:pPr>
              <w:rPr>
                <w:rFonts w:ascii="Calibri" w:hAnsi="Calibri"/>
                <w:i/>
                <w:szCs w:val="18"/>
              </w:rPr>
            </w:pPr>
          </w:p>
        </w:tc>
        <w:tc>
          <w:tcPr>
            <w:tcW w:w="3000" w:type="dxa"/>
            <w:vMerge/>
          </w:tcPr>
          <w:p w:rsidR="00415958" w:rsidRPr="00EF6C4E" w:rsidRDefault="00415958" w:rsidP="00415958">
            <w:pPr>
              <w:rPr>
                <w:rFonts w:ascii="Calibri" w:hAnsi="Calibri"/>
                <w:szCs w:val="18"/>
              </w:rPr>
            </w:pPr>
          </w:p>
        </w:tc>
        <w:tc>
          <w:tcPr>
            <w:tcW w:w="3600" w:type="dxa"/>
            <w:tcBorders>
              <w:top w:val="nil"/>
              <w:bottom w:val="nil"/>
            </w:tcBorders>
          </w:tcPr>
          <w:p w:rsidR="00415958" w:rsidRPr="00EF6C4E" w:rsidRDefault="00415958" w:rsidP="00415958">
            <w:pPr>
              <w:rPr>
                <w:rFonts w:ascii="Calibri" w:hAnsi="Calibri"/>
                <w:szCs w:val="18"/>
              </w:rPr>
            </w:pPr>
            <w:r w:rsidRPr="00EF6C4E">
              <w:rPr>
                <w:rFonts w:ascii="Calibri" w:hAnsi="Calibri" w:cs="TimesTen-Roman"/>
                <w:szCs w:val="16"/>
                <w:lang w:val="en-US"/>
              </w:rPr>
              <w:t>0.026 - 0.073 (EIR=1 per day)</w:t>
            </w:r>
          </w:p>
        </w:tc>
        <w:tc>
          <w:tcPr>
            <w:tcW w:w="2600" w:type="dxa"/>
            <w:tcBorders>
              <w:top w:val="nil"/>
              <w:bottom w:val="nil"/>
            </w:tcBorders>
          </w:tcPr>
          <w:p w:rsidR="00415958" w:rsidRPr="00EF6C4E" w:rsidRDefault="00AA2259" w:rsidP="002441A6">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&lt;EndNote&gt;&lt;Cite&gt;&lt;Author&gt;Smith&lt;/Author&gt;&lt;Year&gt;2006&lt;/Year&gt;&lt;RecNum&gt;298&lt;/RecNum&gt;&lt;record&gt;&lt;rec-number&gt;298&lt;/rec-number&gt;&lt;foreign-keys&gt;&lt;key app="EN" db-id="50vzxafd505dzseevvi5prdyd0vsefrtrrpx"&gt;298&lt;/key&gt;&lt;/foreign-keys&gt;&lt;ref-type name="Journal Article"&gt;17&lt;/ref-type&gt;&lt;contributors&gt;&lt;authors&gt;&lt;author&gt;Smith, Thomas&lt;/author&gt;&lt;author&gt;Maire, Nicolas&lt;/author&gt;&lt;author&gt;Dietz, Klaus&lt;/author&gt;&lt;author&gt;Killeen, Gerry F.&lt;/author&gt;&lt;author&gt;Vounatsou, Penelope&lt;/author&gt;&lt;author&gt;Molineaux, Louis&lt;/author&gt;&lt;author&gt;Tanner, Marcel&lt;/author&gt;&lt;/authors&gt;&lt;/contributors&gt;&lt;titles&gt;&lt;title&gt;RELATIONSHIP BETWEEN THE ENTOMOLOGIC INOCULATION RATE AND THE FORCE OF INFECTION FOR PLASMODIUM FALCIPARUM MALARIA&lt;/title&gt;&lt;secondary-title&gt;Am J Trop Med Hyg&lt;/secondary-title&gt;&lt;/titles&gt;&lt;periodical&gt;&lt;full-title&gt;Am J Trop Med Hyg&lt;/full-title&gt;&lt;/periodical&gt;&lt;pages&gt;11-18&lt;/pages&gt;&lt;volume&gt;75&lt;/volume&gt;&lt;number&gt;2_suppl&lt;/number&gt;&lt;dates&gt;&lt;year&gt;2006&lt;/year&gt;&lt;pub-dates&gt;&lt;date&gt;August 1, 2006&lt;/date&gt;&lt;/pub-dates&gt;&lt;/dates&gt;&lt;urls&gt;&lt;related-urls&gt;&lt;url&gt;http://www.ajtmh.org/cgi/content/abstract/75/2_suppl/11 &lt;/url&gt;&lt;/related-urls&gt;&lt;/urls&gt;&lt;/record&gt;&lt;/Cite&gt;&lt;/EndNote&gt;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[17]</w:t>
            </w:r>
            <w:r w:rsidRPr="00EF6C4E">
              <w:rPr>
                <w:rFonts w:ascii="Calibri" w:hAnsi="Calibri"/>
                <w:szCs w:val="18"/>
                <w:lang w:val="fr-FR"/>
              </w:rPr>
              <w:fldChar w:fldCharType="end"/>
            </w:r>
          </w:p>
        </w:tc>
        <w:tc>
          <w:tcPr>
            <w:tcW w:w="1266" w:type="dxa"/>
            <w:tcBorders>
              <w:top w:val="nil"/>
              <w:bottom w:val="nil"/>
            </w:tcBorders>
          </w:tcPr>
          <w:p w:rsidR="00415958" w:rsidRPr="00EF6C4E" w:rsidRDefault="00415958" w:rsidP="00415958">
            <w:pPr>
              <w:rPr>
                <w:rFonts w:ascii="Calibri" w:hAnsi="Calibri"/>
                <w:szCs w:val="18"/>
              </w:rPr>
            </w:pPr>
          </w:p>
        </w:tc>
        <w:tc>
          <w:tcPr>
            <w:tcW w:w="1000" w:type="dxa"/>
            <w:vMerge/>
          </w:tcPr>
          <w:p w:rsidR="00415958" w:rsidRPr="00EF6C4E" w:rsidRDefault="00415958" w:rsidP="00415958">
            <w:pPr>
              <w:rPr>
                <w:rFonts w:ascii="Calibri" w:hAnsi="Calibri"/>
                <w:szCs w:val="18"/>
              </w:rPr>
            </w:pPr>
          </w:p>
        </w:tc>
      </w:tr>
      <w:tr w:rsidR="00415958" w:rsidRPr="00EF6C4E" w:rsidTr="00415958">
        <w:tc>
          <w:tcPr>
            <w:tcW w:w="1228" w:type="dxa"/>
            <w:tcBorders>
              <w:top w:val="nil"/>
              <w:bottom w:val="nil"/>
            </w:tcBorders>
          </w:tcPr>
          <w:p w:rsidR="00415958" w:rsidRPr="00EF6C4E" w:rsidRDefault="00415958" w:rsidP="00415958">
            <w:pPr>
              <w:rPr>
                <w:rFonts w:ascii="Calibri" w:hAnsi="Calibri"/>
                <w:i/>
                <w:szCs w:val="18"/>
              </w:rPr>
            </w:pPr>
          </w:p>
        </w:tc>
        <w:tc>
          <w:tcPr>
            <w:tcW w:w="3000" w:type="dxa"/>
            <w:vMerge/>
          </w:tcPr>
          <w:p w:rsidR="00415958" w:rsidRPr="00EF6C4E" w:rsidRDefault="00415958" w:rsidP="00415958">
            <w:pPr>
              <w:rPr>
                <w:rFonts w:ascii="Calibri" w:hAnsi="Calibri"/>
                <w:szCs w:val="18"/>
              </w:rPr>
            </w:pPr>
          </w:p>
        </w:tc>
        <w:tc>
          <w:tcPr>
            <w:tcW w:w="3600" w:type="dxa"/>
            <w:tcBorders>
              <w:top w:val="nil"/>
              <w:bottom w:val="nil"/>
            </w:tcBorders>
          </w:tcPr>
          <w:p w:rsidR="00415958" w:rsidRPr="00EF6C4E" w:rsidRDefault="00415958" w:rsidP="00415958">
            <w:pPr>
              <w:rPr>
                <w:rFonts w:ascii="Calibri" w:hAnsi="Calibri"/>
                <w:szCs w:val="18"/>
              </w:rPr>
            </w:pPr>
            <w:r w:rsidRPr="00EF6C4E">
              <w:rPr>
                <w:rFonts w:ascii="Calibri" w:hAnsi="Calibri"/>
                <w:szCs w:val="18"/>
              </w:rPr>
              <w:t>0.03-0.13</w:t>
            </w:r>
          </w:p>
        </w:tc>
        <w:tc>
          <w:tcPr>
            <w:tcW w:w="2600" w:type="dxa"/>
            <w:tcBorders>
              <w:top w:val="nil"/>
              <w:bottom w:val="nil"/>
            </w:tcBorders>
          </w:tcPr>
          <w:p w:rsidR="00415958" w:rsidRPr="00EF6C4E" w:rsidRDefault="00AA2259" w:rsidP="002441A6">
            <w:pPr>
              <w:rPr>
                <w:rFonts w:ascii="Calibri" w:hAnsi="Calibri"/>
                <w:szCs w:val="18"/>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&lt;EndNote&gt;&lt;Cite&gt;&lt;Author&gt;Beier&lt;/Author&gt;&lt;Year&gt;1994&lt;/Year&gt;&lt;RecNum&gt;377&lt;/RecNum&gt;&lt;record&gt;&lt;rec-number&gt;377&lt;/rec-number&gt;&lt;foreign-keys&gt;&lt;key app="EN" db-id="50vzxafd505dzseevvi5prdyd0vsefrtrrpx"&gt;377&lt;/key&gt;&lt;/foreign-keys&gt;&lt;ref-type name="Journal Article"&gt;17&lt;/ref-type&gt;&lt;contributors&gt;&lt;authors&gt;&lt;author&gt;Beier, J. C.&lt;/author&gt;&lt;author&gt;Oster, C. N.&lt;/author&gt;&lt;author&gt;Onyango, F. K.&lt;/author&gt;&lt;author&gt;Bales, J. D.&lt;/author&gt;&lt;author&gt;Sherwood, J. A.&lt;/author&gt;&lt;author&gt;Perkins, P. V.&lt;/author&gt;&lt;author&gt;Chumo, D. K.&lt;/author&gt;&lt;author&gt;Koech, D. V.&lt;/author&gt;&lt;author&gt;Whitmire, R. E.&lt;/author&gt;&lt;author&gt;Roberts, C. R.&lt;/author&gt;&lt;author&gt;et al.,&lt;/author&gt;&lt;/authors&gt;&lt;/contributors&gt;&lt;auth-address&gt;Kenya Medical Research Institute, Nairobi.&lt;/auth-address&gt;&lt;titles&gt;&lt;title&gt;Plasmodium falciparum incidence relative to entomologic inoculation rates at a site proposed for testing malaria vaccines in western Kenya&lt;/title&gt;&lt;secondary-title&gt;Am J Trop Med Hyg&lt;/secondary-title&gt;&lt;/titles&gt;&lt;periodical&gt;&lt;full-title&gt;Am J Trop Med Hyg&lt;/full-title&gt;&lt;/periodical&gt;&lt;pages&gt;529-36&lt;/pages&gt;&lt;volume&gt;50&lt;/volume&gt;&lt;number&gt;5&lt;/number&gt;&lt;keywords&gt;&lt;keyword&gt;Animals&lt;/keyword&gt;&lt;keyword&gt;Child, Preschool&lt;/keyword&gt;&lt;keyword&gt;Cohort Studies&lt;/keyword&gt;&lt;keyword&gt;Culicidae/physiology&lt;/keyword&gt;&lt;keyword&gt;Humans&lt;/keyword&gt;&lt;keyword&gt;Incidence&lt;/keyword&gt;&lt;keyword&gt;Infant&lt;/keyword&gt;&lt;keyword&gt;Insect Bites and Stings/ epidemiology&lt;/keyword&gt;&lt;keyword&gt;Insect Vectors/physiology&lt;/keyword&gt;&lt;keyword&gt;Kenya/epidemiology&lt;/keyword&gt;&lt;keyword&gt;Longitudinal Studies&lt;/keyword&gt;&lt;keyword&gt;Malaria, Falciparum/ epidemiology&lt;/keyword&gt;&lt;keyword&gt;Probability&lt;/keyword&gt;&lt;keyword&gt;Rain&lt;/keyword&gt;&lt;keyword&gt;Risk Factors&lt;/keyword&gt;&lt;keyword&gt;Seasons&lt;/keyword&gt;&lt;/keywords&gt;&lt;dates&gt;&lt;year&gt;1994&lt;/year&gt;&lt;pub-dates&gt;&lt;date&gt;May&lt;/date&gt;&lt;/pub-dates&gt;&lt;/dates&gt;&lt;isbn&gt;0002-9637 (Print)&lt;/isbn&gt;&lt;accession-num&gt;7911282&lt;/accession-num&gt;&lt;urls&gt;&lt;/urls&gt;&lt;/record&gt;&lt;/Cite&gt;&lt;/EndNote&gt;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[18]</w:t>
            </w:r>
            <w:r w:rsidRPr="00EF6C4E">
              <w:rPr>
                <w:rFonts w:ascii="Calibri" w:hAnsi="Calibri"/>
                <w:szCs w:val="18"/>
                <w:lang w:val="fr-FR"/>
              </w:rPr>
              <w:fldChar w:fldCharType="end"/>
            </w:r>
          </w:p>
        </w:tc>
        <w:tc>
          <w:tcPr>
            <w:tcW w:w="1266" w:type="dxa"/>
            <w:tcBorders>
              <w:top w:val="nil"/>
              <w:bottom w:val="nil"/>
            </w:tcBorders>
          </w:tcPr>
          <w:p w:rsidR="00415958" w:rsidRPr="00EF6C4E" w:rsidRDefault="00415958" w:rsidP="00415958">
            <w:pPr>
              <w:rPr>
                <w:rFonts w:ascii="Calibri" w:hAnsi="Calibri"/>
                <w:szCs w:val="18"/>
              </w:rPr>
            </w:pPr>
          </w:p>
        </w:tc>
        <w:tc>
          <w:tcPr>
            <w:tcW w:w="1000" w:type="dxa"/>
            <w:vMerge/>
          </w:tcPr>
          <w:p w:rsidR="00415958" w:rsidRPr="00EF6C4E" w:rsidRDefault="00415958" w:rsidP="00415958">
            <w:pPr>
              <w:rPr>
                <w:rFonts w:ascii="Calibri" w:hAnsi="Calibri"/>
                <w:szCs w:val="18"/>
              </w:rPr>
            </w:pP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i/>
                <w:szCs w:val="18"/>
              </w:rPr>
            </w:pPr>
          </w:p>
        </w:tc>
        <w:tc>
          <w:tcPr>
            <w:tcW w:w="3000" w:type="dxa"/>
            <w:vMerge/>
            <w:tcBorders>
              <w:bottom w:val="single" w:sz="4" w:space="0" w:color="C0C0C0"/>
            </w:tcBorders>
          </w:tcPr>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0.1</w:t>
            </w:r>
          </w:p>
        </w:tc>
        <w:tc>
          <w:tcPr>
            <w:tcW w:w="2600" w:type="dxa"/>
            <w:tcBorders>
              <w:top w:val="nil"/>
              <w:bottom w:val="single" w:sz="4" w:space="0" w:color="C0C0C0"/>
            </w:tcBorders>
          </w:tcPr>
          <w:p w:rsidR="00415958" w:rsidRPr="00EF6C4E" w:rsidRDefault="00AA2259" w:rsidP="002441A6">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&lt;EndNote&gt;&lt;Cite&gt;&lt;Author&gt;Dietz&lt;/Author&gt;&lt;Year&gt;1974&lt;/Year&gt;&lt;RecNum&gt;261&lt;/RecNum&gt;&lt;record&gt;&lt;rec-number&gt;261&lt;/rec-number&gt;&lt;foreign-keys&gt;&lt;key app="EN" db-id="50vzxafd505dzseevvi5prdyd0vsefrtrrpx"&gt;261&lt;/key&gt;&lt;/foreign-keys&gt;&lt;ref-type name="Journal Article"&gt;17&lt;/ref-type&gt;&lt;contributors&gt;&lt;authors&gt;&lt;author&gt;Dietz, Klaus&lt;/author&gt;&lt;author&gt;Molineaux, Louis&lt;/author&gt;&lt;author&gt;Thomas, A&lt;/author&gt;&lt;/authors&gt;&lt;/contributors&gt;&lt;titles&gt;&lt;title&gt;A malaria model tested in African savannah&lt;/title&gt;&lt;secondary-title&gt;Bulletin of the World Health Organisation&lt;/secondary-title&gt;&lt;/titles&gt;&lt;periodical&gt;&lt;full-title&gt;Bulletin of the World Health Organisation&lt;/full-title&gt;&lt;/periodical&gt;&lt;pages&gt;347-357&lt;/pages&gt;&lt;volume&gt;50&lt;/volume&gt;&lt;dates&gt;&lt;year&gt;1974&lt;/year&gt;&lt;/dates&gt;&lt;urls&gt;&lt;pdf-urls&gt;&lt;url&gt;file:///C:/Documents%20and%20Settings/Matt%20Cairns/My%20Documents/My%20Documents/1%20PHD/MALARIA%20MODELING/DIETZ%20mal%20model%20tested%20in%20african%20savannah%20BULL%20WHO%201974.pdf&lt;/url&gt;&lt;/pdf-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[19]</w:t>
            </w:r>
            <w:r w:rsidRPr="00EF6C4E">
              <w:rPr>
                <w:rFonts w:ascii="Calibri" w:hAnsi="Calibri"/>
                <w:szCs w:val="18"/>
                <w:lang w:val="fr-FR"/>
              </w:rPr>
              <w:fldChar w:fldCharType="end"/>
            </w:r>
          </w:p>
        </w:tc>
        <w:tc>
          <w:tcPr>
            <w:tcW w:w="1266" w:type="dxa"/>
            <w:tcBorders>
              <w:top w:val="nil"/>
              <w:bottom w:val="single" w:sz="4" w:space="0" w:color="C0C0C0"/>
            </w:tcBorders>
          </w:tcPr>
          <w:p w:rsidR="00415958" w:rsidRPr="00EF6C4E" w:rsidRDefault="00415958" w:rsidP="00415958">
            <w:pPr>
              <w:rPr>
                <w:rFonts w:ascii="Calibri" w:hAnsi="Calibri"/>
                <w:szCs w:val="18"/>
              </w:rPr>
            </w:pPr>
          </w:p>
        </w:tc>
        <w:tc>
          <w:tcPr>
            <w:tcW w:w="1000" w:type="dxa"/>
            <w:vMerge/>
            <w:tcBorders>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 w:val="22"/>
                <w:szCs w:val="18"/>
              </w:rPr>
            </w:pPr>
            <w:r w:rsidRPr="00EF6C4E">
              <w:rPr>
                <w:rFonts w:ascii="Calibri" w:hAnsi="Calibri"/>
                <w:sz w:val="22"/>
                <w:szCs w:val="18"/>
              </w:rPr>
              <w:t>λ(t)</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Force of infection = EIR*b</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Varies with time: determined by EIR</w:t>
            </w: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nil"/>
            </w:tcBorders>
          </w:tcPr>
          <w:p w:rsidR="00415958" w:rsidRPr="00EF6C4E" w:rsidRDefault="00415958" w:rsidP="00415958">
            <w:pPr>
              <w:rPr>
                <w:rFonts w:ascii="Calibri" w:hAnsi="Calibri"/>
                <w:szCs w:val="18"/>
                <w:vertAlign w:val="subscript"/>
              </w:rPr>
            </w:pPr>
            <w:r w:rsidRPr="00EF6C4E">
              <w:rPr>
                <w:rFonts w:ascii="Calibri" w:hAnsi="Calibri"/>
                <w:szCs w:val="18"/>
              </w:rPr>
              <w:t>d</w:t>
            </w:r>
            <w:r w:rsidRPr="00EF6C4E">
              <w:rPr>
                <w:rFonts w:ascii="Calibri" w:hAnsi="Calibri"/>
                <w:szCs w:val="18"/>
                <w:vertAlign w:val="subscript"/>
              </w:rPr>
              <w:t>e</w:t>
            </w:r>
          </w:p>
        </w:tc>
        <w:tc>
          <w:tcPr>
            <w:tcW w:w="3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Mean duration of incubation </w:t>
            </w:r>
          </w:p>
          <w:p w:rsidR="00415958" w:rsidRPr="00EF6C4E" w:rsidRDefault="00415958" w:rsidP="00415958">
            <w:pPr>
              <w:rPr>
                <w:rFonts w:ascii="Calibri" w:hAnsi="Calibri"/>
                <w:szCs w:val="18"/>
              </w:rPr>
            </w:pPr>
            <w:r w:rsidRPr="00EF6C4E">
              <w:rPr>
                <w:rFonts w:ascii="Calibri" w:hAnsi="Calibri"/>
                <w:szCs w:val="18"/>
              </w:rPr>
              <w:t>period</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12 (9-14) days</w:t>
            </w:r>
          </w:p>
        </w:tc>
        <w:tc>
          <w:tcPr>
            <w:tcW w:w="2600" w:type="dxa"/>
            <w:tcBorders>
              <w:top w:val="single" w:sz="4" w:space="0" w:color="C0C0C0"/>
              <w:bottom w:val="nil"/>
            </w:tcBorders>
          </w:tcPr>
          <w:p w:rsidR="00415958" w:rsidRPr="00EF6C4E" w:rsidRDefault="00AA2259" w:rsidP="005E2935">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&lt;EndNote&gt;&lt;Cite&gt;&lt;Author&gt;Sinden&lt;/Author&gt;&lt;Year&gt;2002&lt;/Year&gt;&lt;RecNum&gt;381&lt;/RecNum&gt;&lt;record&gt;&lt;rec-number&gt;381&lt;/rec-number&gt;&lt;foreign-keys&gt;&lt;key app="EN" db-id="50vzxafd505dzseevvi5prdyd0vsefrtrrpx"&gt;381&lt;/key&gt;&lt;/foreign-keys&gt;&lt;ref-type name="Book Section"&gt;5&lt;/ref-type&gt;&lt;contributors&gt;&lt;authors&gt;&lt;author&gt;Sinden, R.E&lt;/author&gt;&lt;author&gt;Gilles, H.M&lt;/author&gt;&lt;/authors&gt;&lt;secondary-authors&gt;&lt;author&gt;Warrell, D.A&lt;/author&gt;&lt;author&gt;Gilles, H.M&lt;/author&gt;&lt;/secondary-authors&gt;&lt;/contributors&gt;&lt;titles&gt;&lt;title&gt;The malaria parasites&lt;/title&gt;&lt;secondary-title&gt;Essential malariology&lt;/secondary-title&gt;&lt;/titles&gt;&lt;edition&gt;Fourth Edition&lt;/edition&gt;&lt;dates&gt;&lt;year&gt;2002&lt;/year&gt;&lt;/dates&gt;&lt;pub-location&gt;London&lt;/pub-location&gt;&lt;publisher&gt;Arnold&lt;/publisher&gt;&lt;urls&gt;&lt;/urls&gt;&lt;/record&gt;&lt;/Cite&gt;&lt;/EndNote&gt;</w:instrText>
            </w:r>
            <w:r w:rsidRPr="00EF6C4E">
              <w:rPr>
                <w:rFonts w:ascii="Calibri" w:hAnsi="Calibri"/>
                <w:szCs w:val="18"/>
              </w:rPr>
              <w:fldChar w:fldCharType="separate"/>
            </w:r>
            <w:r w:rsidR="005E2935" w:rsidRPr="00EF6C4E">
              <w:rPr>
                <w:rFonts w:ascii="Calibri" w:hAnsi="Calibri"/>
                <w:noProof/>
                <w:szCs w:val="18"/>
              </w:rPr>
              <w:t>[12]</w:t>
            </w:r>
            <w:r w:rsidRPr="00EF6C4E">
              <w:rPr>
                <w:rFonts w:ascii="Calibri" w:hAnsi="Calibri"/>
                <w:szCs w:val="18"/>
              </w:rPr>
              <w:fldChar w:fldCharType="end"/>
            </w:r>
          </w:p>
        </w:tc>
        <w:tc>
          <w:tcPr>
            <w:tcW w:w="1266"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10 days</w:t>
            </w:r>
          </w:p>
        </w:tc>
        <w:tc>
          <w:tcPr>
            <w:tcW w:w="1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7-14 </w:t>
            </w:r>
          </w:p>
          <w:p w:rsidR="00415958" w:rsidRPr="00EF6C4E" w:rsidRDefault="00415958" w:rsidP="00415958">
            <w:pPr>
              <w:rPr>
                <w:rFonts w:ascii="Calibri" w:hAnsi="Calibri"/>
                <w:szCs w:val="18"/>
              </w:rPr>
            </w:pPr>
            <w:r w:rsidRPr="00EF6C4E">
              <w:rPr>
                <w:rFonts w:ascii="Calibri" w:hAnsi="Calibri"/>
                <w:szCs w:val="18"/>
              </w:rPr>
              <w:t>days</w:t>
            </w: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szCs w:val="18"/>
              </w:rPr>
            </w:pPr>
          </w:p>
        </w:tc>
        <w:tc>
          <w:tcPr>
            <w:tcW w:w="3000" w:type="dxa"/>
            <w:vMerge/>
            <w:tcBorders>
              <w:bottom w:val="single" w:sz="4" w:space="0" w:color="C0C0C0"/>
            </w:tcBorders>
          </w:tcPr>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9 days</w:t>
            </w:r>
          </w:p>
        </w:tc>
        <w:tc>
          <w:tcPr>
            <w:tcW w:w="2600" w:type="dxa"/>
            <w:tcBorders>
              <w:top w:val="nil"/>
              <w:bottom w:val="single" w:sz="4" w:space="0" w:color="C0C0C0"/>
            </w:tcBorders>
          </w:tcPr>
          <w:p w:rsidR="00415958" w:rsidRPr="00EF6C4E" w:rsidRDefault="00AA2259" w:rsidP="002441A6">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&lt;EndNote&gt;&lt;Cite&gt;&lt;Author&gt;Epstein&lt;/Author&gt;&lt;Year&gt;2007&lt;/Year&gt;&lt;RecNum&gt;682&lt;/RecNum&gt;&lt;record&gt;&lt;rec-number&gt;682&lt;/rec-number&gt;&lt;foreign-keys&gt;&lt;key app="EN" db-id="50vzxafd505dzseevvi5prdyd0vsefrtrrpx"&gt;682&lt;/key&gt;&lt;/foreign-keys&gt;&lt;ref-type name="Journal Article"&gt;17&lt;/ref-type&gt;&lt;contributors&gt;&lt;authors&gt;&lt;author&gt;Epstein, J. E.&lt;/author&gt;&lt;author&gt;Rao, S.&lt;/author&gt;&lt;author&gt;Williams, F.&lt;/author&gt;&lt;author&gt;Freilich, D.&lt;/author&gt;&lt;author&gt;Luke, T.&lt;/author&gt;&lt;author&gt;Sedegah, M.&lt;/author&gt;&lt;author&gt;de la Vega, P.&lt;/author&gt;&lt;author&gt;Sacci, J.&lt;/author&gt;&lt;author&gt;Richie, T. L.&lt;/author&gt;&lt;author&gt;Hoffman, S. L.&lt;/author&gt;&lt;/authors&gt;&lt;/contributors&gt;&lt;auth-address&gt;Malaria Program, Naval Medical Research Center, Silver Spring, MD, 20910, USA. epsteinj@nmrc.navy.mil.&lt;/auth-address&gt;&lt;titles&gt;&lt;title&gt;Safety and clinical outcome of experimental challenge of human volunteers with Plasmodium falciparum-infected mosquitoes: an update&lt;/title&gt;&lt;secondary-title&gt;J Infect Dis&lt;/secondary-title&gt;&lt;/titles&gt;&lt;periodical&gt;&lt;full-title&gt;J Infect Dis&lt;/full-title&gt;&lt;/periodical&gt;&lt;pages&gt;145-54&lt;/pages&gt;&lt;volume&gt;196&lt;/volume&gt;&lt;number&gt;1&lt;/number&gt;&lt;keywords&gt;&lt;keyword&gt;Adolescent&lt;/keyword&gt;&lt;keyword&gt;Adult&lt;/keyword&gt;&lt;keyword&gt;Animals&lt;/keyword&gt;&lt;keyword&gt;Culicidae/ parasitology&lt;/keyword&gt;&lt;keyword&gt;Female&lt;/keyword&gt;&lt;keyword&gt;Human Experimentation&lt;/keyword&gt;&lt;keyword&gt;Humans&lt;/keyword&gt;&lt;keyword&gt;Insect Bites and Stings&lt;/keyword&gt;&lt;keyword&gt;Malaria, Falciparum/complications/drug therapy/ physiopathology&lt;/keyword&gt;&lt;keyword&gt;Male&lt;/keyword&gt;&lt;keyword&gt;Middle Aged&lt;/keyword&gt;&lt;keyword&gt;Parasitemia&lt;/keyword&gt;&lt;keyword&gt;Plasmodium falciparum/drug effects/ growth &amp;amp; development&lt;/keyword&gt;&lt;keyword&gt;Safety&lt;/keyword&gt;&lt;keyword&gt;Time Factors&lt;/keyword&gt;&lt;/keywords&gt;&lt;dates&gt;&lt;year&gt;2007&lt;/year&gt;&lt;pub-dates&gt;&lt;date&gt;Jul 1&lt;/date&gt;&lt;/pub-dates&gt;&lt;/dates&gt;&lt;isbn&gt;0022-1899 (Print)&lt;/isbn&gt;&lt;accession-num&gt;17538895&lt;/accession-num&gt;&lt;urls&gt;&lt;/urls&gt;&lt;/record&gt;&lt;/Cite&gt;&lt;/EndNote&gt;</w:instrText>
            </w:r>
            <w:r w:rsidRPr="00EF6C4E">
              <w:rPr>
                <w:rFonts w:ascii="Calibri" w:hAnsi="Calibri"/>
                <w:szCs w:val="18"/>
              </w:rPr>
              <w:fldChar w:fldCharType="separate"/>
            </w:r>
            <w:r w:rsidR="002441A6">
              <w:rPr>
                <w:rFonts w:ascii="Calibri" w:hAnsi="Calibri"/>
                <w:noProof/>
                <w:szCs w:val="18"/>
              </w:rPr>
              <w:t>[20]</w:t>
            </w:r>
            <w:r w:rsidRPr="00EF6C4E">
              <w:rPr>
                <w:rFonts w:ascii="Calibri" w:hAnsi="Calibri"/>
                <w:szCs w:val="18"/>
              </w:rPr>
              <w:fldChar w:fldCharType="end"/>
            </w:r>
          </w:p>
        </w:tc>
        <w:tc>
          <w:tcPr>
            <w:tcW w:w="1266" w:type="dxa"/>
            <w:tcBorders>
              <w:top w:val="nil"/>
              <w:bottom w:val="single" w:sz="4" w:space="0" w:color="C0C0C0"/>
            </w:tcBorders>
          </w:tcPr>
          <w:p w:rsidR="00415958" w:rsidRPr="00EF6C4E" w:rsidRDefault="00415958" w:rsidP="00415958">
            <w:pPr>
              <w:rPr>
                <w:rFonts w:ascii="Calibri" w:hAnsi="Calibri"/>
                <w:szCs w:val="18"/>
              </w:rPr>
            </w:pPr>
          </w:p>
        </w:tc>
        <w:tc>
          <w:tcPr>
            <w:tcW w:w="1000" w:type="dxa"/>
            <w:vMerge/>
            <w:tcBorders>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f</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rate infected children progress through incubation period </w:t>
            </w:r>
          </w:p>
          <w:p w:rsidR="00415958" w:rsidRPr="00EF6C4E" w:rsidRDefault="00415958" w:rsidP="00415958">
            <w:pPr>
              <w:rPr>
                <w:rFonts w:ascii="Calibri" w:hAnsi="Calibri"/>
                <w:szCs w:val="18"/>
                <w:vertAlign w:val="subscript"/>
              </w:rPr>
            </w:pPr>
            <w:r w:rsidRPr="00EF6C4E">
              <w:rPr>
                <w:rFonts w:ascii="Calibri" w:hAnsi="Calibri"/>
                <w:szCs w:val="18"/>
              </w:rPr>
              <w:t>= 1/d</w:t>
            </w:r>
            <w:r w:rsidRPr="00EF6C4E">
              <w:rPr>
                <w:rFonts w:ascii="Calibri" w:hAnsi="Calibri"/>
                <w:szCs w:val="18"/>
                <w:vertAlign w:val="subscript"/>
              </w:rPr>
              <w:t>e</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r>
      <w:tr w:rsidR="00415958" w:rsidRPr="00EF6C4E" w:rsidTr="00415958">
        <w:tc>
          <w:tcPr>
            <w:tcW w:w="1228"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d</w:t>
            </w:r>
            <w:r w:rsidRPr="00EF6C4E">
              <w:rPr>
                <w:rFonts w:ascii="Calibri" w:hAnsi="Calibri"/>
                <w:szCs w:val="18"/>
                <w:vertAlign w:val="subscript"/>
              </w:rPr>
              <w:t>a</w:t>
            </w:r>
          </w:p>
        </w:tc>
        <w:tc>
          <w:tcPr>
            <w:tcW w:w="3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Mean time spent with </w:t>
            </w:r>
          </w:p>
          <w:p w:rsidR="00415958" w:rsidRPr="00EF6C4E" w:rsidRDefault="00415958" w:rsidP="00415958">
            <w:pPr>
              <w:rPr>
                <w:rFonts w:ascii="Calibri" w:hAnsi="Calibri"/>
                <w:szCs w:val="18"/>
              </w:rPr>
            </w:pPr>
            <w:r w:rsidRPr="00EF6C4E">
              <w:rPr>
                <w:rFonts w:ascii="Calibri" w:hAnsi="Calibri"/>
                <w:szCs w:val="18"/>
              </w:rPr>
              <w:t>asymptomatic parasitaemia</w:t>
            </w:r>
          </w:p>
          <w:p w:rsidR="00415958" w:rsidRPr="00EF6C4E" w:rsidRDefault="00415958" w:rsidP="00415958">
            <w:pPr>
              <w:rPr>
                <w:rFonts w:ascii="Calibri" w:hAnsi="Calibri"/>
                <w:szCs w:val="18"/>
              </w:rPr>
            </w:pPr>
            <w:r w:rsidRPr="00EF6C4E">
              <w:rPr>
                <w:rFonts w:ascii="Calibri" w:hAnsi="Calibri"/>
                <w:szCs w:val="18"/>
              </w:rPr>
              <w:t>if untreated</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23 days (highly endemic)</w:t>
            </w:r>
          </w:p>
        </w:tc>
        <w:tc>
          <w:tcPr>
            <w:tcW w:w="2600" w:type="dxa"/>
            <w:tcBorders>
              <w:top w:val="single" w:sz="4" w:space="0" w:color="C0C0C0"/>
              <w:bottom w:val="nil"/>
            </w:tcBorders>
          </w:tcPr>
          <w:p w:rsidR="00415958" w:rsidRPr="00EF6C4E" w:rsidRDefault="00AA2259" w:rsidP="002441A6">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&lt;EndNote&gt;&lt;Cite&gt;&lt;Author&gt;Smith&lt;/Author&gt;&lt;Year&gt;1999&lt;/Year&gt;&lt;RecNum&gt;683&lt;/RecNum&gt;&lt;record&gt;&lt;rec-number&gt;683&lt;/rec-number&gt;&lt;foreign-keys&gt;&lt;key app="EN" db-id="50vzxafd505dzseevvi5prdyd0vsefrtrrpx"&gt;683&lt;/key&gt;&lt;/foreign-keys&gt;&lt;ref-type name="Journal Article"&gt;17&lt;/ref-type&gt;&lt;contributors&gt;&lt;authors&gt;&lt;author&gt;Smith, T.&lt;/author&gt;&lt;author&gt;Felger, I.&lt;/author&gt;&lt;author&gt;Kitua, A.&lt;/author&gt;&lt;author&gt;Tanner, M.&lt;/author&gt;&lt;author&gt;Beck, H. P.&lt;/author&gt;&lt;/authors&gt;&lt;/contributors&gt;&lt;auth-address&gt;Swiss Tropical Institute, Basel, Switzerland. smith@ubaclu.unibas.ch&lt;/auth-address&gt;&lt;titles&gt;&lt;title&gt;Dynamics of multiple Plasmodium falciparum infections in infants in a highly endemic area of Tanzania&lt;/title&gt;&lt;secondary-title&gt;Trans R Soc Trop Med Hyg&lt;/secondary-title&gt;&lt;/titles&gt;&lt;periodical&gt;&lt;full-title&gt;Trans R Soc Trop Med Hyg&lt;/full-title&gt;&lt;/periodical&gt;&lt;pages&gt;35-9&lt;/pages&gt;&lt;volume&gt;93 Suppl 1&lt;/volume&gt;&lt;keywords&gt;&lt;keyword&gt;Animals&lt;/keyword&gt;&lt;keyword&gt;Disease Susceptibility&lt;/keyword&gt;&lt;keyword&gt;Endemic Diseases/ statistics &amp;amp; numerical data&lt;/keyword&gt;&lt;keyword&gt;Genotype&lt;/keyword&gt;&lt;keyword&gt;Humans&lt;/keyword&gt;&lt;keyword&gt;Infant&lt;/keyword&gt;&lt;keyword&gt;Malaria, Falciparum/ epidemiology/immunology&lt;/keyword&gt;&lt;keyword&gt;Plasmodium falciparum/ genetics&lt;/keyword&gt;&lt;keyword&gt;Polymorphism, Restriction Fragment Length&lt;/keyword&gt;&lt;keyword&gt;Prevalence&lt;/keyword&gt;&lt;keyword&gt;Tanzania/epidemiology&lt;/keyword&gt;&lt;/keywords&gt;&lt;dates&gt;&lt;year&gt;1999&lt;/year&gt;&lt;pub-dates&gt;&lt;date&gt;Feb&lt;/date&gt;&lt;/pub-dates&gt;&lt;/dates&gt;&lt;isbn&gt;0035-9203 (Print)&lt;/isbn&gt;&lt;accession-num&gt;10450424&lt;/accession-num&gt;&lt;urls&gt;&lt;/urls&gt;&lt;/record&gt;&lt;/Cite&gt;&lt;/EndNote&gt;</w:instrText>
            </w:r>
            <w:r w:rsidRPr="00EF6C4E">
              <w:rPr>
                <w:rFonts w:ascii="Calibri" w:hAnsi="Calibri"/>
                <w:szCs w:val="18"/>
              </w:rPr>
              <w:fldChar w:fldCharType="separate"/>
            </w:r>
            <w:r w:rsidR="002441A6">
              <w:rPr>
                <w:rFonts w:ascii="Calibri" w:hAnsi="Calibri"/>
                <w:noProof/>
                <w:szCs w:val="18"/>
              </w:rPr>
              <w:t>[21]</w:t>
            </w:r>
            <w:r w:rsidRPr="00EF6C4E">
              <w:rPr>
                <w:rFonts w:ascii="Calibri" w:hAnsi="Calibri"/>
                <w:szCs w:val="18"/>
              </w:rPr>
              <w:fldChar w:fldCharType="end"/>
            </w:r>
          </w:p>
        </w:tc>
        <w:tc>
          <w:tcPr>
            <w:tcW w:w="1266"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100 days</w:t>
            </w:r>
          </w:p>
        </w:tc>
        <w:tc>
          <w:tcPr>
            <w:tcW w:w="1000" w:type="dxa"/>
            <w:vMerge w:val="restart"/>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50-200 days</w:t>
            </w:r>
          </w:p>
        </w:tc>
      </w:tr>
      <w:tr w:rsidR="00415958" w:rsidRPr="00EF6C4E" w:rsidTr="00415958">
        <w:tc>
          <w:tcPr>
            <w:tcW w:w="1228" w:type="dxa"/>
            <w:tcBorders>
              <w:top w:val="nil"/>
              <w:bottom w:val="nil"/>
            </w:tcBorders>
          </w:tcPr>
          <w:p w:rsidR="00415958" w:rsidRPr="00EF6C4E" w:rsidRDefault="00415958" w:rsidP="00415958">
            <w:pPr>
              <w:rPr>
                <w:rFonts w:ascii="Calibri" w:hAnsi="Calibri"/>
                <w:szCs w:val="18"/>
              </w:rPr>
            </w:pPr>
          </w:p>
        </w:tc>
        <w:tc>
          <w:tcPr>
            <w:tcW w:w="3000" w:type="dxa"/>
            <w:vMerge/>
          </w:tcPr>
          <w:p w:rsidR="00415958" w:rsidRPr="00EF6C4E" w:rsidRDefault="00415958" w:rsidP="00415958">
            <w:pPr>
              <w:rPr>
                <w:rFonts w:ascii="Calibri" w:hAnsi="Calibri"/>
                <w:szCs w:val="18"/>
              </w:rPr>
            </w:pPr>
          </w:p>
        </w:tc>
        <w:tc>
          <w:tcPr>
            <w:tcW w:w="3600" w:type="dxa"/>
            <w:tcBorders>
              <w:top w:val="nil"/>
              <w:bottom w:val="nil"/>
            </w:tcBorders>
          </w:tcPr>
          <w:p w:rsidR="00415958" w:rsidRPr="00EF6C4E" w:rsidRDefault="00415958" w:rsidP="00415958">
            <w:pPr>
              <w:rPr>
                <w:rFonts w:ascii="Calibri" w:hAnsi="Calibri"/>
                <w:szCs w:val="18"/>
              </w:rPr>
            </w:pPr>
            <w:r w:rsidRPr="00EF6C4E">
              <w:rPr>
                <w:rFonts w:ascii="Calibri" w:hAnsi="Calibri"/>
                <w:szCs w:val="18"/>
              </w:rPr>
              <w:t>73 days &lt; 18 months</w:t>
            </w:r>
          </w:p>
          <w:p w:rsidR="00415958" w:rsidRPr="00EF6C4E" w:rsidRDefault="00415958" w:rsidP="00415958">
            <w:pPr>
              <w:rPr>
                <w:rFonts w:ascii="Calibri" w:hAnsi="Calibri"/>
                <w:szCs w:val="18"/>
              </w:rPr>
            </w:pPr>
            <w:r w:rsidRPr="00EF6C4E">
              <w:rPr>
                <w:rFonts w:ascii="Calibri" w:hAnsi="Calibri"/>
                <w:szCs w:val="18"/>
              </w:rPr>
              <w:t>160 days 18 – 23 months</w:t>
            </w:r>
          </w:p>
        </w:tc>
        <w:tc>
          <w:tcPr>
            <w:tcW w:w="2600" w:type="dxa"/>
            <w:tcBorders>
              <w:top w:val="nil"/>
              <w:bottom w:val="nil"/>
            </w:tcBorders>
          </w:tcPr>
          <w:p w:rsidR="00415958" w:rsidRPr="00EF6C4E" w:rsidRDefault="00AA2259" w:rsidP="002441A6">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&lt;EndNote&gt;&lt;Cite&gt;&lt;Author&gt;Smith&lt;/Author&gt;&lt;Year&gt;1999&lt;/Year&gt;&lt;RecNum&gt;684&lt;/RecNum&gt;&lt;record&gt;&lt;rec-number&gt;684&lt;/rec-number&gt;&lt;foreign-keys&gt;&lt;key app="EN" db-id="50vzxafd505dzseevvi5prdyd0vsefrtrrpx"&gt;684&lt;/key&gt;&lt;/foreign-keys&gt;&lt;ref-type name="Journal Article"&gt;17&lt;/ref-type&gt;&lt;contributors&gt;&lt;authors&gt;&lt;author&gt;Smith, T.&lt;/author&gt;&lt;author&gt;Felger, I.&lt;/author&gt;&lt;author&gt;Beck, H. P.&lt;/author&gt;&lt;author&gt;Tanner, M.&lt;/author&gt;&lt;/authors&gt;&lt;/contributors&gt;&lt;auth-address&gt;Swiss Tropical Institute, Basel, Switzerland. thomas-a.smith@unibas.ch&lt;/auth-address&gt;&lt;titles&gt;&lt;title&gt;Consequences of multiple infection with Plasmodium falciparum in an area of high endemicity&lt;/title&gt;&lt;secondary-title&gt;Parassitologia&lt;/secondary-title&gt;&lt;/titles&gt;&lt;periodical&gt;&lt;full-title&gt;Parassitologia&lt;/full-title&gt;&lt;/periodical&gt;&lt;pages&gt;247-50&lt;/pages&gt;&lt;volume&gt;41&lt;/volume&gt;&lt;number&gt;1-3&lt;/number&gt;&lt;keywords&gt;&lt;keyword&gt;Adolescent&lt;/keyword&gt;&lt;keyword&gt;Adult&lt;/keyword&gt;&lt;keyword&gt;Animals&lt;/keyword&gt;&lt;keyword&gt;Antigens, Protozoan/genetics&lt;/keyword&gt;&lt;keyword&gt;Antigens, Surface/genetics&lt;/keyword&gt;&lt;keyword&gt;Child&lt;/keyword&gt;&lt;keyword&gt;Child, Preschool&lt;/keyword&gt;&lt;keyword&gt;Genotype&lt;/keyword&gt;&lt;keyword&gt;Humans&lt;/keyword&gt;&lt;keyword&gt;Infant&lt;/keyword&gt;&lt;keyword&gt;Malaria, Falciparum&lt;/keyword&gt;&lt;keyword&gt;Plasmodium falciparum/genetics/pathogenicity&lt;/keyword&gt;&lt;keyword&gt;Polymerase Chain Reaction&lt;/keyword&gt;&lt;keyword&gt;Polymorphism, Restriction Fragment Length&lt;/keyword&gt;&lt;keyword&gt;Protozoan Proteins/genetics&lt;/keyword&gt;&lt;keyword&gt;Superinfection&lt;/keyword&gt;&lt;keyword&gt;Tanzania&lt;/keyword&gt;&lt;/keywords&gt;&lt;dates&gt;&lt;year&gt;1999&lt;/year&gt;&lt;pub-dates&gt;&lt;date&gt;Sep&lt;/date&gt;&lt;/pub-dates&gt;&lt;/dates&gt;&lt;isbn&gt;0048-2951 (Print)&lt;/isbn&gt;&lt;accession-num&gt;10697863&lt;/accession-num&gt;&lt;urls&gt;&lt;/urls&gt;&lt;/record&gt;&lt;/Cite&gt;&lt;/EndNote&gt;</w:instrText>
            </w:r>
            <w:r w:rsidRPr="00EF6C4E">
              <w:rPr>
                <w:rFonts w:ascii="Calibri" w:hAnsi="Calibri"/>
                <w:szCs w:val="18"/>
              </w:rPr>
              <w:fldChar w:fldCharType="separate"/>
            </w:r>
            <w:r w:rsidR="002441A6">
              <w:rPr>
                <w:rFonts w:ascii="Calibri" w:hAnsi="Calibri"/>
                <w:noProof/>
                <w:szCs w:val="18"/>
              </w:rPr>
              <w:t>[22]</w:t>
            </w:r>
            <w:r w:rsidRPr="00EF6C4E">
              <w:rPr>
                <w:rFonts w:ascii="Calibri" w:hAnsi="Calibri"/>
                <w:szCs w:val="18"/>
              </w:rPr>
              <w:fldChar w:fldCharType="end"/>
            </w:r>
          </w:p>
        </w:tc>
        <w:tc>
          <w:tcPr>
            <w:tcW w:w="1266" w:type="dxa"/>
            <w:tcBorders>
              <w:top w:val="nil"/>
              <w:bottom w:val="nil"/>
            </w:tcBorders>
          </w:tcPr>
          <w:p w:rsidR="00415958" w:rsidRPr="00EF6C4E" w:rsidRDefault="00415958" w:rsidP="00415958">
            <w:pPr>
              <w:rPr>
                <w:rFonts w:ascii="Calibri" w:hAnsi="Calibri"/>
                <w:szCs w:val="18"/>
              </w:rPr>
            </w:pPr>
          </w:p>
        </w:tc>
        <w:tc>
          <w:tcPr>
            <w:tcW w:w="1000" w:type="dxa"/>
            <w:vMerge/>
          </w:tcPr>
          <w:p w:rsidR="00415958" w:rsidRPr="00EF6C4E" w:rsidRDefault="00415958" w:rsidP="00415958">
            <w:pPr>
              <w:rPr>
                <w:rFonts w:ascii="Calibri" w:hAnsi="Calibri"/>
                <w:szCs w:val="18"/>
              </w:rPr>
            </w:pPr>
          </w:p>
        </w:tc>
      </w:tr>
      <w:tr w:rsidR="00415958" w:rsidRPr="00EF6C4E" w:rsidTr="00415958">
        <w:tc>
          <w:tcPr>
            <w:tcW w:w="1228" w:type="dxa"/>
            <w:tcBorders>
              <w:top w:val="nil"/>
              <w:bottom w:val="nil"/>
            </w:tcBorders>
          </w:tcPr>
          <w:p w:rsidR="00415958" w:rsidRPr="00EF6C4E" w:rsidRDefault="00415958" w:rsidP="00415958">
            <w:pPr>
              <w:rPr>
                <w:rFonts w:ascii="Calibri" w:hAnsi="Calibri"/>
                <w:szCs w:val="18"/>
              </w:rPr>
            </w:pPr>
          </w:p>
        </w:tc>
        <w:tc>
          <w:tcPr>
            <w:tcW w:w="3000" w:type="dxa"/>
            <w:vMerge/>
          </w:tcPr>
          <w:p w:rsidR="00415958" w:rsidRPr="00EF6C4E" w:rsidRDefault="00415958" w:rsidP="00415958">
            <w:pPr>
              <w:rPr>
                <w:rFonts w:ascii="Calibri" w:hAnsi="Calibri"/>
                <w:szCs w:val="18"/>
              </w:rPr>
            </w:pPr>
          </w:p>
        </w:tc>
        <w:tc>
          <w:tcPr>
            <w:tcW w:w="3600" w:type="dxa"/>
            <w:tcBorders>
              <w:top w:val="nil"/>
              <w:bottom w:val="nil"/>
            </w:tcBorders>
          </w:tcPr>
          <w:p w:rsidR="00415958" w:rsidRPr="00EF6C4E" w:rsidRDefault="00415958" w:rsidP="00415958">
            <w:pPr>
              <w:rPr>
                <w:rFonts w:ascii="Calibri" w:hAnsi="Calibri"/>
                <w:szCs w:val="18"/>
              </w:rPr>
            </w:pPr>
            <w:r w:rsidRPr="00EF6C4E">
              <w:rPr>
                <w:rFonts w:ascii="Calibri" w:hAnsi="Calibri"/>
                <w:szCs w:val="18"/>
              </w:rPr>
              <w:t>210 days (176-256)</w:t>
            </w:r>
          </w:p>
        </w:tc>
        <w:tc>
          <w:tcPr>
            <w:tcW w:w="2600" w:type="dxa"/>
            <w:tcBorders>
              <w:top w:val="nil"/>
              <w:bottom w:val="nil"/>
            </w:tcBorders>
          </w:tcPr>
          <w:p w:rsidR="00415958" w:rsidRPr="00EF6C4E" w:rsidRDefault="00AA2259" w:rsidP="002441A6">
            <w:pPr>
              <w:rPr>
                <w:rFonts w:ascii="Calibri" w:hAnsi="Calibri"/>
                <w:szCs w:val="18"/>
              </w:rPr>
            </w:pPr>
            <w:r w:rsidRPr="00EF6C4E">
              <w:rPr>
                <w:rFonts w:ascii="Calibri" w:hAnsi="Calibri"/>
                <w:szCs w:val="18"/>
              </w:rPr>
              <w:fldChar w:fldCharType="begin">
                <w:fldData xml:space="preserve">PEVuZE5vdGU+PENpdGU+PEF1dGhvcj5GYWxrPC9BdXRob3I+PFllYXI+MjAwNjwvWWVhcj48UmVj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</w:fldData>
              </w:fldChar>
            </w:r>
            <w:r w:rsidR="002441A6">
              <w:rPr>
                <w:rFonts w:ascii="Calibri" w:hAnsi="Calibri"/>
                <w:szCs w:val="18"/>
              </w:rPr>
              <w:instrText xml:space="preserve"> ADDIN EN.CITE </w:instrText>
            </w:r>
            <w:r>
              <w:rPr>
                <w:rFonts w:ascii="Calibri" w:hAnsi="Calibri"/>
                <w:szCs w:val="18"/>
              </w:rPr>
              <w:fldChar w:fldCharType="begin">
                <w:fldData xml:space="preserve">PEVuZE5vdGU+PENpdGU+PEF1dGhvcj5GYWxrPC9BdXRob3I+PFllYXI+MjAwNjwvWWVhcj48UmVj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</w:fldData>
              </w:fldChar>
            </w:r>
            <w:r w:rsidR="002441A6">
              <w:rPr>
                <w:rFonts w:ascii="Calibri" w:hAnsi="Calibri"/>
                <w:szCs w:val="18"/>
              </w:rPr>
              <w:instrText xml:space="preserve"> ADDIN EN.CITE.DATA </w:instrText>
            </w:r>
            <w:r>
              <w:rPr>
                <w:rFonts w:ascii="Calibri" w:hAnsi="Calibri"/>
                <w:szCs w:val="18"/>
              </w:rPr>
            </w:r>
            <w:r>
              <w:rPr>
                <w:rFonts w:ascii="Calibri" w:hAnsi="Calibri"/>
                <w:szCs w:val="18"/>
              </w:rPr>
              <w:fldChar w:fldCharType="end"/>
            </w:r>
            <w:r w:rsidRPr="00EF6C4E">
              <w:rPr>
                <w:rFonts w:ascii="Calibri" w:hAnsi="Calibri"/>
                <w:szCs w:val="18"/>
              </w:rPr>
            </w:r>
            <w:r w:rsidRPr="00EF6C4E">
              <w:rPr>
                <w:rFonts w:ascii="Calibri" w:hAnsi="Calibri"/>
                <w:szCs w:val="18"/>
              </w:rPr>
              <w:fldChar w:fldCharType="separate"/>
            </w:r>
            <w:r w:rsidR="002441A6">
              <w:rPr>
                <w:rFonts w:ascii="Calibri" w:hAnsi="Calibri"/>
                <w:noProof/>
                <w:szCs w:val="18"/>
              </w:rPr>
              <w:t>[23]</w:t>
            </w:r>
            <w:r w:rsidRPr="00EF6C4E">
              <w:rPr>
                <w:rFonts w:ascii="Calibri" w:hAnsi="Calibri"/>
                <w:szCs w:val="18"/>
              </w:rPr>
              <w:fldChar w:fldCharType="end"/>
            </w:r>
          </w:p>
        </w:tc>
        <w:tc>
          <w:tcPr>
            <w:tcW w:w="1266" w:type="dxa"/>
            <w:tcBorders>
              <w:top w:val="nil"/>
              <w:bottom w:val="nil"/>
            </w:tcBorders>
          </w:tcPr>
          <w:p w:rsidR="00415958" w:rsidRPr="00EF6C4E" w:rsidRDefault="00415958" w:rsidP="00415958">
            <w:pPr>
              <w:rPr>
                <w:rFonts w:ascii="Calibri" w:hAnsi="Calibri"/>
                <w:szCs w:val="18"/>
              </w:rPr>
            </w:pPr>
          </w:p>
        </w:tc>
        <w:tc>
          <w:tcPr>
            <w:tcW w:w="1000" w:type="dxa"/>
            <w:vMerge/>
          </w:tcPr>
          <w:p w:rsidR="00415958" w:rsidRPr="00EF6C4E" w:rsidRDefault="00415958" w:rsidP="00415958">
            <w:pPr>
              <w:rPr>
                <w:rFonts w:ascii="Calibri" w:hAnsi="Calibri"/>
                <w:szCs w:val="18"/>
              </w:rPr>
            </w:pP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szCs w:val="18"/>
              </w:rPr>
            </w:pPr>
          </w:p>
        </w:tc>
        <w:tc>
          <w:tcPr>
            <w:tcW w:w="3000" w:type="dxa"/>
            <w:vMerge/>
            <w:tcBorders>
              <w:bottom w:val="single" w:sz="4" w:space="0" w:color="C0C0C0"/>
            </w:tcBorders>
          </w:tcPr>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210 days (183-236)</w:t>
            </w:r>
          </w:p>
        </w:tc>
        <w:tc>
          <w:tcPr>
            <w:tcW w:w="2600" w:type="dxa"/>
            <w:tcBorders>
              <w:top w:val="nil"/>
              <w:bottom w:val="single" w:sz="4" w:space="0" w:color="C0C0C0"/>
            </w:tcBorders>
          </w:tcPr>
          <w:p w:rsidR="00415958" w:rsidRPr="00EF6C4E" w:rsidRDefault="00AA2259" w:rsidP="002441A6">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&lt;EndNote&gt;&lt;Cite&gt;&lt;Author&gt;Smith&lt;/Author&gt;&lt;Year&gt;2003&lt;/Year&gt;&lt;RecNum&gt;436&lt;/RecNum&gt;&lt;record&gt;&lt;rec-number&gt;436&lt;/rec-number&gt;&lt;foreign-keys&gt;&lt;key app="EN" db-id="50vzxafd505dzseevvi5prdyd0vsefrtrrpx"&gt;436&lt;/key&gt;&lt;/foreign-keys&gt;&lt;ref-type name="Journal Article"&gt;17&lt;/ref-type&gt;&lt;contributors&gt;&lt;authors&gt;&lt;author&gt;Smith, T.&lt;/author&gt;&lt;author&gt;Vounatsou, P.&lt;/author&gt;&lt;/authors&gt;&lt;/contributors&gt;&lt;auth-address&gt;Swiss Tropical Institute, Socinstrasse 57, Postfach CH-4002, Basel, Switzerland. Thomas-A.Smith@unibas.ch&lt;/auth-address&gt;&lt;titles&gt;&lt;title&gt;Estimation of infection and recovery rates for highly polymorphic parasites when detectability is imperfect, using hidden Markov models&lt;/title&gt;&lt;secondary-title&gt;Stat Med&lt;/secondary-title&gt;&lt;/titles&gt;&lt;periodical&gt;&lt;full-title&gt;Stat Med&lt;/full-title&gt;&lt;/periodical&gt;&lt;pages&gt;1709-24&lt;/pages&gt;&lt;volume&gt;22&lt;/volume&gt;&lt;number&gt;10&lt;/number&gt;&lt;keywords&gt;&lt;keyword&gt;Algorithms&lt;/keyword&gt;&lt;keyword&gt;Animals&lt;/keyword&gt;&lt;keyword&gt;Bayes Theorem&lt;/keyword&gt;&lt;keyword&gt;Bedding and Linens&lt;/keyword&gt;&lt;keyword&gt;Child, Preschool&lt;/keyword&gt;&lt;keyword&gt;Genotype&lt;/keyword&gt;&lt;keyword&gt;Humans&lt;/keyword&gt;&lt;keyword&gt;Infant&lt;/keyword&gt;&lt;keyword&gt;Malaria, Falciparum/ genetics/prevention &amp;amp; control/transmission&lt;/keyword&gt;&lt;keyword&gt;Markov Chains&lt;/keyword&gt;&lt;keyword&gt;Monte Carlo Method&lt;/keyword&gt;&lt;keyword&gt;Plasmodium falciparum/ genetics&lt;/keyword&gt;&lt;keyword&gt;Polymerase Chain Reaction&lt;/keyword&gt;&lt;keyword&gt;Polymorphism, Restriction Fragment Length&lt;/keyword&gt;&lt;keyword&gt;Randomized Controlled Trials&lt;/keyword&gt;&lt;keyword&gt;Tanzania/epidemiology&lt;/keyword&gt;&lt;/keywords&gt;&lt;dates&gt;&lt;year&gt;2003&lt;/year&gt;&lt;pub-dates&gt;&lt;date&gt;May 30&lt;/date&gt;&lt;/pub-dates&gt;&lt;/dates&gt;&lt;isbn&gt;0277-6715 (Print)&lt;/isbn&gt;&lt;accession-num&gt;12720306&lt;/accession-num&gt;&lt;urls&gt;&lt;/urls&gt;&lt;/record&gt;&lt;/Cite&gt;&lt;/EndNote&gt;</w:instrText>
            </w:r>
            <w:r w:rsidRPr="00EF6C4E">
              <w:rPr>
                <w:rFonts w:ascii="Calibri" w:hAnsi="Calibri"/>
                <w:szCs w:val="18"/>
              </w:rPr>
              <w:fldChar w:fldCharType="separate"/>
            </w:r>
            <w:r w:rsidR="002441A6">
              <w:rPr>
                <w:rFonts w:ascii="Calibri" w:hAnsi="Calibri"/>
                <w:noProof/>
                <w:szCs w:val="18"/>
              </w:rPr>
              <w:t>[24]</w:t>
            </w:r>
            <w:r w:rsidRPr="00EF6C4E">
              <w:rPr>
                <w:rFonts w:ascii="Calibri" w:hAnsi="Calibri"/>
                <w:szCs w:val="18"/>
              </w:rPr>
              <w:fldChar w:fldCharType="end"/>
            </w:r>
          </w:p>
        </w:tc>
        <w:tc>
          <w:tcPr>
            <w:tcW w:w="1266" w:type="dxa"/>
            <w:tcBorders>
              <w:top w:val="nil"/>
              <w:bottom w:val="single" w:sz="4" w:space="0" w:color="C0C0C0"/>
            </w:tcBorders>
          </w:tcPr>
          <w:p w:rsidR="00415958" w:rsidRPr="00EF6C4E" w:rsidRDefault="00415958" w:rsidP="00415958">
            <w:pPr>
              <w:rPr>
                <w:rFonts w:ascii="Calibri" w:hAnsi="Calibri"/>
                <w:szCs w:val="18"/>
              </w:rPr>
            </w:pPr>
          </w:p>
        </w:tc>
        <w:tc>
          <w:tcPr>
            <w:tcW w:w="1000" w:type="dxa"/>
            <w:vMerge/>
            <w:tcBorders>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r</w:t>
            </w:r>
          </w:p>
          <w:p w:rsidR="00415958" w:rsidRPr="00EF6C4E" w:rsidRDefault="00415958" w:rsidP="00415958">
            <w:pPr>
              <w:rPr>
                <w:rFonts w:ascii="Calibri" w:hAnsi="Calibri"/>
                <w:szCs w:val="18"/>
              </w:rPr>
            </w:pP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Recovery rate between each asymptomatic compartment  =(4/d</w:t>
            </w:r>
            <w:r w:rsidRPr="00EF6C4E">
              <w:rPr>
                <w:rFonts w:ascii="Calibri" w:hAnsi="Calibri"/>
                <w:szCs w:val="18"/>
                <w:vertAlign w:val="subscript"/>
              </w:rPr>
              <w:t>a</w:t>
            </w:r>
            <w:r w:rsidRPr="00EF6C4E">
              <w:rPr>
                <w:rFonts w:ascii="Calibri" w:hAnsi="Calibri"/>
                <w:szCs w:val="18"/>
              </w:rPr>
              <w:t>)</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nil"/>
            </w:tcBorders>
          </w:tcPr>
          <w:p w:rsidR="00415958" w:rsidRPr="00EF6C4E" w:rsidRDefault="00415958" w:rsidP="00415958">
            <w:pPr>
              <w:rPr>
                <w:rFonts w:ascii="Calibri" w:hAnsi="Calibri"/>
                <w:szCs w:val="18"/>
              </w:rPr>
            </w:pPr>
          </w:p>
        </w:tc>
        <w:tc>
          <w:tcPr>
            <w:tcW w:w="30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Proportion of new infections that are symptomatic</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 xml:space="preserve">0.31 (KND, dry season), </w:t>
            </w:r>
          </w:p>
          <w:p w:rsidR="00415958" w:rsidRPr="00EF6C4E" w:rsidRDefault="00415958" w:rsidP="00415958">
            <w:pPr>
              <w:rPr>
                <w:rFonts w:ascii="Calibri" w:hAnsi="Calibri"/>
                <w:szCs w:val="18"/>
              </w:rPr>
            </w:pPr>
            <w:r w:rsidRPr="00EF6C4E">
              <w:rPr>
                <w:rFonts w:ascii="Calibri" w:hAnsi="Calibri"/>
                <w:szCs w:val="18"/>
              </w:rPr>
              <w:t>0.34 (KND, wet season)</w:t>
            </w:r>
          </w:p>
        </w:tc>
        <w:tc>
          <w:tcPr>
            <w:tcW w:w="2600" w:type="dxa"/>
            <w:tcBorders>
              <w:top w:val="single" w:sz="4" w:space="0" w:color="C0C0C0"/>
              <w:bottom w:val="nil"/>
            </w:tcBorders>
          </w:tcPr>
          <w:p w:rsidR="00415958" w:rsidRPr="00EF6C4E" w:rsidRDefault="00AA2259" w:rsidP="002441A6">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&lt;EndNote&gt;&lt;Cite&gt;&lt;Author&gt;Baird&lt;/Author&gt;&lt;Year&gt;2002&lt;/Year&gt;&lt;RecNum&gt;418&lt;/RecNum&gt;&lt;record&gt;&lt;rec-number&gt;418&lt;/rec-number&gt;&lt;foreign-keys&gt;&lt;key app="EN" db-id="50vzxafd505dzseevvi5prdyd0vsefrtrrpx"&gt;418&lt;/key&gt;&lt;/foreign-keys&gt;&lt;ref-type name="Journal Article"&gt;17&lt;/ref-type&gt;&lt;contributors&gt;&lt;authors&gt;&lt;author&gt;Baird, J. K.&lt;/author&gt;&lt;author&gt;Owusu Agyei, S.&lt;/author&gt;&lt;author&gt;Utz, G. C.&lt;/author&gt;&lt;author&gt;Koram, K.&lt;/author&gt;&lt;author&gt;Barcus, M. J.&lt;/author&gt;&lt;author&gt;Jones, T. R.&lt;/author&gt;&lt;author&gt;Fryauff, D. J.&lt;/author&gt;&lt;author&gt;Binka, F. N.&lt;/author&gt;&lt;author&gt;Hoffman, S. L.&lt;/author&gt;&lt;author&gt;Nkrumah, F. N.&lt;/author&gt;&lt;/authors&gt;&lt;/contributors&gt;&lt;auth-address&gt;Naval Medical Research Center, Silver Spring, Maryland, USA.&lt;/auth-address&gt;&lt;titles&gt;&lt;title&gt;Seasonal malaria attack rates in infants and young children in northern Ghana&lt;/title&gt;&lt;secondary-title&gt;Am J Trop Med Hyg&lt;/secondary-title&gt;&lt;/titles&gt;&lt;periodical&gt;&lt;full-title&gt;Am J Trop Med Hyg&lt;/full-title&gt;&lt;/periodical&gt;&lt;pages&gt;280-6&lt;/pages&gt;&lt;volume&gt;66&lt;/volume&gt;&lt;number&gt;3&lt;/number&gt;&lt;keywords&gt;&lt;keyword&gt;Anemia/epidemiology&lt;/keyword&gt;&lt;keyword&gt;Animals&lt;/keyword&gt;&lt;keyword&gt;Antimalarials/therapeutic use&lt;/keyword&gt;&lt;keyword&gt;Child, Preschool&lt;/keyword&gt;&lt;keyword&gt;Cohort Studies&lt;/keyword&gt;&lt;keyword&gt;Female&lt;/keyword&gt;&lt;keyword&gt;Ghana/epidemiology&lt;/keyword&gt;&lt;keyword&gt;Humans&lt;/keyword&gt;&lt;keyword&gt;Infant&lt;/keyword&gt;&lt;keyword&gt;Malaria, Falciparum/complications/drug therapy/epidemiology/ transmission&lt;/keyword&gt;&lt;keyword&gt;Male&lt;/keyword&gt;&lt;keyword&gt;Parasitemia/drug therapy/epidemiology/transmission&lt;/keyword&gt;&lt;keyword&gt;Plasmodium falciparum&lt;/keyword&gt;&lt;keyword&gt;Seasons&lt;/keyword&gt;&lt;/keywords&gt;&lt;dates&gt;&lt;year&gt;2002&lt;/year&gt;&lt;pub-dates&gt;&lt;date&gt;Mar&lt;/date&gt;&lt;/pub-dates&gt;&lt;/dates&gt;&lt;isbn&gt;0002-9637 (Print)&lt;/isbn&gt;&lt;accession-num&gt;12139221&lt;/accession-num&gt;&lt;urls&gt;&lt;/urls&gt;&lt;/record&gt;&lt;/Cite&gt;&lt;/EndNote&gt;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[25]</w:t>
            </w:r>
            <w:r w:rsidRPr="00EF6C4E">
              <w:rPr>
                <w:rFonts w:ascii="Calibri" w:hAnsi="Calibri"/>
                <w:szCs w:val="18"/>
                <w:lang w:val="fr-FR"/>
              </w:rPr>
              <w:fldChar w:fldCharType="end"/>
            </w:r>
          </w:p>
        </w:tc>
        <w:tc>
          <w:tcPr>
            <w:tcW w:w="1266" w:type="dxa"/>
            <w:tcBorders>
              <w:top w:val="single" w:sz="4" w:space="0" w:color="C0C0C0"/>
              <w:bottom w:val="nil"/>
            </w:tcBorders>
          </w:tcPr>
          <w:p w:rsidR="00415958" w:rsidRPr="00EF6C4E" w:rsidRDefault="00415958" w:rsidP="00415958">
            <w:pPr>
              <w:rPr>
                <w:rFonts w:ascii="Calibri" w:hAnsi="Calibri"/>
                <w:szCs w:val="18"/>
                <w:lang w:val="fr-FR"/>
              </w:rPr>
            </w:pPr>
          </w:p>
        </w:tc>
        <w:tc>
          <w:tcPr>
            <w:tcW w:w="1000" w:type="dxa"/>
            <w:tcBorders>
              <w:top w:val="single" w:sz="4" w:space="0" w:color="C0C0C0"/>
              <w:bottom w:val="nil"/>
            </w:tcBorders>
          </w:tcPr>
          <w:p w:rsidR="00415958" w:rsidRPr="00EF6C4E" w:rsidRDefault="00415958" w:rsidP="00415958">
            <w:pPr>
              <w:rPr>
                <w:rFonts w:ascii="Calibri" w:hAnsi="Calibri"/>
                <w:szCs w:val="18"/>
                <w:lang w:val="fr-FR"/>
              </w:rPr>
            </w:pP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szCs w:val="18"/>
              </w:rPr>
            </w:pPr>
          </w:p>
        </w:tc>
        <w:tc>
          <w:tcPr>
            <w:tcW w:w="3000" w:type="dxa"/>
            <w:tcBorders>
              <w:top w:val="nil"/>
              <w:bottom w:val="single" w:sz="4" w:space="0" w:color="C0C0C0"/>
            </w:tcBorders>
          </w:tcPr>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0.44 (Kenya)</w:t>
            </w:r>
          </w:p>
        </w:tc>
        <w:tc>
          <w:tcPr>
            <w:tcW w:w="2600" w:type="dxa"/>
            <w:tcBorders>
              <w:top w:val="nil"/>
              <w:bottom w:val="single" w:sz="4" w:space="0" w:color="C0C0C0"/>
            </w:tcBorders>
          </w:tcPr>
          <w:p w:rsidR="00415958" w:rsidRPr="00EF6C4E" w:rsidRDefault="00AA2259" w:rsidP="002441A6">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&lt;EndNote&gt;&lt;Cite&gt;&lt;Author&gt;Bejon&lt;/Author&gt;&lt;Year&gt;2009&lt;/Year&gt;&lt;RecNum&gt;633&lt;/RecNum&gt;&lt;record&gt;&lt;rec-number&gt;633&lt;/rec-number&gt;&lt;foreign-keys&gt;&lt;key app="EN" db-id="50vzxafd505dzseevvi5prdyd0vsefrtrrpx"&gt;633&lt;/key&gt;&lt;/foreign-keys&gt;&lt;ref-type name="Journal Article"&gt;17&lt;/ref-type&gt;&lt;contributors&gt;&lt;authors&gt;&lt;author&gt;Bejon, P.&lt;/author&gt;&lt;author&gt;Warimwe, G.&lt;/author&gt;&lt;author&gt;Mackintosh, C. L.&lt;/author&gt;&lt;author&gt;Mackinnon, M. J.&lt;/author&gt;&lt;author&gt;Kinyanjui, S. M.&lt;/author&gt;&lt;author&gt;Musyoki, J. N.&lt;/author&gt;&lt;author&gt;Bull, P. C.&lt;/author&gt;&lt;author&gt;Marsh, K.&lt;/author&gt;&lt;/authors&gt;&lt;/contributors&gt;&lt;auth-address&gt;Wellcome Trust/KEMRI Collaborative Programme, P.O. Box 230, Kilife 80108, Kenya. pbejon@kilifi.kemri-wellcome.org&lt;/auth-address&gt;&lt;titles&gt;&lt;title&gt;Analysis of immunity to febrile malaria in children that distinguishes immunity from lack of exposure&lt;/title&gt;&lt;secondary-title&gt;Infect Immun&lt;/secondary-title&gt;&lt;/titles&gt;&lt;periodical&gt;&lt;full-title&gt;Infect Immun&lt;/full-title&gt;&lt;/periodical&gt;&lt;pages&gt;1917-23&lt;/pages&gt;&lt;volume&gt;77&lt;/volume&gt;&lt;number&gt;5&lt;/number&gt;&lt;dates&gt;&lt;year&gt;2009&lt;/year&gt;&lt;pub-dates&gt;&lt;date&gt;May&lt;/date&gt;&lt;/pub-dates&gt;&lt;/dates&gt;&lt;isbn&gt;1098-5522 (Electronic)&lt;/isbn&gt;&lt;accession-num&gt;19223480&lt;/accession-num&gt;&lt;urls&gt;&lt;/urls&gt;&lt;/record&gt;&lt;/Cite&gt;&lt;/EndNote&gt;</w:instrText>
            </w:r>
            <w:r w:rsidRPr="00EF6C4E">
              <w:rPr>
                <w:rFonts w:ascii="Calibri" w:hAnsi="Calibri"/>
                <w:szCs w:val="18"/>
                <w:lang w:val="fr-FR"/>
              </w:rPr>
              <w:fldChar w:fldCharType="separate"/>
            </w:r>
            <w:r w:rsidR="002441A6">
              <w:rPr>
                <w:rFonts w:ascii="Calibri" w:hAnsi="Calibri"/>
                <w:noProof/>
                <w:szCs w:val="18"/>
                <w:lang w:val="fr-FR"/>
              </w:rPr>
              <w:t>[26]</w:t>
            </w:r>
            <w:r w:rsidRPr="00EF6C4E">
              <w:rPr>
                <w:rFonts w:ascii="Calibri" w:hAnsi="Calibri"/>
                <w:szCs w:val="18"/>
                <w:lang w:val="fr-FR"/>
              </w:rPr>
              <w:fldChar w:fldCharType="end"/>
            </w:r>
          </w:p>
        </w:tc>
        <w:tc>
          <w:tcPr>
            <w:tcW w:w="1266" w:type="dxa"/>
            <w:tcBorders>
              <w:top w:val="nil"/>
              <w:bottom w:val="single" w:sz="4" w:space="0" w:color="C0C0C0"/>
            </w:tcBorders>
          </w:tcPr>
          <w:p w:rsidR="00415958" w:rsidRPr="00EF6C4E" w:rsidRDefault="00415958" w:rsidP="00415958">
            <w:pPr>
              <w:rPr>
                <w:rFonts w:ascii="Calibri" w:hAnsi="Calibri"/>
                <w:szCs w:val="18"/>
                <w:lang w:val="fr-FR"/>
              </w:rPr>
            </w:pPr>
          </w:p>
        </w:tc>
        <w:tc>
          <w:tcPr>
            <w:tcW w:w="1000" w:type="dxa"/>
            <w:tcBorders>
              <w:top w:val="nil"/>
              <w:bottom w:val="single" w:sz="4" w:space="0" w:color="C0C0C0"/>
            </w:tcBorders>
          </w:tcPr>
          <w:p w:rsidR="00415958" w:rsidRPr="00EF6C4E" w:rsidRDefault="00415958" w:rsidP="00415958">
            <w:pPr>
              <w:rPr>
                <w:rFonts w:ascii="Calibri" w:hAnsi="Calibri"/>
                <w:szCs w:val="18"/>
                <w:lang w:val="fr-FR"/>
              </w:rPr>
            </w:pPr>
          </w:p>
          <w:p w:rsidR="00415958" w:rsidRPr="00EF6C4E" w:rsidRDefault="00415958" w:rsidP="00415958">
            <w:pPr>
              <w:rPr>
                <w:rFonts w:ascii="Calibri" w:hAnsi="Calibri"/>
                <w:szCs w:val="18"/>
                <w:lang w:val="fr-FR"/>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lang w:val="fr-FR"/>
              </w:rPr>
            </w:pPr>
            <w:r w:rsidRPr="00EF6C4E">
              <w:rPr>
                <w:rFonts w:ascii="Calibri" w:hAnsi="Calibri"/>
                <w:szCs w:val="18"/>
              </w:rPr>
              <w:t>θ(0)</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 infections symptomatic </w:t>
            </w:r>
            <w:r w:rsidRPr="00EF6C4E">
              <w:rPr>
                <w:rFonts w:ascii="Calibri" w:hAnsi="Calibri"/>
                <w:i/>
                <w:szCs w:val="18"/>
              </w:rPr>
              <w:t>and treated</w:t>
            </w:r>
            <w:r w:rsidRPr="00EF6C4E">
              <w:rPr>
                <w:rFonts w:ascii="Calibri" w:hAnsi="Calibri"/>
                <w:szCs w:val="18"/>
              </w:rPr>
              <w:t xml:space="preserve">  in infants (a=0)</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Parameter fitted by the model</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23.7%</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(0.05 – 0.35)</w:t>
            </w: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lastRenderedPageBreak/>
              <w:t>θ(1)</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 infections symptomatic </w:t>
            </w:r>
            <w:r w:rsidRPr="00EF6C4E">
              <w:rPr>
                <w:rFonts w:ascii="Calibri" w:hAnsi="Calibri"/>
                <w:i/>
                <w:szCs w:val="18"/>
              </w:rPr>
              <w:t>and treated</w:t>
            </w:r>
            <w:r w:rsidRPr="00EF6C4E">
              <w:rPr>
                <w:rFonts w:ascii="Calibri" w:hAnsi="Calibri"/>
                <w:szCs w:val="18"/>
              </w:rPr>
              <w:t xml:space="preserve"> in 1 year olds (a=1)</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Parameter fitted by the model</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20.4%</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(0.05 – 0.35)</w:t>
            </w: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d</w:t>
            </w:r>
            <w:r w:rsidRPr="00EF6C4E">
              <w:rPr>
                <w:rFonts w:ascii="Calibri" w:hAnsi="Calibri"/>
                <w:szCs w:val="18"/>
                <w:vertAlign w:val="subscript"/>
              </w:rPr>
              <w:t>t</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Mean duration of prophylaxis after treatment for malaria</w:t>
            </w:r>
          </w:p>
          <w:p w:rsidR="00415958" w:rsidRPr="00EF6C4E" w:rsidRDefault="00415958" w:rsidP="00415958">
            <w:pPr>
              <w:rPr>
                <w:rFonts w:ascii="Calibri" w:hAnsi="Calibri"/>
                <w:szCs w:val="18"/>
              </w:rPr>
            </w:pP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14-day ACPR 47%</w:t>
            </w:r>
          </w:p>
          <w:p w:rsidR="00415958" w:rsidRPr="00EF6C4E" w:rsidRDefault="00415958" w:rsidP="00415958">
            <w:pPr>
              <w:rPr>
                <w:rFonts w:ascii="Calibri" w:hAnsi="Calibri"/>
                <w:szCs w:val="18"/>
              </w:rPr>
            </w:pPr>
            <w:r w:rsidRPr="00EF6C4E">
              <w:rPr>
                <w:rFonts w:ascii="Calibri" w:hAnsi="Calibri"/>
                <w:szCs w:val="18"/>
              </w:rPr>
              <w:t>14 days PTP after CQ treatment</w:t>
            </w:r>
          </w:p>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AA2259" w:rsidP="00415958">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&lt;EndNote&gt;&lt;Cite&gt;&lt;Author&gt;Oduro&lt;/Author&gt;&lt;Year&gt;2005&lt;/Year&gt;&lt;RecNum&gt;449&lt;/RecNum&gt;&lt;record&gt;&lt;rec-number&gt;449&lt;/rec-number&gt;&lt;foreign-keys&gt;&lt;key app="EN" db-id="50vzxafd505dzseevvi5prdyd0vsefrtrrpx"&gt;449&lt;/key&gt;&lt;/foreign-keys&gt;&lt;ref-type name="Journal Article"&gt;17&lt;/ref-type&gt;&lt;contributors&gt;&lt;authors&gt;&lt;author&gt;Oduro, A. R.&lt;/author&gt;&lt;author&gt;Anyorigiya, T.&lt;/author&gt;&lt;author&gt;Hodgson, A.&lt;/author&gt;&lt;author&gt;Ansah, P.&lt;/author&gt;&lt;author&gt;Anto, F.&lt;/author&gt;&lt;author&gt;Ansah, N. A.&lt;/author&gt;&lt;author&gt;Atuguba, F.&lt;/author&gt;&lt;author&gt;Mumuni, G.&lt;/author&gt;&lt;author&gt;Amankwa, J.&lt;/author&gt;&lt;/authors&gt;&lt;/contributors&gt;&lt;auth-address&gt;Navrongo Health Research Centre, Navrongo, Ghana. aoduro@navrongo.mimcom.net&lt;/auth-address&gt;&lt;titles&gt;&lt;title&gt;A randomized comparative study of chloroquine, amodiaquine and sulphadoxine-pyrimethamine for the treatment of uncomplicated malaria in Ghana&lt;/title&gt;&lt;secondary-title&gt;Trop Med Int Health&lt;/secondary-title&gt;&lt;/titles&gt;&lt;periodical&gt;&lt;full-title&gt;Trop Med Int Health&lt;/full-title&gt;&lt;/periodical&gt;&lt;pages&gt;279-84&lt;/pages&gt;&lt;volume&gt;10&lt;/volume&gt;&lt;number&gt;3&lt;/number&gt;&lt;keywords&gt;&lt;keyword&gt;Amodiaquine/adverse effects/therapeutic use&lt;/keyword&gt;&lt;keyword&gt;Antimalarials/adverse effects/ therapeutic use&lt;/keyword&gt;&lt;keyword&gt;Child, Preschool&lt;/keyword&gt;&lt;keyword&gt;Chloroquine/adverse effects/therapeutic use&lt;/keyword&gt;&lt;keyword&gt;Drug Combinations&lt;/keyword&gt;&lt;keyword&gt;Female&lt;/keyword&gt;&lt;keyword&gt;Fever/drug therapy/parasitology&lt;/keyword&gt;&lt;keyword&gt;Ghana&lt;/keyword&gt;&lt;keyword&gt;Humans&lt;/keyword&gt;&lt;keyword&gt;Infant&lt;/keyword&gt;&lt;keyword&gt;Malaria, Falciparum/ drug therapy/parasitology&lt;/keyword&gt;&lt;keyword&gt;Male&lt;/keyword&gt;&lt;keyword&gt;Parasitemia/drug therapy&lt;/keyword&gt;&lt;keyword&gt;Patient Dropouts&lt;/keyword&gt;&lt;keyword&gt;Pyrimethamine/adverse effects/therapeutic use&lt;/keyword&gt;&lt;keyword&gt;Sulfadoxine/adverse effects/therapeutic use&lt;/keyword&gt;&lt;keyword&gt;Treatment Failure&lt;/keyword&gt;&lt;keyword&gt;Treatment Outcome&lt;/keyword&gt;&lt;/keywords&gt;&lt;dates&gt;&lt;year&gt;2005&lt;/year&gt;&lt;pub-dates&gt;&lt;date&gt;Mar&lt;/date&gt;&lt;/pub-dates&gt;&lt;/dates&gt;&lt;isbn&gt;1360-2276 (Print)&lt;/isbn&gt;&lt;accession-num&gt;15730512&lt;/accession-num&gt;&lt;urls&gt;&lt;/urls&gt;&lt;/record&gt;&lt;/Cite&gt;&lt;/EndNote&gt;</w:instrText>
            </w:r>
            <w:r w:rsidRPr="00EF6C4E">
              <w:rPr>
                <w:rFonts w:ascii="Calibri" w:hAnsi="Calibri"/>
                <w:szCs w:val="18"/>
              </w:rPr>
              <w:fldChar w:fldCharType="separate"/>
            </w:r>
            <w:r w:rsidR="005E2935" w:rsidRPr="00EF6C4E">
              <w:rPr>
                <w:rFonts w:ascii="Calibri" w:hAnsi="Calibri"/>
                <w:noProof/>
                <w:szCs w:val="18"/>
              </w:rPr>
              <w:t>[3]</w:t>
            </w:r>
            <w:r w:rsidRPr="00EF6C4E">
              <w:rPr>
                <w:rFonts w:ascii="Calibri" w:hAnsi="Calibri"/>
                <w:szCs w:val="18"/>
              </w:rPr>
              <w:fldChar w:fldCharType="end"/>
            </w:r>
            <w:r w:rsidR="00415958" w:rsidRPr="00EF6C4E">
              <w:rPr>
                <w:rFonts w:ascii="Calibri" w:hAnsi="Calibri"/>
                <w:szCs w:val="18"/>
              </w:rPr>
              <w:t xml:space="preserve"> </w:t>
            </w:r>
          </w:p>
          <w:p w:rsidR="00415958" w:rsidRPr="00EF6C4E" w:rsidRDefault="00AA2259" w:rsidP="005E2935">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&lt;EndNote&gt;&lt;Cite&gt;&lt;Author&gt;White&lt;/Author&gt;&lt;Year&gt;2008&lt;/Year&gt;&lt;RecNum&gt;517&lt;/RecNum&gt;&lt;record&gt;&lt;rec-number&gt;517&lt;/rec-number&gt;&lt;foreign-keys&gt;&lt;key app="EN" db-id="50vzxafd505dzseevvi5prdyd0vsefrtrrpx"&gt;517&lt;/key&gt;&lt;/foreign-keys&gt;&lt;ref-type name="Journal Article"&gt;17&lt;/ref-type&gt;&lt;contributors&gt;&lt;authors&gt;&lt;author&gt;White, N. J.&lt;/author&gt;&lt;/authors&gt;&lt;/contributors&gt;&lt;titles&gt;&lt;title&gt;How antimalarial drug resistance affects post treatment prophylaxis&lt;/title&gt;&lt;secondary-title&gt;Malar J&lt;/secondary-title&gt;&lt;/titles&gt;&lt;periodical&gt;&lt;full-title&gt;Malar J&lt;/full-title&gt;&lt;/periodical&gt;&lt;pages&gt;9&lt;/pages&gt;&lt;volume&gt;7&lt;/volume&gt;&lt;number&gt;1&lt;/number&gt;&lt;dates&gt;&lt;year&gt;2008&lt;/year&gt;&lt;pub-dates&gt;&lt;date&gt;Jan 11&lt;/date&gt;&lt;/pub-dates&gt;&lt;/dates&gt;&lt;isbn&gt;1475-2875 (Electronic)&lt;/isbn&gt;&lt;accession-num&gt;18186948&lt;/accession-num&gt;&lt;urls&gt;&lt;pdf-urls&gt;&lt;url&gt;file:///C:/Documents%20and%20Settings/Matt%20Cairns/My%20Documents/My%20Documents/1%20PHD/OVERVIEW/WHITE%20-%20DR%20and%20post-treat%20proph%20(PTP)%20MAL%20J%202008.pdf&lt;/url&gt;&lt;/pdf-urls&gt;&lt;/urls&gt;&lt;/record&gt;&lt;/Cite&gt;&lt;/EndNote&gt;</w:instrText>
            </w:r>
            <w:r w:rsidRPr="00EF6C4E">
              <w:rPr>
                <w:rFonts w:ascii="Calibri" w:hAnsi="Calibri"/>
                <w:szCs w:val="18"/>
              </w:rPr>
              <w:fldChar w:fldCharType="separate"/>
            </w:r>
            <w:r w:rsidR="005E2935" w:rsidRPr="00EF6C4E">
              <w:rPr>
                <w:rFonts w:ascii="Calibri" w:hAnsi="Calibri"/>
                <w:noProof/>
                <w:szCs w:val="18"/>
              </w:rPr>
              <w:t>[4]</w:t>
            </w:r>
            <w:r w:rsidRPr="00EF6C4E">
              <w:rPr>
                <w:rFonts w:ascii="Calibri" w:hAnsi="Calibri"/>
                <w:szCs w:val="18"/>
              </w:rPr>
              <w:fldChar w:fldCharType="end"/>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14 days</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7-21 days</w:t>
            </w:r>
          </w:p>
        </w:tc>
      </w:tr>
      <w:tr w:rsidR="00415958" w:rsidRPr="00EF6C4E" w:rsidTr="00415958">
        <w:tc>
          <w:tcPr>
            <w:tcW w:w="1228"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q</w:t>
            </w:r>
          </w:p>
        </w:tc>
        <w:tc>
          <w:tcPr>
            <w:tcW w:w="30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Rate of loss of prophylactic protection after treatment (5/d</w:t>
            </w:r>
            <w:r w:rsidRPr="00EF6C4E">
              <w:rPr>
                <w:rFonts w:ascii="Calibri" w:hAnsi="Calibri"/>
                <w:szCs w:val="18"/>
                <w:vertAlign w:val="subscript"/>
              </w:rPr>
              <w:t>t</w:t>
            </w:r>
            <w:r w:rsidRPr="00EF6C4E">
              <w:rPr>
                <w:rFonts w:ascii="Calibri" w:hAnsi="Calibri"/>
                <w:szCs w:val="18"/>
              </w:rPr>
              <w:t>)</w:t>
            </w:r>
          </w:p>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p>
        </w:tc>
        <w:tc>
          <w:tcPr>
            <w:tcW w:w="2600" w:type="dxa"/>
            <w:tcBorders>
              <w:top w:val="nil"/>
              <w:bottom w:val="single" w:sz="4" w:space="0" w:color="C0C0C0"/>
            </w:tcBorders>
          </w:tcPr>
          <w:p w:rsidR="00415958" w:rsidRPr="00EF6C4E" w:rsidRDefault="00415958" w:rsidP="00415958">
            <w:pPr>
              <w:rPr>
                <w:rFonts w:ascii="Calibri" w:hAnsi="Calibri"/>
                <w:szCs w:val="18"/>
              </w:rPr>
            </w:pPr>
          </w:p>
        </w:tc>
        <w:tc>
          <w:tcPr>
            <w:tcW w:w="1266" w:type="dxa"/>
            <w:tcBorders>
              <w:top w:val="nil"/>
              <w:bottom w:val="single" w:sz="4" w:space="0" w:color="C0C0C0"/>
            </w:tcBorders>
          </w:tcPr>
          <w:p w:rsidR="00415958" w:rsidRPr="00EF6C4E" w:rsidRDefault="00415958" w:rsidP="00415958">
            <w:pPr>
              <w:rPr>
                <w:rFonts w:ascii="Calibri" w:hAnsi="Calibri"/>
                <w:szCs w:val="18"/>
              </w:rPr>
            </w:pPr>
          </w:p>
        </w:tc>
        <w:tc>
          <w:tcPr>
            <w:tcW w:w="1000" w:type="dxa"/>
            <w:tcBorders>
              <w:top w:val="nil"/>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IPT</w:t>
            </w:r>
            <w:r w:rsidRPr="00EF6C4E">
              <w:rPr>
                <w:rFonts w:ascii="Calibri" w:hAnsi="Calibri"/>
                <w:szCs w:val="18"/>
                <w:vertAlign w:val="subscript"/>
              </w:rPr>
              <w:t>cov</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IPT Coverage</w:t>
            </w:r>
          </w:p>
          <w:p w:rsidR="00415958" w:rsidRPr="00EF6C4E" w:rsidRDefault="00415958" w:rsidP="00415958">
            <w:pPr>
              <w:rPr>
                <w:rFonts w:ascii="Calibri" w:hAnsi="Calibri"/>
                <w:szCs w:val="18"/>
              </w:rPr>
            </w:pP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0.92 </w:t>
            </w: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Navrongo data</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0.92</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(0.5-0.95)</w:t>
            </w: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IPT</w:t>
            </w:r>
            <w:r w:rsidRPr="00EF6C4E">
              <w:rPr>
                <w:rFonts w:ascii="Calibri" w:hAnsi="Calibri"/>
                <w:szCs w:val="18"/>
                <w:vertAlign w:val="subscript"/>
              </w:rPr>
              <w:t>eff</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IPT Efficacy</w:t>
            </w:r>
          </w:p>
          <w:p w:rsidR="00415958" w:rsidRPr="00EF6C4E" w:rsidRDefault="00415958" w:rsidP="00415958">
            <w:pPr>
              <w:rPr>
                <w:rFonts w:ascii="Calibri" w:hAnsi="Calibri"/>
                <w:szCs w:val="18"/>
              </w:rPr>
            </w:pP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14 day ACPR: 0.78</w:t>
            </w:r>
          </w:p>
        </w:tc>
        <w:tc>
          <w:tcPr>
            <w:tcW w:w="2600" w:type="dxa"/>
            <w:tcBorders>
              <w:top w:val="single" w:sz="4" w:space="0" w:color="C0C0C0"/>
              <w:bottom w:val="single" w:sz="4" w:space="0" w:color="C0C0C0"/>
            </w:tcBorders>
          </w:tcPr>
          <w:p w:rsidR="00415958" w:rsidRPr="00EF6C4E" w:rsidRDefault="00AA2259" w:rsidP="005E2935">
            <w:pPr>
              <w:rPr>
                <w:rFonts w:ascii="Calibri" w:hAnsi="Calibri"/>
                <w:szCs w:val="18"/>
              </w:rPr>
            </w:pPr>
            <w:r w:rsidRPr="00EF6C4E">
              <w:rPr>
                <w:rFonts w:ascii="Calibri" w:hAnsi="Calibri"/>
                <w:szCs w:val="18"/>
              </w:rPr>
              <w:fldChar w:fldCharType="begin"/>
            </w:r>
            <w:r w:rsidR="002441A6">
              <w:rPr>
                <w:rFonts w:ascii="Calibri" w:hAnsi="Calibri"/>
                <w:szCs w:val="18"/>
              </w:rPr>
              <w:instrText xml:space="preserve"> ADDIN EN.CITE &lt;EndNote&gt;&lt;Cite&gt;&lt;Author&gt;Oduro&lt;/Author&gt;&lt;Year&gt;2005&lt;/Year&gt;&lt;RecNum&gt;449&lt;/RecNum&gt;&lt;record&gt;&lt;rec-number&gt;449&lt;/rec-number&gt;&lt;foreign-keys&gt;&lt;key app="EN" db-id="50vzxafd505dzseevvi5prdyd0vsefrtrrpx"&gt;449&lt;/key&gt;&lt;/foreign-keys&gt;&lt;ref-type name="Journal Article"&gt;17&lt;/ref-type&gt;&lt;contributors&gt;&lt;authors&gt;&lt;author&gt;Oduro, A. R.&lt;/author&gt;&lt;author&gt;Anyorigiya, T.&lt;/author&gt;&lt;author&gt;Hodgson, A.&lt;/author&gt;&lt;author&gt;Ansah, P.&lt;/author&gt;&lt;author&gt;Anto, F.&lt;/author&gt;&lt;author&gt;Ansah, N. A.&lt;/author&gt;&lt;author&gt;Atuguba, F.&lt;/author&gt;&lt;author&gt;Mumuni, G.&lt;/author&gt;&lt;author&gt;Amankwa, J.&lt;/author&gt;&lt;/authors&gt;&lt;/contributors&gt;&lt;auth-address&gt;Navrongo Health Research Centre, Navrongo, Ghana. aoduro@navrongo.mimcom.net&lt;/auth-address&gt;&lt;titles&gt;&lt;title&gt;A randomized comparative study of chloroquine, amodiaquine and sulphadoxine-pyrimethamine for the treatment of uncomplicated malaria in Ghana&lt;/title&gt;&lt;secondary-title&gt;Trop Med Int Health&lt;/secondary-title&gt;&lt;/titles&gt;&lt;periodical&gt;&lt;full-title&gt;Trop Med Int Health&lt;/full-title&gt;&lt;/periodical&gt;&lt;pages&gt;279-84&lt;/pages&gt;&lt;volume&gt;10&lt;/volume&gt;&lt;number&gt;3&lt;/number&gt;&lt;keywords&gt;&lt;keyword&gt;Amodiaquine/adverse effects/therapeutic use&lt;/keyword&gt;&lt;keyword&gt;Antimalarials/adverse effects/ therapeutic use&lt;/keyword&gt;&lt;keyword&gt;Child, Preschool&lt;/keyword&gt;&lt;keyword&gt;Chloroquine/adverse effects/therapeutic use&lt;/keyword&gt;&lt;keyword&gt;Drug Combinations&lt;/keyword&gt;&lt;keyword&gt;Female&lt;/keyword&gt;&lt;keyword&gt;Fever/drug therapy/parasitology&lt;/keyword&gt;&lt;keyword&gt;Ghana&lt;/keyword&gt;&lt;keyword&gt;Humans&lt;/keyword&gt;&lt;keyword&gt;Infant&lt;/keyword&gt;&lt;keyword&gt;Malaria, Falciparum/ drug therapy/parasitology&lt;/keyword&gt;&lt;keyword&gt;Male&lt;/keyword&gt;&lt;keyword&gt;Parasitemia/drug therapy&lt;/keyword&gt;&lt;keyword&gt;Patient Dropouts&lt;/keyword&gt;&lt;keyword&gt;Pyrimethamine/adverse effects/therapeutic use&lt;/keyword&gt;&lt;keyword&gt;Sulfadoxine/adverse effects/therapeutic use&lt;/keyword&gt;&lt;keyword&gt;Treatment Failure&lt;/keyword&gt;&lt;keyword&gt;Treatment Outcome&lt;/keyword&gt;&lt;/keywords&gt;&lt;dates&gt;&lt;year&gt;2005&lt;/year&gt;&lt;pub-dates&gt;&lt;date&gt;Mar&lt;/date&gt;&lt;/pub-dates&gt;&lt;/dates&gt;&lt;isbn&gt;1360-2276 (Print)&lt;/isbn&gt;&lt;accession-num&gt;15730512&lt;/accession-num&gt;&lt;urls&gt;&lt;/urls&gt;&lt;/record&gt;&lt;/Cite&gt;&lt;/EndNote&gt;</w:instrText>
            </w:r>
            <w:r w:rsidRPr="00EF6C4E">
              <w:rPr>
                <w:rFonts w:ascii="Calibri" w:hAnsi="Calibri"/>
                <w:szCs w:val="18"/>
              </w:rPr>
              <w:fldChar w:fldCharType="separate"/>
            </w:r>
            <w:r w:rsidR="005E2935" w:rsidRPr="00EF6C4E">
              <w:rPr>
                <w:rFonts w:ascii="Calibri" w:hAnsi="Calibri"/>
                <w:noProof/>
                <w:szCs w:val="18"/>
              </w:rPr>
              <w:t>[3]</w:t>
            </w:r>
            <w:r w:rsidRPr="00EF6C4E">
              <w:rPr>
                <w:rFonts w:ascii="Calibri" w:hAnsi="Calibri"/>
                <w:szCs w:val="18"/>
              </w:rPr>
              <w:fldChar w:fldCharType="end"/>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0.9</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(0.5-0.95)</w:t>
            </w: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τ</w:t>
            </w:r>
            <w:r w:rsidRPr="00EF6C4E">
              <w:rPr>
                <w:rFonts w:ascii="Calibri" w:hAnsi="Calibri"/>
                <w:szCs w:val="18"/>
                <w:vertAlign w:val="subscript"/>
              </w:rPr>
              <w:t xml:space="preserve"> max</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Theoretical maximum rate individuals could receive IPT protection if coverage and efficacy both 100%</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EPI: as enrolment + delay</w:t>
            </w:r>
          </w:p>
          <w:p w:rsidR="00415958" w:rsidRPr="00EF6C4E" w:rsidRDefault="00415958" w:rsidP="00415958">
            <w:pPr>
              <w:rPr>
                <w:rFonts w:ascii="Calibri" w:hAnsi="Calibri"/>
                <w:szCs w:val="18"/>
              </w:rPr>
            </w:pPr>
            <w:r w:rsidRPr="00EF6C4E">
              <w:rPr>
                <w:rFonts w:ascii="Calibri" w:hAnsi="Calibri"/>
                <w:szCs w:val="18"/>
              </w:rPr>
              <w:t>sIPT: pulse at intervals</w:t>
            </w:r>
          </w:p>
        </w:tc>
        <w:tc>
          <w:tcPr>
            <w:tcW w:w="2600" w:type="dxa"/>
            <w:tcBorders>
              <w:top w:val="single" w:sz="4" w:space="0" w:color="C0C0C0"/>
              <w:bottom w:val="single" w:sz="4" w:space="0" w:color="C0C0C0"/>
            </w:tcBorders>
          </w:tcPr>
          <w:p w:rsidR="00415958" w:rsidRPr="00EF6C4E" w:rsidRDefault="00415958" w:rsidP="00415958">
            <w:pPr>
              <w:rPr>
                <w:rFonts w:ascii="Calibri" w:hAnsi="Calibri"/>
                <w:b/>
                <w:szCs w:val="18"/>
              </w:rPr>
            </w:pP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p>
        </w:tc>
      </w:tr>
      <w:tr w:rsidR="00415958" w:rsidRPr="00EF6C4E" w:rsidTr="00415958">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τ(t)</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Rate individuals move into protected compartments after IPT = τ</w:t>
            </w:r>
            <w:r w:rsidRPr="00EF6C4E">
              <w:rPr>
                <w:rFonts w:ascii="Calibri" w:hAnsi="Calibri"/>
                <w:szCs w:val="18"/>
                <w:vertAlign w:val="subscript"/>
              </w:rPr>
              <w:t xml:space="preserve"> max</w:t>
            </w:r>
            <w:r w:rsidRPr="00EF6C4E">
              <w:rPr>
                <w:rFonts w:ascii="Calibri" w:hAnsi="Calibri"/>
                <w:szCs w:val="18"/>
              </w:rPr>
              <w:t>*IPT</w:t>
            </w:r>
            <w:r w:rsidRPr="00EF6C4E">
              <w:rPr>
                <w:rFonts w:ascii="Calibri" w:hAnsi="Calibri"/>
                <w:szCs w:val="18"/>
                <w:vertAlign w:val="subscript"/>
              </w:rPr>
              <w:t>cov</w:t>
            </w:r>
            <w:r w:rsidRPr="00EF6C4E">
              <w:rPr>
                <w:rFonts w:ascii="Calibri" w:hAnsi="Calibri"/>
                <w:szCs w:val="18"/>
              </w:rPr>
              <w:t>*IPT</w:t>
            </w:r>
            <w:r w:rsidRPr="00EF6C4E">
              <w:rPr>
                <w:rFonts w:ascii="Calibri" w:hAnsi="Calibri"/>
                <w:szCs w:val="18"/>
                <w:vertAlign w:val="subscript"/>
              </w:rPr>
              <w:t>eff</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Varies with time according to IPT strategy</w:t>
            </w:r>
          </w:p>
        </w:tc>
        <w:tc>
          <w:tcPr>
            <w:tcW w:w="2600" w:type="dxa"/>
            <w:tcBorders>
              <w:top w:val="single" w:sz="4" w:space="0" w:color="C0C0C0"/>
              <w:bottom w:val="single" w:sz="4" w:space="0" w:color="C0C0C0"/>
            </w:tcBorders>
          </w:tcPr>
          <w:p w:rsidR="00415958" w:rsidRPr="00EF6C4E" w:rsidRDefault="00415958" w:rsidP="00415958">
            <w:pPr>
              <w:rPr>
                <w:rFonts w:ascii="Calibri" w:hAnsi="Calibri"/>
                <w:b/>
                <w:szCs w:val="18"/>
              </w:rPr>
            </w:pPr>
            <w:r w:rsidRPr="00EF6C4E">
              <w:rPr>
                <w:rFonts w:ascii="Calibri" w:hAnsi="Calibri"/>
                <w:b/>
                <w:szCs w:val="18"/>
              </w:rPr>
              <w:t>-</w:t>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rPr>
            </w:pPr>
          </w:p>
        </w:tc>
      </w:tr>
      <w:tr w:rsidR="00415958" w:rsidRPr="00EF6C4E" w:rsidTr="00415958">
        <w:tblPrEx>
          <w:tblBorders>
            <w:top w:val="single" w:sz="4" w:space="0" w:color="auto"/>
          </w:tblBorders>
        </w:tblPrEx>
        <w:tc>
          <w:tcPr>
            <w:tcW w:w="1228"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d</w:t>
            </w:r>
            <w:r w:rsidRPr="00EF6C4E">
              <w:rPr>
                <w:rFonts w:ascii="Calibri" w:hAnsi="Calibri"/>
                <w:szCs w:val="18"/>
                <w:vertAlign w:val="subscript"/>
              </w:rPr>
              <w:t>IPT</w:t>
            </w:r>
            <w:r w:rsidRPr="00EF6C4E">
              <w:rPr>
                <w:rFonts w:ascii="Calibri" w:hAnsi="Calibri"/>
                <w:szCs w:val="18"/>
              </w:rPr>
              <w:t xml:space="preserve"> </w:t>
            </w:r>
          </w:p>
        </w:tc>
        <w:tc>
          <w:tcPr>
            <w:tcW w:w="30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Duration of prophylaxis after IPT</w:t>
            </w:r>
          </w:p>
        </w:tc>
        <w:tc>
          <w:tcPr>
            <w:tcW w:w="3600" w:type="dxa"/>
            <w:tcBorders>
              <w:top w:val="single" w:sz="4" w:space="0" w:color="C0C0C0"/>
              <w:bottom w:val="nil"/>
            </w:tcBorders>
          </w:tcPr>
          <w:p w:rsidR="00415958" w:rsidRPr="00EF6C4E" w:rsidRDefault="00415958" w:rsidP="00415958">
            <w:pPr>
              <w:rPr>
                <w:rFonts w:ascii="Calibri" w:hAnsi="Calibri"/>
                <w:szCs w:val="18"/>
              </w:rPr>
            </w:pPr>
            <w:r w:rsidRPr="00EF6C4E">
              <w:rPr>
                <w:rFonts w:ascii="Calibri" w:hAnsi="Calibri"/>
                <w:szCs w:val="18"/>
              </w:rPr>
              <w:t>4-6 weeks (SP)</w:t>
            </w:r>
          </w:p>
          <w:p w:rsidR="00415958" w:rsidRPr="00EF6C4E" w:rsidRDefault="00415958" w:rsidP="00415958">
            <w:pPr>
              <w:rPr>
                <w:rFonts w:ascii="Calibri" w:hAnsi="Calibri"/>
                <w:szCs w:val="18"/>
              </w:rPr>
            </w:pPr>
          </w:p>
          <w:p w:rsidR="00415958" w:rsidRPr="00EF6C4E" w:rsidRDefault="00415958" w:rsidP="00415958">
            <w:pPr>
              <w:rPr>
                <w:rFonts w:ascii="Calibri" w:hAnsi="Calibri"/>
                <w:szCs w:val="18"/>
              </w:rPr>
            </w:pPr>
          </w:p>
        </w:tc>
        <w:tc>
          <w:tcPr>
            <w:tcW w:w="2600" w:type="dxa"/>
            <w:tcBorders>
              <w:top w:val="single" w:sz="4" w:space="0" w:color="C0C0C0"/>
              <w:bottom w:val="nil"/>
            </w:tcBorders>
          </w:tcPr>
          <w:p w:rsidR="00415958" w:rsidRPr="00EF6C4E" w:rsidRDefault="00AA2259" w:rsidP="005E2935">
            <w:pPr>
              <w:rPr>
                <w:rFonts w:ascii="Calibri" w:hAnsi="Calibri"/>
                <w:szCs w:val="18"/>
                <w:lang w:val="en-US"/>
              </w:rPr>
            </w:pPr>
            <w:r w:rsidRPr="00EF6C4E">
              <w:rPr>
                <w:rFonts w:ascii="Calibri" w:hAnsi="Calibri"/>
                <w:szCs w:val="18"/>
                <w:lang w:val="en-US"/>
              </w:rPr>
              <w:fldChar w:fldCharType="begin"/>
            </w:r>
            <w:r w:rsidR="002441A6">
              <w:rPr>
                <w:rFonts w:ascii="Calibri" w:hAnsi="Calibri"/>
                <w:szCs w:val="18"/>
                <w:lang w:val="en-US"/>
              </w:rPr>
              <w:instrText xml:space="preserve"> ADDIN EN.CITE &lt;EndNote&gt;&lt;Cite&gt;&lt;Author&gt;Cairns&lt;/Author&gt;&lt;Year&gt;2008&lt;/Year&gt;&lt;RecNum&gt;558&lt;/RecNum&gt;&lt;record&gt;&lt;rec-number&gt;558&lt;/rec-number&gt;&lt;foreign-keys&gt;&lt;key app="EN" db-id="50vzxafd505dzseevvi5prdyd0vsefrtrrpx"&gt;558&lt;/key&gt;&lt;/foreign-keys&gt;&lt;ref-type name="Journal Article"&gt;17&lt;/ref-type&gt;&lt;contributors&gt;&lt;authors&gt;&lt;author&gt;Cairns, Matthew&lt;/author&gt;&lt;author&gt;Carneiro, Ilona&lt;/author&gt;&lt;author&gt;Milligan, Paul&lt;/author&gt;&lt;author&gt;Owusu-Agyei, Seth&lt;/author&gt;&lt;author&gt;Awine, Timothy&lt;/author&gt;&lt;author&gt;Gosling, Roly&lt;/author&gt;&lt;author&gt;Greenwood, Brian&lt;/author&gt;&lt;author&gt;Chandramohan, Daniel&lt;/author&gt;&lt;/authors&gt;&lt;/contributors&gt;&lt;titles&gt;&lt;title&gt;Duration of Protection against Malaria and Anaemia Provided by Intermittent Preventive Treatment in Infants in Navrongo, Ghana&lt;/title&gt;&lt;secondary-title&gt;PLoS ONE&lt;/secondary-title&gt;&lt;/titles&gt;&lt;periodical&gt;&lt;full-title&gt;PLoS ONE&lt;/full-title&gt;&lt;/periodical&gt;&lt;pages&gt;e2227&lt;/pages&gt;&lt;volume&gt;3&lt;/volume&gt;&lt;number&gt;5&lt;/number&gt;&lt;dates&gt;&lt;year&gt;2008&lt;/year&gt;&lt;/dates&gt;&lt;publisher&gt;Public Library of Science&lt;/publisher&gt;&lt;urls&gt;&lt;related-urls&gt;&lt;url&gt;http://dx.doi.org/10.1371%2Fjournal.pone.0002227 &lt;/url&gt;&lt;/related-urls&gt;&lt;pdf-urls&gt;&lt;url&gt;file:///C:/Documents%20and%20Settings/Matt%20Cairns/My%20Documents/My%20Documents/1%20PHD/OVERVIEW/CAIRNS%20duration%20of%20IPT%20protection%20PLoS%20ONE%202008.pdf&lt;/url&gt;&lt;/pdf-urls&gt;&lt;/urls&gt;&lt;/record&gt;&lt;/Cite&gt;&lt;/EndNote&gt;</w:instrText>
            </w:r>
            <w:r w:rsidRPr="00EF6C4E">
              <w:rPr>
                <w:rFonts w:ascii="Calibri" w:hAnsi="Calibri"/>
                <w:szCs w:val="18"/>
                <w:lang w:val="en-US"/>
              </w:rPr>
              <w:fldChar w:fldCharType="separate"/>
            </w:r>
            <w:r w:rsidR="005E2935" w:rsidRPr="00EF6C4E">
              <w:rPr>
                <w:rFonts w:ascii="Calibri" w:hAnsi="Calibri"/>
                <w:noProof/>
                <w:szCs w:val="18"/>
                <w:lang w:val="en-US"/>
              </w:rPr>
              <w:t>[7]</w:t>
            </w:r>
            <w:r w:rsidRPr="00EF6C4E">
              <w:rPr>
                <w:rFonts w:ascii="Calibri" w:hAnsi="Calibri"/>
                <w:szCs w:val="18"/>
                <w:lang w:val="en-US"/>
              </w:rPr>
              <w:fldChar w:fldCharType="end"/>
            </w:r>
            <w:r w:rsidR="00415958" w:rsidRPr="00EF6C4E">
              <w:rPr>
                <w:rFonts w:ascii="Calibri" w:hAnsi="Calibri"/>
                <w:szCs w:val="18"/>
                <w:lang w:val="en-US"/>
              </w:rPr>
              <w:t>, Gamma distribution fitted to data</w:t>
            </w:r>
          </w:p>
        </w:tc>
        <w:tc>
          <w:tcPr>
            <w:tcW w:w="1266" w:type="dxa"/>
            <w:vMerge w:val="restart"/>
            <w:tcBorders>
              <w:top w:val="single" w:sz="4" w:space="0" w:color="C0C0C0"/>
              <w:bottom w:val="single" w:sz="4" w:space="0" w:color="auto"/>
            </w:tcBorders>
          </w:tcPr>
          <w:p w:rsidR="00415958" w:rsidRPr="00EF6C4E" w:rsidRDefault="00415958" w:rsidP="00415958">
            <w:pPr>
              <w:rPr>
                <w:rFonts w:ascii="Calibri" w:hAnsi="Calibri"/>
                <w:szCs w:val="18"/>
                <w:lang w:val="en-US"/>
              </w:rPr>
            </w:pPr>
            <w:r w:rsidRPr="00EF6C4E">
              <w:rPr>
                <w:rFonts w:ascii="Calibri" w:hAnsi="Calibri"/>
                <w:szCs w:val="18"/>
              </w:rPr>
              <w:t>mean 30 days</w:t>
            </w:r>
          </w:p>
        </w:tc>
        <w:tc>
          <w:tcPr>
            <w:tcW w:w="1000" w:type="dxa"/>
            <w:vMerge w:val="restart"/>
            <w:tcBorders>
              <w:top w:val="single" w:sz="4" w:space="0" w:color="C0C0C0"/>
              <w:bottom w:val="single" w:sz="4" w:space="0" w:color="auto"/>
            </w:tcBorders>
          </w:tcPr>
          <w:p w:rsidR="00415958" w:rsidRPr="00EF6C4E" w:rsidRDefault="00415958" w:rsidP="00415958">
            <w:pPr>
              <w:rPr>
                <w:rFonts w:ascii="Calibri" w:hAnsi="Calibri"/>
                <w:szCs w:val="18"/>
                <w:lang w:val="fr-FR"/>
              </w:rPr>
            </w:pPr>
            <w:r w:rsidRPr="00EF6C4E">
              <w:rPr>
                <w:rFonts w:ascii="Calibri" w:hAnsi="Calibri"/>
                <w:szCs w:val="18"/>
                <w:lang w:val="fr-FR"/>
              </w:rPr>
              <w:t>20-35 days</w:t>
            </w:r>
          </w:p>
        </w:tc>
      </w:tr>
      <w:tr w:rsidR="00415958" w:rsidRPr="00EF6C4E" w:rsidTr="00415958">
        <w:tblPrEx>
          <w:tblBorders>
            <w:top w:val="single" w:sz="4" w:space="0" w:color="auto"/>
          </w:tblBorders>
        </w:tblPrEx>
        <w:tc>
          <w:tcPr>
            <w:tcW w:w="1228" w:type="dxa"/>
            <w:tcBorders>
              <w:top w:val="nil"/>
              <w:bottom w:val="single" w:sz="4" w:space="0" w:color="C0C0C0"/>
            </w:tcBorders>
          </w:tcPr>
          <w:p w:rsidR="00415958" w:rsidRPr="00EF6C4E" w:rsidRDefault="00415958" w:rsidP="00415958">
            <w:pPr>
              <w:rPr>
                <w:rFonts w:ascii="Calibri" w:hAnsi="Calibri"/>
                <w:szCs w:val="18"/>
              </w:rPr>
            </w:pPr>
          </w:p>
        </w:tc>
        <w:tc>
          <w:tcPr>
            <w:tcW w:w="3000" w:type="dxa"/>
            <w:tcBorders>
              <w:top w:val="nil"/>
              <w:bottom w:val="single" w:sz="4" w:space="0" w:color="C0C0C0"/>
            </w:tcBorders>
          </w:tcPr>
          <w:p w:rsidR="00415958" w:rsidRPr="00EF6C4E" w:rsidRDefault="00415958" w:rsidP="00415958">
            <w:pPr>
              <w:rPr>
                <w:rFonts w:ascii="Calibri" w:hAnsi="Calibri"/>
                <w:szCs w:val="18"/>
              </w:rPr>
            </w:pP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60 days maximum</w:t>
            </w:r>
          </w:p>
        </w:tc>
        <w:tc>
          <w:tcPr>
            <w:tcW w:w="2600" w:type="dxa"/>
            <w:tcBorders>
              <w:top w:val="nil"/>
              <w:bottom w:val="single" w:sz="4" w:space="0" w:color="C0C0C0"/>
            </w:tcBorders>
          </w:tcPr>
          <w:p w:rsidR="00415958" w:rsidRPr="00EF6C4E" w:rsidRDefault="00AA2259" w:rsidP="005E2935">
            <w:pPr>
              <w:rPr>
                <w:rFonts w:ascii="Calibri" w:hAnsi="Calibri"/>
                <w:szCs w:val="18"/>
                <w:lang w:val="fr-FR"/>
              </w:rPr>
            </w:pPr>
            <w:r w:rsidRPr="00EF6C4E">
              <w:rPr>
                <w:rFonts w:ascii="Calibri" w:hAnsi="Calibri"/>
                <w:szCs w:val="18"/>
                <w:lang w:val="fr-FR"/>
              </w:rPr>
              <w:fldChar w:fldCharType="begin"/>
            </w:r>
            <w:r w:rsidR="002441A6">
              <w:rPr>
                <w:rFonts w:ascii="Calibri" w:hAnsi="Calibri"/>
                <w:szCs w:val="18"/>
                <w:lang w:val="fr-FR"/>
              </w:rPr>
              <w:instrText xml:space="preserve"> ADDIN EN.CITE &lt;EndNote&gt;&lt;Cite&gt;&lt;Author&gt;Watkins&lt;/Author&gt;&lt;Year&gt;1997&lt;/Year&gt;&lt;RecNum&gt;385&lt;/RecNum&gt;&lt;record&gt;&lt;rec-number&gt;385&lt;/rec-number&gt;&lt;foreign-keys&gt;&lt;key app="EN" db-id="50vzxafd505dzseevvi5prdyd0vsefrtrrpx"&gt;385&lt;/key&gt;&lt;/foreign-keys&gt;&lt;ref-type name="Journal Article"&gt;17&lt;/ref-type&gt;&lt;contributors&gt;&lt;authors&gt;&lt;author&gt;Watkins, W. M.&lt;/author&gt;&lt;author&gt;Mberu, E. K.&lt;/author&gt;&lt;author&gt;Winstanley, P. A.&lt;/author&gt;&lt;author&gt;Plowe, C. V.&lt;/author&gt;&lt;/authors&gt;&lt;/contributors&gt;&lt;auth-address&gt;Department of Pharmacology and Therapeutics, University of Liverpool, UK. wwatkins@users.africaonline.co.ke&lt;/auth-address&gt;&lt;titles&gt;&lt;title&gt;The efficacy of antifolate antimalarial combinations in Africa: a predictive model based on pharmacodynamic and pharmacokinetic analyses&lt;/title&gt;&lt;secondary-title&gt;Parasitol Today&lt;/secondary-title&gt;&lt;/titles&gt;&lt;periodical&gt;&lt;full-title&gt;Parasitol Today&lt;/full-title&gt;&lt;/periodical&gt;&lt;pages&gt;459-64&lt;/pages&gt;&lt;volume&gt;13&lt;/volume&gt;&lt;number&gt;12&lt;/number&gt;&lt;dates&gt;&lt;year&gt;1997&lt;/year&gt;&lt;pub-dates&gt;&lt;date&gt;Dec&lt;/date&gt;&lt;/pub-dates&gt;&lt;/dates&gt;&lt;isbn&gt;0169-4758 (Print)&lt;/isbn&gt;&lt;accession-num&gt;15275132&lt;/accession-num&gt;&lt;urls&gt;&lt;/urls&gt;&lt;/record&gt;&lt;/Cite&gt;&lt;/EndNote&gt;</w:instrText>
            </w:r>
            <w:r w:rsidRPr="00EF6C4E">
              <w:rPr>
                <w:rFonts w:ascii="Calibri" w:hAnsi="Calibri"/>
                <w:szCs w:val="18"/>
                <w:lang w:val="fr-FR"/>
              </w:rPr>
              <w:fldChar w:fldCharType="separate"/>
            </w:r>
            <w:r w:rsidR="005E2935" w:rsidRPr="00EF6C4E">
              <w:rPr>
                <w:rFonts w:ascii="Calibri" w:hAnsi="Calibri"/>
                <w:noProof/>
                <w:szCs w:val="18"/>
                <w:lang w:val="fr-FR"/>
              </w:rPr>
              <w:t>[5]</w:t>
            </w:r>
            <w:r w:rsidRPr="00EF6C4E">
              <w:rPr>
                <w:rFonts w:ascii="Calibri" w:hAnsi="Calibri"/>
                <w:szCs w:val="18"/>
                <w:lang w:val="fr-FR"/>
              </w:rPr>
              <w:fldChar w:fldCharType="end"/>
            </w:r>
          </w:p>
        </w:tc>
        <w:tc>
          <w:tcPr>
            <w:tcW w:w="1266" w:type="dxa"/>
            <w:vMerge/>
            <w:tcBorders>
              <w:top w:val="single" w:sz="4" w:space="0" w:color="auto"/>
              <w:bottom w:val="single" w:sz="4" w:space="0" w:color="C0C0C0"/>
            </w:tcBorders>
          </w:tcPr>
          <w:p w:rsidR="00415958" w:rsidRPr="00EF6C4E" w:rsidRDefault="00415958" w:rsidP="00415958">
            <w:pPr>
              <w:rPr>
                <w:rFonts w:ascii="Calibri" w:hAnsi="Calibri"/>
                <w:szCs w:val="18"/>
              </w:rPr>
            </w:pPr>
          </w:p>
        </w:tc>
        <w:tc>
          <w:tcPr>
            <w:tcW w:w="1000" w:type="dxa"/>
            <w:vMerge/>
            <w:tcBorders>
              <w:top w:val="single" w:sz="4" w:space="0" w:color="auto"/>
              <w:bottom w:val="single" w:sz="4" w:space="0" w:color="C0C0C0"/>
            </w:tcBorders>
          </w:tcPr>
          <w:p w:rsidR="00415958" w:rsidRPr="00EF6C4E" w:rsidRDefault="00415958" w:rsidP="00415958">
            <w:pPr>
              <w:rPr>
                <w:rFonts w:ascii="Calibri" w:hAnsi="Calibri"/>
                <w:szCs w:val="18"/>
                <w:lang w:val="fr-FR"/>
              </w:rPr>
            </w:pPr>
          </w:p>
        </w:tc>
      </w:tr>
      <w:tr w:rsidR="00415958" w:rsidRPr="00EF6C4E" w:rsidTr="00415958">
        <w:tblPrEx>
          <w:tblBorders>
            <w:top w:val="single" w:sz="4" w:space="0" w:color="auto"/>
          </w:tblBorders>
        </w:tblPrEx>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cs="Arial"/>
                <w:szCs w:val="18"/>
              </w:rPr>
              <w:t>ψ</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Rate of loss of IPT protection (5/d</w:t>
            </w:r>
            <w:r w:rsidRPr="00EF6C4E">
              <w:rPr>
                <w:rFonts w:ascii="Calibri" w:hAnsi="Calibri"/>
                <w:szCs w:val="18"/>
                <w:vertAlign w:val="subscript"/>
              </w:rPr>
              <w:t>IPT</w:t>
            </w:r>
            <w:r w:rsidRPr="00EF6C4E">
              <w:rPr>
                <w:rFonts w:ascii="Calibri" w:hAnsi="Calibri"/>
                <w:szCs w:val="18"/>
              </w:rPr>
              <w:t>)</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bottom w:val="nil"/>
            </w:tcBorders>
          </w:tcPr>
          <w:p w:rsidR="00415958" w:rsidRPr="00EF6C4E" w:rsidRDefault="00415958" w:rsidP="00415958">
            <w:pPr>
              <w:rPr>
                <w:rFonts w:ascii="Calibri" w:hAnsi="Calibri"/>
                <w:szCs w:val="18"/>
              </w:rPr>
            </w:pPr>
          </w:p>
        </w:tc>
        <w:tc>
          <w:tcPr>
            <w:tcW w:w="3000" w:type="dxa"/>
            <w:tcBorders>
              <w:top w:val="single" w:sz="4" w:space="0" w:color="C0C0C0"/>
              <w:bottom w:val="nil"/>
            </w:tcBorders>
          </w:tcPr>
          <w:p w:rsidR="00415958" w:rsidRPr="00EF6C4E" w:rsidRDefault="00415958" w:rsidP="00415958">
            <w:pPr>
              <w:rPr>
                <w:rFonts w:ascii="Calibri" w:hAnsi="Calibri"/>
                <w:szCs w:val="18"/>
              </w:rPr>
            </w:pPr>
          </w:p>
        </w:tc>
        <w:tc>
          <w:tcPr>
            <w:tcW w:w="3600" w:type="dxa"/>
            <w:tcBorders>
              <w:top w:val="single" w:sz="4" w:space="0" w:color="C0C0C0"/>
              <w:bottom w:val="nil"/>
            </w:tcBorders>
          </w:tcPr>
          <w:p w:rsidR="00415958" w:rsidRPr="00EF6C4E" w:rsidRDefault="00415958" w:rsidP="00415958">
            <w:pPr>
              <w:rPr>
                <w:rFonts w:ascii="Calibri" w:hAnsi="Calibri"/>
                <w:szCs w:val="18"/>
              </w:rPr>
            </w:pPr>
          </w:p>
        </w:tc>
        <w:tc>
          <w:tcPr>
            <w:tcW w:w="2600" w:type="dxa"/>
            <w:tcBorders>
              <w:top w:val="single" w:sz="4" w:space="0" w:color="C0C0C0"/>
              <w:bottom w:val="nil"/>
            </w:tcBorders>
          </w:tcPr>
          <w:p w:rsidR="00415958" w:rsidRPr="00EF6C4E" w:rsidRDefault="00415958" w:rsidP="00415958">
            <w:pPr>
              <w:rPr>
                <w:rFonts w:ascii="Calibri" w:hAnsi="Calibri"/>
                <w:szCs w:val="18"/>
                <w:lang w:val="en-US"/>
              </w:rPr>
            </w:pPr>
          </w:p>
        </w:tc>
        <w:tc>
          <w:tcPr>
            <w:tcW w:w="1266" w:type="dxa"/>
            <w:tcBorders>
              <w:top w:val="single" w:sz="4" w:space="0" w:color="C0C0C0"/>
              <w:bottom w:val="nil"/>
            </w:tcBorders>
          </w:tcPr>
          <w:p w:rsidR="00415958" w:rsidRPr="00EF6C4E" w:rsidRDefault="00415958" w:rsidP="00415958">
            <w:pPr>
              <w:rPr>
                <w:rFonts w:ascii="Calibri" w:hAnsi="Calibri"/>
                <w:szCs w:val="18"/>
                <w:lang w:val="en-US"/>
              </w:rPr>
            </w:pPr>
          </w:p>
        </w:tc>
        <w:tc>
          <w:tcPr>
            <w:tcW w:w="1000" w:type="dxa"/>
            <w:tcBorders>
              <w:top w:val="single" w:sz="4" w:space="0" w:color="C0C0C0"/>
              <w:bottom w:val="nil"/>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nil"/>
              <w:bottom w:val="single" w:sz="4" w:space="0" w:color="C0C0C0"/>
            </w:tcBorders>
          </w:tcPr>
          <w:p w:rsidR="00415958" w:rsidRPr="00EF6C4E" w:rsidRDefault="00415958" w:rsidP="00415958">
            <w:pPr>
              <w:rPr>
                <w:rFonts w:ascii="Calibri" w:hAnsi="Calibri"/>
                <w:szCs w:val="18"/>
              </w:rPr>
            </w:pPr>
          </w:p>
        </w:tc>
        <w:tc>
          <w:tcPr>
            <w:tcW w:w="30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Maternal protection</w:t>
            </w:r>
          </w:p>
        </w:tc>
        <w:tc>
          <w:tcPr>
            <w:tcW w:w="3600" w:type="dxa"/>
            <w:tcBorders>
              <w:top w:val="nil"/>
              <w:bottom w:val="single" w:sz="4" w:space="0" w:color="C0C0C0"/>
            </w:tcBorders>
          </w:tcPr>
          <w:p w:rsidR="00415958" w:rsidRPr="00EF6C4E" w:rsidRDefault="00415958" w:rsidP="00415958">
            <w:pPr>
              <w:rPr>
                <w:rFonts w:ascii="Calibri" w:hAnsi="Calibri"/>
                <w:szCs w:val="18"/>
              </w:rPr>
            </w:pPr>
          </w:p>
        </w:tc>
        <w:tc>
          <w:tcPr>
            <w:tcW w:w="2600" w:type="dxa"/>
            <w:tcBorders>
              <w:top w:val="nil"/>
              <w:bottom w:val="single" w:sz="4" w:space="0" w:color="C0C0C0"/>
            </w:tcBorders>
          </w:tcPr>
          <w:p w:rsidR="00415958" w:rsidRPr="00EF6C4E" w:rsidRDefault="00415958" w:rsidP="00415958">
            <w:pPr>
              <w:rPr>
                <w:rFonts w:ascii="Calibri" w:hAnsi="Calibri"/>
                <w:szCs w:val="18"/>
                <w:lang w:val="en-US"/>
              </w:rPr>
            </w:pPr>
          </w:p>
        </w:tc>
        <w:tc>
          <w:tcPr>
            <w:tcW w:w="1266" w:type="dxa"/>
            <w:tcBorders>
              <w:top w:val="nil"/>
              <w:bottom w:val="single" w:sz="4" w:space="0" w:color="C0C0C0"/>
            </w:tcBorders>
          </w:tcPr>
          <w:p w:rsidR="00415958" w:rsidRPr="00EF6C4E" w:rsidRDefault="00415958" w:rsidP="00415958">
            <w:pPr>
              <w:rPr>
                <w:rFonts w:ascii="Calibri" w:hAnsi="Calibri"/>
                <w:szCs w:val="18"/>
                <w:lang w:val="en-US"/>
              </w:rPr>
            </w:pPr>
          </w:p>
        </w:tc>
        <w:tc>
          <w:tcPr>
            <w:tcW w:w="1000" w:type="dxa"/>
            <w:tcBorders>
              <w:top w:val="nil"/>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nil"/>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d</w:t>
            </w:r>
            <w:r w:rsidRPr="00EF6C4E">
              <w:rPr>
                <w:rFonts w:ascii="Calibri" w:hAnsi="Calibri"/>
                <w:szCs w:val="18"/>
                <w:vertAlign w:val="subscript"/>
              </w:rPr>
              <w:t>m</w:t>
            </w:r>
          </w:p>
        </w:tc>
        <w:tc>
          <w:tcPr>
            <w:tcW w:w="30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Duration of maternal protection after enrolment at two months</w:t>
            </w:r>
          </w:p>
        </w:tc>
        <w:tc>
          <w:tcPr>
            <w:tcW w:w="3600" w:type="dxa"/>
            <w:tcBorders>
              <w:top w:val="nil"/>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Protected up until 4 months of age</w:t>
            </w:r>
          </w:p>
        </w:tc>
        <w:tc>
          <w:tcPr>
            <w:tcW w:w="2600" w:type="dxa"/>
            <w:tcBorders>
              <w:top w:val="nil"/>
              <w:bottom w:val="single" w:sz="4" w:space="0" w:color="C0C0C0"/>
            </w:tcBorders>
          </w:tcPr>
          <w:p w:rsidR="00415958" w:rsidRPr="00EF6C4E" w:rsidRDefault="00AA2259" w:rsidP="00415958">
            <w:pPr>
              <w:rPr>
                <w:rFonts w:ascii="Calibri" w:hAnsi="Calibri"/>
                <w:szCs w:val="18"/>
                <w:lang w:val="en-US"/>
              </w:rPr>
            </w:pPr>
            <w:r w:rsidRPr="00EF6C4E">
              <w:rPr>
                <w:rFonts w:ascii="Calibri" w:hAnsi="Calibri"/>
                <w:szCs w:val="18"/>
                <w:lang w:val="en-US"/>
              </w:rPr>
              <w:fldChar w:fldCharType="begin"/>
            </w:r>
            <w:r w:rsidR="002441A6">
              <w:rPr>
                <w:rFonts w:ascii="Calibri" w:hAnsi="Calibri"/>
                <w:szCs w:val="18"/>
                <w:lang w:val="en-US"/>
              </w:rPr>
              <w:instrText xml:space="preserve"> ADDIN EN.CITE &lt;EndNote&gt;&lt;Cite&gt;&lt;Author&gt;Kitua&lt;/Author&gt;&lt;Year&gt;1996&lt;/Year&gt;&lt;RecNum&gt;716&lt;/RecNum&gt;&lt;record&gt;&lt;rec-number&gt;716&lt;/rec-number&gt;&lt;foreign-keys&gt;&lt;key app="EN" db-id="50vzxafd505dzseevvi5prdyd0vsefrtrrpx"&gt;716&lt;/key&gt;&lt;/foreign-keys&gt;&lt;ref-type name="Journal Article"&gt;17&lt;/ref-type&gt;&lt;contributors&gt;&lt;authors&gt;&lt;author&gt;Kitua, A. Y.&lt;/author&gt;&lt;author&gt;Smith, T.&lt;/author&gt;&lt;author&gt;Alonso, P. L.&lt;/author&gt;&lt;author&gt;Masanja, H.&lt;/author&gt;&lt;author&gt;Urassa, H.&lt;/author&gt;&lt;author&gt;Menendez, C.&lt;/author&gt;&lt;author&gt;Kimario, J.&lt;/author&gt;&lt;author&gt;Tanner, M.&lt;/author&gt;&lt;/authors&gt;&lt;/contributors&gt;&lt;auth-address&gt;Ifakara Centre, Tanzania.&lt;/auth-address&gt;&lt;titles&gt;&lt;title&gt;Plasmodium falciparum malaria in the first year of life in an area of intense and perennial transmission&lt;/title&gt;&lt;secondary-title&gt;Trop Med Int Health&lt;/secondary-title&gt;&lt;/titles&gt;&lt;periodical&gt;&lt;full-title&gt;Trop Med Int Health&lt;/full-title&gt;&lt;/periodical&gt;&lt;pages&gt;475-84&lt;/pages&gt;&lt;volume&gt;1&lt;/volume&gt;&lt;number&gt;4&lt;/number&gt;&lt;keywords&gt;&lt;keyword&gt;Cohort Studies&lt;/keyword&gt;&lt;keyword&gt;Cross-Sectional Studies&lt;/keyword&gt;&lt;keyword&gt;Female&lt;/keyword&gt;&lt;keyword&gt;Humans&lt;/keyword&gt;&lt;keyword&gt;Immunity, Maternally-Acquired&lt;/keyword&gt;&lt;keyword&gt;Incidence&lt;/keyword&gt;&lt;keyword&gt;Infant&lt;/keyword&gt;&lt;keyword&gt;Infant, Newborn&lt;/keyword&gt;&lt;keyword&gt;Longitudinal Studies&lt;/keyword&gt;&lt;keyword&gt;Malaria, Falciparum/ epidemiology/immunology/transmission&lt;/keyword&gt;&lt;keyword&gt;Male&lt;/keyword&gt;&lt;keyword&gt;Prevalence&lt;/keyword&gt;&lt;keyword&gt;Quality Assurance, Health Care&lt;/keyword&gt;&lt;keyword&gt;Risk Factors&lt;/keyword&gt;&lt;keyword&gt;Rural Population&lt;/keyword&gt;&lt;keyword&gt;Tanzania/epidemiology&lt;/keyword&gt;&lt;/keywords&gt;&lt;dates&gt;&lt;year&gt;1996&lt;/year&gt;&lt;pub-dates&gt;&lt;date&gt;Aug&lt;/date&gt;&lt;/pub-dates&gt;&lt;/dates&gt;&lt;isbn&gt;1360-2276 (Print)&lt;/isbn&gt;&lt;accession-num&gt;8765455&lt;/accession-num&gt;&lt;urls&gt;&lt;/urls&gt;&lt;/record&gt;&lt;/Cite&gt;&lt;/EndNote&gt;</w:instrText>
            </w:r>
            <w:r w:rsidRPr="00EF6C4E">
              <w:rPr>
                <w:rFonts w:ascii="Calibri" w:hAnsi="Calibri"/>
                <w:szCs w:val="18"/>
                <w:lang w:val="en-US"/>
              </w:rPr>
              <w:fldChar w:fldCharType="separate"/>
            </w:r>
            <w:r w:rsidR="005E2935" w:rsidRPr="00EF6C4E">
              <w:rPr>
                <w:rFonts w:ascii="Calibri" w:hAnsi="Calibri"/>
                <w:noProof/>
                <w:szCs w:val="18"/>
                <w:lang w:val="en-US"/>
              </w:rPr>
              <w:t>[9]</w:t>
            </w:r>
            <w:r w:rsidRPr="00EF6C4E">
              <w:rPr>
                <w:rFonts w:ascii="Calibri" w:hAnsi="Calibri"/>
                <w:szCs w:val="18"/>
                <w:lang w:val="en-US"/>
              </w:rPr>
              <w:fldChar w:fldCharType="end"/>
            </w:r>
          </w:p>
          <w:p w:rsidR="00415958" w:rsidRPr="00EF6C4E" w:rsidRDefault="00AA2259" w:rsidP="00415958">
            <w:pPr>
              <w:rPr>
                <w:rFonts w:ascii="Calibri" w:hAnsi="Calibri"/>
                <w:szCs w:val="18"/>
                <w:lang w:val="en-US"/>
              </w:rPr>
            </w:pPr>
            <w:r w:rsidRPr="00EF6C4E">
              <w:rPr>
                <w:rFonts w:ascii="Calibri" w:hAnsi="Calibri"/>
                <w:szCs w:val="18"/>
                <w:lang w:val="en-US"/>
              </w:rPr>
              <w:fldChar w:fldCharType="begin"/>
            </w:r>
            <w:r w:rsidR="002441A6">
              <w:rPr>
                <w:rFonts w:ascii="Calibri" w:hAnsi="Calibri"/>
                <w:szCs w:val="18"/>
                <w:lang w:val="en-US"/>
              </w:rPr>
              <w:instrText xml:space="preserve"> ADDIN EN.CITE &lt;EndNote&gt;&lt;Cite&gt;&lt;Author&gt;Hviid&lt;/Author&gt;&lt;Year&gt;2005&lt;/Year&gt;&lt;RecNum&gt;362&lt;/RecNum&gt;&lt;record&gt;&lt;rec-number&gt;362&lt;/rec-number&gt;&lt;foreign-keys&gt;&lt;key app="EN" db-id="50vzxafd505dzseevvi5prdyd0vsefrtrrpx"&gt;362&lt;/key&gt;&lt;/foreign-keys&gt;&lt;ref-type name="Journal Article"&gt;17&lt;/ref-type&gt;&lt;contributors&gt;&lt;authors&gt;&lt;author&gt;Hviid, L.&lt;/author&gt;&lt;/authors&gt;&lt;/contributors&gt;&lt;titles&gt;&lt;title&gt;Naturally acquired immunity to Plasmodium falciparum malaria in Africa&lt;/title&gt;&lt;secondary-title&gt;Acta Tropica&lt;/secondary-title&gt;&lt;/titles&gt;&lt;pages&gt;270-275&lt;/pages&gt;&lt;volume&gt;95&lt;/volume&gt;&lt;number&gt;3&lt;/number&gt;&lt;keywords&gt;&lt;keyword&gt;Plasmodium falciparum&lt;/keyword&gt;&lt;keyword&gt;malaria immunity&lt;/keyword&gt;&lt;keyword&gt;IgG&lt;/keyword&gt;&lt;keyword&gt;severe syndromes&lt;/keyword&gt;&lt;keyword&gt;VARIANT SURFACE-ANTIGENS&lt;/keyword&gt;&lt;keyword&gt;PREGNANCY-ASSOCIATED MALARIA&lt;/keyword&gt;&lt;keyword&gt;CHONDROITIN&lt;/keyword&gt;&lt;keyword&gt;SULFATE-A&lt;/keyword&gt;&lt;keyword&gt;INFECTED ERYTHROCYTES&lt;/keyword&gt;&lt;keyword&gt;VAR GENES&lt;/keyword&gt;&lt;keyword&gt;ANTIBODY RECOGNITION&lt;/keyword&gt;&lt;keyword&gt;EXPRESSION&lt;/keyword&gt;&lt;keyword&gt;TRANSCRIPTION&lt;/keyword&gt;&lt;keyword&gt;ACQUISITION&lt;/keyword&gt;&lt;keyword&gt;PHENOTYPES&lt;/keyword&gt;&lt;/keywords&gt;&lt;dates&gt;&lt;year&gt;2005&lt;/year&gt;&lt;pub-dates&gt;&lt;date&gt;Sep&lt;/date&gt;&lt;/pub-dates&gt;&lt;/dates&gt;&lt;accession-num&gt;ISI:000231886300014&lt;/accession-num&gt;&lt;urls&gt;&lt;related-urls&gt;&lt;url&gt;&amp;lt;Go to ISI&amp;gt;://000231886300014 &lt;/url&gt;&lt;/related-urls&gt;&lt;/urls&gt;&lt;/record&gt;&lt;/Cite&gt;&lt;/EndNote&gt;</w:instrText>
            </w:r>
            <w:r w:rsidRPr="00EF6C4E">
              <w:rPr>
                <w:rFonts w:ascii="Calibri" w:hAnsi="Calibri"/>
                <w:szCs w:val="18"/>
                <w:lang w:val="en-US"/>
              </w:rPr>
              <w:fldChar w:fldCharType="separate"/>
            </w:r>
            <w:r w:rsidR="002441A6">
              <w:rPr>
                <w:rFonts w:ascii="Calibri" w:hAnsi="Calibri"/>
                <w:noProof/>
                <w:szCs w:val="18"/>
                <w:lang w:val="en-US"/>
              </w:rPr>
              <w:t>[27]</w:t>
            </w:r>
            <w:r w:rsidRPr="00EF6C4E">
              <w:rPr>
                <w:rFonts w:ascii="Calibri" w:hAnsi="Calibri"/>
                <w:szCs w:val="18"/>
                <w:lang w:val="en-US"/>
              </w:rPr>
              <w:fldChar w:fldCharType="end"/>
            </w:r>
          </w:p>
          <w:p w:rsidR="00415958" w:rsidRPr="00EF6C4E" w:rsidRDefault="00415958" w:rsidP="00415958">
            <w:pPr>
              <w:rPr>
                <w:rFonts w:ascii="Calibri" w:hAnsi="Calibri"/>
                <w:szCs w:val="18"/>
                <w:lang w:val="en-US"/>
              </w:rPr>
            </w:pPr>
            <w:r w:rsidRPr="00EF6C4E">
              <w:rPr>
                <w:rFonts w:ascii="Calibri" w:hAnsi="Calibri"/>
                <w:szCs w:val="18"/>
                <w:lang w:val="en-US"/>
              </w:rPr>
              <w:t>Estimated mean of gamma distribution</w:t>
            </w:r>
          </w:p>
        </w:tc>
        <w:tc>
          <w:tcPr>
            <w:tcW w:w="1266" w:type="dxa"/>
            <w:tcBorders>
              <w:top w:val="nil"/>
              <w:bottom w:val="single" w:sz="4" w:space="0" w:color="C0C0C0"/>
            </w:tcBorders>
          </w:tcPr>
          <w:p w:rsidR="00415958" w:rsidRPr="00EF6C4E" w:rsidRDefault="00415958" w:rsidP="00415958">
            <w:pPr>
              <w:rPr>
                <w:rFonts w:ascii="Calibri" w:hAnsi="Calibri"/>
                <w:szCs w:val="18"/>
                <w:lang w:val="en-US"/>
              </w:rPr>
            </w:pPr>
            <w:r w:rsidRPr="00EF6C4E">
              <w:rPr>
                <w:rFonts w:ascii="Calibri" w:hAnsi="Calibri"/>
                <w:szCs w:val="18"/>
                <w:lang w:val="en-US"/>
              </w:rPr>
              <w:t>30 days</w:t>
            </w:r>
          </w:p>
        </w:tc>
        <w:tc>
          <w:tcPr>
            <w:tcW w:w="1000" w:type="dxa"/>
            <w:tcBorders>
              <w:top w:val="nil"/>
              <w:bottom w:val="single" w:sz="4" w:space="0" w:color="C0C0C0"/>
            </w:tcBorders>
          </w:tcPr>
          <w:p w:rsidR="00415958" w:rsidRPr="00EF6C4E" w:rsidRDefault="00415958" w:rsidP="00415958">
            <w:pPr>
              <w:rPr>
                <w:rFonts w:ascii="Calibri" w:hAnsi="Calibri"/>
                <w:szCs w:val="18"/>
                <w:lang w:val="en-US"/>
              </w:rPr>
            </w:pPr>
            <w:r w:rsidRPr="00EF6C4E">
              <w:rPr>
                <w:rFonts w:ascii="Calibri" w:hAnsi="Calibri"/>
                <w:szCs w:val="18"/>
                <w:lang w:val="en-US"/>
              </w:rPr>
              <w:t>10-60 days</w:t>
            </w:r>
          </w:p>
          <w:p w:rsidR="00415958" w:rsidRPr="00EF6C4E" w:rsidRDefault="00415958" w:rsidP="00415958">
            <w:pPr>
              <w:rPr>
                <w:rFonts w:ascii="Calibri" w:hAnsi="Calibri"/>
                <w:szCs w:val="18"/>
                <w:lang w:val="en-US"/>
              </w:rPr>
            </w:pPr>
          </w:p>
          <w:p w:rsidR="00415958" w:rsidRPr="00EF6C4E" w:rsidRDefault="00415958" w:rsidP="00415958">
            <w:pPr>
              <w:rPr>
                <w:rFonts w:ascii="Calibri" w:hAnsi="Calibri"/>
                <w:szCs w:val="18"/>
                <w:lang w:val="en-US"/>
              </w:rPr>
            </w:pPr>
          </w:p>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cs="Arial"/>
                <w:szCs w:val="18"/>
              </w:rPr>
              <w:t>γ</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Rate of loss of maternal immunity in each compartment (4/d</w:t>
            </w:r>
            <w:r w:rsidRPr="00EF6C4E">
              <w:rPr>
                <w:rFonts w:ascii="Calibri" w:hAnsi="Calibri"/>
                <w:szCs w:val="18"/>
                <w:vertAlign w:val="subscript"/>
              </w:rPr>
              <w:t>m)</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bottom w:val="single" w:sz="4" w:space="0" w:color="C0C0C0"/>
            </w:tcBorders>
          </w:tcPr>
          <w:p w:rsidR="00415958" w:rsidRPr="00EF6C4E" w:rsidRDefault="00415958" w:rsidP="00415958">
            <w:pPr>
              <w:rPr>
                <w:rFonts w:ascii="Calibri" w:hAnsi="Calibri"/>
                <w:szCs w:val="18"/>
                <w:vertAlign w:val="subscript"/>
              </w:rPr>
            </w:pPr>
            <w:r w:rsidRPr="00EF6C4E">
              <w:rPr>
                <w:rFonts w:ascii="Calibri" w:hAnsi="Calibri"/>
                <w:szCs w:val="18"/>
              </w:rPr>
              <w:t>p</w:t>
            </w:r>
            <w:r w:rsidRPr="00EF6C4E">
              <w:rPr>
                <w:rFonts w:ascii="Calibri" w:hAnsi="Calibri"/>
                <w:szCs w:val="18"/>
                <w:vertAlign w:val="subscript"/>
              </w:rPr>
              <w:t>maternal</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 xml:space="preserve">Probability that an infective bite </w:t>
            </w:r>
            <w:r w:rsidRPr="00EF6C4E">
              <w:rPr>
                <w:rFonts w:ascii="Calibri" w:hAnsi="Calibri"/>
                <w:szCs w:val="18"/>
              </w:rPr>
              <w:lastRenderedPageBreak/>
              <w:t xml:space="preserve">that results in successful infection </w:t>
            </w:r>
            <w:r w:rsidRPr="00EF6C4E">
              <w:rPr>
                <w:rFonts w:ascii="Calibri" w:hAnsi="Calibri"/>
                <w:i/>
                <w:szCs w:val="18"/>
              </w:rPr>
              <w:t>(λ*b)</w:t>
            </w:r>
            <w:r w:rsidRPr="00EF6C4E">
              <w:rPr>
                <w:rFonts w:ascii="Calibri" w:hAnsi="Calibri"/>
                <w:szCs w:val="18"/>
              </w:rPr>
              <w:t xml:space="preserve"> succeeds in a child protected by maternal immunity</w:t>
            </w:r>
          </w:p>
        </w:tc>
        <w:tc>
          <w:tcPr>
            <w:tcW w:w="3600" w:type="dxa"/>
            <w:tcBorders>
              <w:top w:val="single" w:sz="4" w:space="0" w:color="C0C0C0"/>
              <w:bottom w:val="single" w:sz="4" w:space="0" w:color="C0C0C0"/>
            </w:tcBorders>
          </w:tcPr>
          <w:p w:rsidR="00415958" w:rsidRPr="00EF6C4E" w:rsidRDefault="00415958" w:rsidP="005E2935">
            <w:pPr>
              <w:rPr>
                <w:rFonts w:ascii="Calibri" w:hAnsi="Calibri"/>
                <w:szCs w:val="18"/>
              </w:rPr>
            </w:pPr>
            <w:r w:rsidRPr="00EF6C4E">
              <w:rPr>
                <w:rFonts w:ascii="Calibri" w:hAnsi="Calibri"/>
                <w:szCs w:val="18"/>
              </w:rPr>
              <w:lastRenderedPageBreak/>
              <w:t xml:space="preserve">0.05 (estimated from </w:t>
            </w:r>
            <w:r w:rsidR="00AA2259" w:rsidRPr="00EF6C4E">
              <w:rPr>
                <w:rFonts w:ascii="Calibri" w:hAnsi="Calibri"/>
                <w:szCs w:val="18"/>
                <w:lang w:val="en-US"/>
              </w:rPr>
              <w:fldChar w:fldCharType="begin"/>
            </w:r>
            <w:r w:rsidR="002441A6">
              <w:rPr>
                <w:rFonts w:ascii="Calibri" w:hAnsi="Calibri"/>
                <w:szCs w:val="18"/>
                <w:lang w:val="en-US"/>
              </w:rPr>
              <w:instrText xml:space="preserve"> ADDIN EN.CITE &lt;EndNote&gt;&lt;Cite&gt;&lt;Author&gt;Kitua&lt;/Author&gt;&lt;Year&gt;1996&lt;/Year&gt;&lt;RecNum&gt;716&lt;/RecNum&gt;&lt;record&gt;&lt;rec-number&gt;716&lt;/rec-number&gt;&lt;foreign-keys&gt;&lt;key app="EN" db-id="50vzxafd505dzseevvi5prdyd0vsefrtrrpx"&gt;716&lt;/key&gt;&lt;/foreign-keys&gt;&lt;ref-type name="Journal Article"&gt;17&lt;/ref-type&gt;&lt;contributors&gt;&lt;authors&gt;&lt;author&gt;Kitua, A. Y.&lt;/author&gt;&lt;author&gt;Smith, T.&lt;/author&gt;&lt;author&gt;Alonso, P. L.&lt;/author&gt;&lt;author&gt;Masanja, H.&lt;/author&gt;&lt;author&gt;Urassa, H.&lt;/author&gt;&lt;author&gt;Menendez, C.&lt;/author&gt;&lt;author&gt;Kimario, J.&lt;/author&gt;&lt;author&gt;Tanner, M.&lt;/author&gt;&lt;/authors&gt;&lt;/contributors&gt;&lt;auth-address&gt;Ifakara Centre, Tanzania.&lt;/auth-address&gt;&lt;titles&gt;&lt;title&gt;Plasmodium falciparum malaria in the first year of life in an area of intense and perennial transmission&lt;/title&gt;&lt;secondary-title&gt;Trop Med Int Health&lt;/secondary-title&gt;&lt;/titles&gt;&lt;periodical&gt;&lt;full-title&gt;Trop Med Int Health&lt;/full-title&gt;&lt;/periodical&gt;&lt;pages&gt;475-84&lt;/pages&gt;&lt;volume&gt;1&lt;/volume&gt;&lt;number&gt;4&lt;/number&gt;&lt;keywords&gt;&lt;keyword&gt;Cohort Studies&lt;/keyword&gt;&lt;keyword&gt;Cross-Sectional Studies&lt;/keyword&gt;&lt;keyword&gt;Female&lt;/keyword&gt;&lt;keyword&gt;Humans&lt;/keyword&gt;&lt;keyword&gt;Immunity, Maternally-Acquired&lt;/keyword&gt;&lt;keyword&gt;Incidence&lt;/keyword&gt;&lt;keyword&gt;Infant&lt;/keyword&gt;&lt;keyword&gt;Infant, Newborn&lt;/keyword&gt;&lt;keyword&gt;Longitudinal Studies&lt;/keyword&gt;&lt;keyword&gt;Malaria, Falciparum/ epidemiology/immunology/transmission&lt;/keyword&gt;&lt;keyword&gt;Male&lt;/keyword&gt;&lt;keyword&gt;Prevalence&lt;/keyword&gt;&lt;keyword&gt;Quality Assurance, Health Care&lt;/keyword&gt;&lt;keyword&gt;Risk Factors&lt;/keyword&gt;&lt;keyword&gt;Rural Population&lt;/keyword&gt;&lt;keyword&gt;Tanzania/epidemiology&lt;/keyword&gt;&lt;/keywords&gt;&lt;dates&gt;&lt;year&gt;1996&lt;/year&gt;&lt;pub-dates&gt;&lt;date&gt;Aug&lt;/date&gt;&lt;/pub-dates&gt;&lt;/dates&gt;&lt;isbn&gt;1360-2276 (Print)&lt;/isbn&gt;&lt;accession-num&gt;8765455&lt;/accession-num&gt;&lt;urls&gt;&lt;/urls&gt;&lt;/record&gt;&lt;/Cite&gt;&lt;/EndNote&gt;</w:instrText>
            </w:r>
            <w:r w:rsidR="00AA2259" w:rsidRPr="00EF6C4E">
              <w:rPr>
                <w:rFonts w:ascii="Calibri" w:hAnsi="Calibri"/>
                <w:szCs w:val="18"/>
                <w:lang w:val="en-US"/>
              </w:rPr>
              <w:fldChar w:fldCharType="separate"/>
            </w:r>
            <w:r w:rsidR="005E2935" w:rsidRPr="00EF6C4E">
              <w:rPr>
                <w:rFonts w:ascii="Calibri" w:hAnsi="Calibri"/>
                <w:noProof/>
                <w:szCs w:val="18"/>
                <w:lang w:val="en-US"/>
              </w:rPr>
              <w:t>[9]</w:t>
            </w:r>
            <w:r w:rsidR="00AA2259" w:rsidRPr="00EF6C4E">
              <w:rPr>
                <w:rFonts w:ascii="Calibri" w:hAnsi="Calibri"/>
                <w:szCs w:val="18"/>
                <w:lang w:val="en-US"/>
              </w:rPr>
              <w:fldChar w:fldCharType="end"/>
            </w:r>
            <w:r w:rsidRPr="00EF6C4E">
              <w:rPr>
                <w:rFonts w:ascii="Calibri" w:hAnsi="Calibri"/>
                <w:szCs w:val="18"/>
                <w:lang w:val="en-US"/>
              </w:rPr>
              <w:t xml:space="preserve">, no specific </w:t>
            </w:r>
            <w:r w:rsidRPr="00EF6C4E">
              <w:rPr>
                <w:rFonts w:ascii="Calibri" w:hAnsi="Calibri"/>
                <w:szCs w:val="18"/>
                <w:lang w:val="en-US"/>
              </w:rPr>
              <w:lastRenderedPageBreak/>
              <w:t>value given</w:t>
            </w:r>
            <w:r w:rsidRPr="00EF6C4E">
              <w:rPr>
                <w:rFonts w:ascii="Calibri" w:hAnsi="Calibri"/>
                <w:szCs w:val="18"/>
              </w:rPr>
              <w:t>)</w:t>
            </w: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p w:rsidR="00415958" w:rsidRPr="00EF6C4E" w:rsidRDefault="00415958" w:rsidP="00415958">
            <w:pPr>
              <w:rPr>
                <w:rFonts w:ascii="Calibri" w:hAnsi="Calibri"/>
                <w:szCs w:val="18"/>
                <w:lang w:val="en-US"/>
              </w:rPr>
            </w:pP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r w:rsidRPr="00EF6C4E">
              <w:rPr>
                <w:rFonts w:ascii="Calibri" w:hAnsi="Calibri"/>
                <w:szCs w:val="18"/>
                <w:lang w:val="en-US"/>
              </w:rPr>
              <w:lastRenderedPageBreak/>
              <w:t>0.05</w:t>
            </w: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r w:rsidRPr="00EF6C4E">
              <w:rPr>
                <w:rFonts w:ascii="Calibri" w:hAnsi="Calibri"/>
                <w:szCs w:val="18"/>
                <w:lang w:val="en-US"/>
              </w:rPr>
              <w:t xml:space="preserve">0.001 – </w:t>
            </w:r>
            <w:r w:rsidRPr="00EF6C4E">
              <w:rPr>
                <w:rFonts w:ascii="Calibri" w:hAnsi="Calibri"/>
                <w:szCs w:val="18"/>
                <w:lang w:val="en-US"/>
              </w:rPr>
              <w:lastRenderedPageBreak/>
              <w:t>0.0001</w:t>
            </w:r>
          </w:p>
        </w:tc>
      </w:tr>
      <w:tr w:rsidR="00415958" w:rsidRPr="00EF6C4E" w:rsidTr="00415958">
        <w:tblPrEx>
          <w:tblBorders>
            <w:top w:val="single" w:sz="4" w:space="0" w:color="auto"/>
          </w:tblBorders>
        </w:tblPrEx>
        <w:tc>
          <w:tcPr>
            <w:tcW w:w="1228" w:type="dxa"/>
            <w:tcBorders>
              <w:top w:val="single" w:sz="4" w:space="0" w:color="C0C0C0"/>
              <w:bottom w:val="single" w:sz="4" w:space="0" w:color="C0C0C0"/>
            </w:tcBorders>
          </w:tcPr>
          <w:p w:rsidR="00415958" w:rsidRPr="00EF6C4E" w:rsidRDefault="00415958" w:rsidP="00415958">
            <w:pPr>
              <w:rPr>
                <w:rFonts w:ascii="Calibri" w:hAnsi="Calibri"/>
                <w:i/>
                <w:szCs w:val="18"/>
                <w:vertAlign w:val="subscript"/>
              </w:rPr>
            </w:pPr>
            <w:r w:rsidRPr="00EF6C4E">
              <w:rPr>
                <w:rFonts w:ascii="Calibri" w:hAnsi="Calibri"/>
                <w:i/>
                <w:szCs w:val="18"/>
              </w:rPr>
              <w:lastRenderedPageBreak/>
              <w:t>λ</w:t>
            </w:r>
            <w:r w:rsidRPr="00EF6C4E">
              <w:rPr>
                <w:rFonts w:ascii="Calibri" w:hAnsi="Calibri"/>
                <w:i/>
                <w:szCs w:val="18"/>
                <w:vertAlign w:val="subscript"/>
              </w:rPr>
              <w:t>m</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Force of infection acting on maternally protected children</w:t>
            </w:r>
          </w:p>
        </w:tc>
        <w:tc>
          <w:tcPr>
            <w:tcW w:w="3600" w:type="dxa"/>
            <w:tcBorders>
              <w:top w:val="single" w:sz="4" w:space="0" w:color="C0C0C0"/>
              <w:bottom w:val="single" w:sz="4" w:space="0" w:color="C0C0C0"/>
            </w:tcBorders>
          </w:tcPr>
          <w:p w:rsidR="00415958" w:rsidRPr="00EF6C4E" w:rsidRDefault="00415958" w:rsidP="00415958">
            <w:pPr>
              <w:rPr>
                <w:rFonts w:ascii="Calibri" w:hAnsi="Calibri"/>
                <w:i/>
                <w:szCs w:val="18"/>
                <w:vertAlign w:val="subscript"/>
              </w:rPr>
            </w:pPr>
            <w:r w:rsidRPr="00EF6C4E">
              <w:rPr>
                <w:rFonts w:ascii="Calibri" w:hAnsi="Calibri"/>
                <w:i/>
                <w:szCs w:val="18"/>
              </w:rPr>
              <w:t>λ*p</w:t>
            </w:r>
            <w:r w:rsidRPr="00EF6C4E">
              <w:rPr>
                <w:rFonts w:ascii="Calibri" w:hAnsi="Calibri"/>
                <w:i/>
                <w:szCs w:val="18"/>
                <w:vertAlign w:val="subscript"/>
              </w:rPr>
              <w:t>maternal</w:t>
            </w:r>
          </w:p>
        </w:tc>
        <w:tc>
          <w:tcPr>
            <w:tcW w:w="26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bottom w:val="nil"/>
            </w:tcBorders>
          </w:tcPr>
          <w:p w:rsidR="00415958" w:rsidRPr="00EF6C4E" w:rsidRDefault="00415958" w:rsidP="00415958">
            <w:pPr>
              <w:rPr>
                <w:rFonts w:ascii="Calibri" w:hAnsi="Calibri"/>
                <w:i/>
                <w:szCs w:val="18"/>
              </w:rPr>
            </w:pPr>
          </w:p>
        </w:tc>
        <w:tc>
          <w:tcPr>
            <w:tcW w:w="3000" w:type="dxa"/>
            <w:tcBorders>
              <w:top w:val="single" w:sz="4" w:space="0" w:color="C0C0C0"/>
              <w:bottom w:val="nil"/>
            </w:tcBorders>
            <w:vAlign w:val="bottom"/>
          </w:tcPr>
          <w:p w:rsidR="00415958" w:rsidRPr="00EF6C4E" w:rsidRDefault="00415958" w:rsidP="00415958">
            <w:pPr>
              <w:rPr>
                <w:rFonts w:ascii="Calibri" w:hAnsi="Calibri"/>
                <w:szCs w:val="18"/>
              </w:rPr>
            </w:pPr>
          </w:p>
        </w:tc>
        <w:tc>
          <w:tcPr>
            <w:tcW w:w="3600" w:type="dxa"/>
            <w:tcBorders>
              <w:top w:val="single" w:sz="4" w:space="0" w:color="C0C0C0"/>
              <w:bottom w:val="nil"/>
            </w:tcBorders>
          </w:tcPr>
          <w:p w:rsidR="00415958" w:rsidRPr="00EF6C4E" w:rsidRDefault="00415958" w:rsidP="00415958">
            <w:pPr>
              <w:rPr>
                <w:rFonts w:ascii="Calibri" w:hAnsi="Calibri"/>
                <w:szCs w:val="18"/>
              </w:rPr>
            </w:pPr>
          </w:p>
        </w:tc>
        <w:tc>
          <w:tcPr>
            <w:tcW w:w="2600" w:type="dxa"/>
            <w:tcBorders>
              <w:top w:val="single" w:sz="4" w:space="0" w:color="C0C0C0"/>
              <w:bottom w:val="nil"/>
            </w:tcBorders>
          </w:tcPr>
          <w:p w:rsidR="00415958" w:rsidRPr="00EF6C4E" w:rsidRDefault="00415958" w:rsidP="00415958">
            <w:pPr>
              <w:rPr>
                <w:rFonts w:ascii="Calibri" w:hAnsi="Calibri"/>
                <w:szCs w:val="18"/>
              </w:rPr>
            </w:pPr>
          </w:p>
        </w:tc>
        <w:tc>
          <w:tcPr>
            <w:tcW w:w="1266" w:type="dxa"/>
            <w:tcBorders>
              <w:top w:val="single" w:sz="4" w:space="0" w:color="C0C0C0"/>
              <w:bottom w:val="nil"/>
            </w:tcBorders>
          </w:tcPr>
          <w:p w:rsidR="00415958" w:rsidRPr="00EF6C4E" w:rsidRDefault="00415958" w:rsidP="00415958">
            <w:pPr>
              <w:rPr>
                <w:rFonts w:ascii="Calibri" w:hAnsi="Calibri"/>
                <w:szCs w:val="18"/>
                <w:lang w:val="en-US"/>
              </w:rPr>
            </w:pPr>
          </w:p>
        </w:tc>
        <w:tc>
          <w:tcPr>
            <w:tcW w:w="1000" w:type="dxa"/>
            <w:tcBorders>
              <w:top w:val="single" w:sz="4" w:space="0" w:color="C0C0C0"/>
              <w:bottom w:val="nil"/>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nil"/>
              <w:bottom w:val="single" w:sz="4" w:space="0" w:color="C0C0C0"/>
            </w:tcBorders>
          </w:tcPr>
          <w:p w:rsidR="00415958" w:rsidRPr="00EF6C4E" w:rsidRDefault="00415958" w:rsidP="00415958">
            <w:pPr>
              <w:rPr>
                <w:rFonts w:ascii="Calibri" w:hAnsi="Calibri"/>
                <w:i/>
                <w:szCs w:val="18"/>
              </w:rPr>
            </w:pPr>
          </w:p>
        </w:tc>
        <w:tc>
          <w:tcPr>
            <w:tcW w:w="3000" w:type="dxa"/>
            <w:tcBorders>
              <w:top w:val="nil"/>
              <w:bottom w:val="single" w:sz="4" w:space="0" w:color="C0C0C0"/>
            </w:tcBorders>
            <w:vAlign w:val="bottom"/>
          </w:tcPr>
          <w:p w:rsidR="00415958" w:rsidRPr="00EF6C4E" w:rsidRDefault="00415958" w:rsidP="00415958">
            <w:pPr>
              <w:rPr>
                <w:rFonts w:ascii="Calibri" w:hAnsi="Calibri"/>
                <w:szCs w:val="18"/>
              </w:rPr>
            </w:pPr>
            <w:r w:rsidRPr="00EF6C4E">
              <w:rPr>
                <w:rFonts w:ascii="Calibri" w:hAnsi="Calibri"/>
                <w:szCs w:val="18"/>
              </w:rPr>
              <w:t>Heterogeneity</w:t>
            </w:r>
          </w:p>
        </w:tc>
        <w:tc>
          <w:tcPr>
            <w:tcW w:w="3600" w:type="dxa"/>
            <w:tcBorders>
              <w:top w:val="nil"/>
              <w:bottom w:val="single" w:sz="4" w:space="0" w:color="C0C0C0"/>
            </w:tcBorders>
          </w:tcPr>
          <w:p w:rsidR="00415958" w:rsidRPr="00EF6C4E" w:rsidRDefault="00415958" w:rsidP="00415958">
            <w:pPr>
              <w:rPr>
                <w:rFonts w:ascii="Calibri" w:hAnsi="Calibri"/>
                <w:szCs w:val="18"/>
              </w:rPr>
            </w:pPr>
          </w:p>
        </w:tc>
        <w:tc>
          <w:tcPr>
            <w:tcW w:w="2600" w:type="dxa"/>
            <w:tcBorders>
              <w:top w:val="nil"/>
              <w:bottom w:val="single" w:sz="4" w:space="0" w:color="C0C0C0"/>
            </w:tcBorders>
          </w:tcPr>
          <w:p w:rsidR="00415958" w:rsidRPr="00EF6C4E" w:rsidRDefault="00415958" w:rsidP="00415958">
            <w:pPr>
              <w:rPr>
                <w:rFonts w:ascii="Calibri" w:hAnsi="Calibri"/>
                <w:szCs w:val="18"/>
              </w:rPr>
            </w:pPr>
          </w:p>
        </w:tc>
        <w:tc>
          <w:tcPr>
            <w:tcW w:w="1266" w:type="dxa"/>
            <w:tcBorders>
              <w:top w:val="nil"/>
              <w:bottom w:val="single" w:sz="4" w:space="0" w:color="C0C0C0"/>
            </w:tcBorders>
          </w:tcPr>
          <w:p w:rsidR="00415958" w:rsidRPr="00EF6C4E" w:rsidRDefault="00415958" w:rsidP="00415958">
            <w:pPr>
              <w:rPr>
                <w:rFonts w:ascii="Calibri" w:hAnsi="Calibri"/>
                <w:szCs w:val="18"/>
                <w:lang w:val="en-US"/>
              </w:rPr>
            </w:pPr>
          </w:p>
        </w:tc>
        <w:tc>
          <w:tcPr>
            <w:tcW w:w="1000" w:type="dxa"/>
            <w:tcBorders>
              <w:top w:val="nil"/>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bottom w:val="single" w:sz="4" w:space="0" w:color="C0C0C0"/>
            </w:tcBorders>
          </w:tcPr>
          <w:p w:rsidR="00415958" w:rsidRPr="00EF6C4E" w:rsidRDefault="00415958" w:rsidP="00415958">
            <w:pPr>
              <w:rPr>
                <w:rFonts w:ascii="Calibri" w:hAnsi="Calibri"/>
                <w:i/>
                <w:szCs w:val="18"/>
              </w:rPr>
            </w:pPr>
            <w:r w:rsidRPr="00EF6C4E">
              <w:rPr>
                <w:rFonts w:ascii="Calibri" w:hAnsi="Calibri"/>
                <w:i/>
                <w:szCs w:val="18"/>
              </w:rPr>
              <w:t>λ(0)</w:t>
            </w:r>
          </w:p>
        </w:tc>
        <w:tc>
          <w:tcPr>
            <w:tcW w:w="30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EIR for less exposed children</w:t>
            </w:r>
          </w:p>
        </w:tc>
        <w:tc>
          <w:tcPr>
            <w:tcW w:w="3600" w:type="dxa"/>
            <w:tcBorders>
              <w:top w:val="single" w:sz="4" w:space="0" w:color="C0C0C0"/>
              <w:bottom w:val="single" w:sz="4" w:space="0" w:color="C0C0C0"/>
            </w:tcBorders>
          </w:tcPr>
          <w:p w:rsidR="00415958" w:rsidRPr="00EF6C4E" w:rsidRDefault="00415958" w:rsidP="00415958">
            <w:pPr>
              <w:rPr>
                <w:rFonts w:ascii="Calibri" w:hAnsi="Calibri"/>
                <w:szCs w:val="18"/>
              </w:rPr>
            </w:pPr>
            <w:r w:rsidRPr="00EF6C4E">
              <w:rPr>
                <w:rFonts w:ascii="Calibri" w:hAnsi="Calibri"/>
                <w:szCs w:val="18"/>
              </w:rPr>
              <w:t>EIR/4</w:t>
            </w:r>
          </w:p>
        </w:tc>
        <w:tc>
          <w:tcPr>
            <w:tcW w:w="2600" w:type="dxa"/>
            <w:tcBorders>
              <w:top w:val="single" w:sz="4" w:space="0" w:color="C0C0C0"/>
              <w:bottom w:val="single" w:sz="4" w:space="0" w:color="C0C0C0"/>
            </w:tcBorders>
          </w:tcPr>
          <w:p w:rsidR="00415958" w:rsidRPr="00EF6C4E" w:rsidRDefault="00AA2259" w:rsidP="005E2935">
            <w:pPr>
              <w:rPr>
                <w:rFonts w:ascii="Calibri" w:hAnsi="Calibri"/>
                <w:szCs w:val="18"/>
                <w:lang w:val="en-US"/>
              </w:rPr>
            </w:pPr>
            <w:r w:rsidRPr="00EF6C4E">
              <w:rPr>
                <w:rFonts w:ascii="Calibri" w:hAnsi="Calibri"/>
                <w:szCs w:val="18"/>
                <w:lang w:val="en-US"/>
              </w:rPr>
              <w:fldChar w:fldCharType="begin"/>
            </w:r>
            <w:r w:rsidR="002441A6">
              <w:rPr>
                <w:rFonts w:ascii="Calibri" w:hAnsi="Calibri"/>
                <w:szCs w:val="18"/>
                <w:lang w:val="en-US"/>
              </w:rPr>
              <w:instrText xml:space="preserve"> ADDIN EN.CITE &lt;EndNote&gt;&lt;Cite&gt;&lt;Author&gt;Smith&lt;/Author&gt;&lt;Year&gt;2005&lt;/Year&gt;&lt;RecNum&gt;370&lt;/RecNum&gt;&lt;record&gt;&lt;rec-number&gt;370&lt;/rec-number&gt;&lt;foreign-keys&gt;&lt;key app="EN" db-id="50vzxafd505dzseevvi5prdyd0vsefrtrrpx"&gt;370&lt;/key&gt;&lt;/foreign-keys&gt;&lt;ref-type name="Journal Article"&gt;17&lt;/ref-type&gt;&lt;contributors&gt;&lt;authors&gt;&lt;author&gt;Smith, D. L.&lt;/author&gt;&lt;author&gt;Dushoff, J.&lt;/author&gt;&lt;author&gt;Snow, R. W.&lt;/author&gt;&lt;author&gt;Hay, S. I.&lt;/author&gt;&lt;/authors&gt;&lt;/contributors&gt;&lt;titles&gt;&lt;title&gt;The entomological inoculation rate and Plasmodium falciparum infection in African children&lt;/title&gt;&lt;secondary-title&gt;Nature&lt;/secondary-title&gt;&lt;/titles&gt;&lt;periodical&gt;&lt;full-title&gt;Nature&lt;/full-title&gt;&lt;/periodical&gt;&lt;pages&gt;492-495&lt;/pages&gt;&lt;volume&gt;438&lt;/volume&gt;&lt;number&gt;7067&lt;/number&gt;&lt;dates&gt;&lt;year&gt;2005&lt;/year&gt;&lt;pub-dates&gt;&lt;date&gt;Nov&lt;/date&gt;&lt;/pub-dates&gt;&lt;/dates&gt;&lt;accession-num&gt;ISI:000233458200048&lt;/accession-num&gt;&lt;urls&gt;&lt;related-urls&gt;&lt;url&gt;&amp;lt;Go to ISI&amp;gt;://000233458200048 &lt;/url&gt;&lt;/related-urls&gt;&lt;pdf-urls&gt;&lt;url&gt;get&lt;/url&gt;&lt;url&gt;file:///C:/Documents%20and%20Settings/Matt%20Cairns/My%20Documents/My%20Documents/1%20PHD/OVERVIEW/SMITH%20EIR%20and%20pfal%20african%20children%20NATURE%202005.pdf&lt;/url&gt;&lt;/pdf-urls&gt;&lt;/urls&gt;&lt;/record&gt;&lt;/Cite&gt;&lt;/EndNote&gt;</w:instrText>
            </w:r>
            <w:r w:rsidRPr="00EF6C4E">
              <w:rPr>
                <w:rFonts w:ascii="Calibri" w:hAnsi="Calibri"/>
                <w:szCs w:val="18"/>
                <w:lang w:val="en-US"/>
              </w:rPr>
              <w:fldChar w:fldCharType="separate"/>
            </w:r>
            <w:r w:rsidR="005E2935" w:rsidRPr="00EF6C4E">
              <w:rPr>
                <w:rFonts w:ascii="Calibri" w:hAnsi="Calibri"/>
                <w:noProof/>
                <w:szCs w:val="18"/>
                <w:lang w:val="en-US"/>
              </w:rPr>
              <w:t>[11]</w:t>
            </w:r>
            <w:r w:rsidRPr="00EF6C4E">
              <w:rPr>
                <w:rFonts w:ascii="Calibri" w:hAnsi="Calibri"/>
                <w:szCs w:val="18"/>
                <w:lang w:val="en-US"/>
              </w:rPr>
              <w:fldChar w:fldCharType="end"/>
            </w:r>
          </w:p>
        </w:tc>
        <w:tc>
          <w:tcPr>
            <w:tcW w:w="1266"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c>
          <w:tcPr>
            <w:tcW w:w="1000" w:type="dxa"/>
            <w:tcBorders>
              <w:top w:val="single" w:sz="4" w:space="0" w:color="C0C0C0"/>
              <w:bottom w:val="single" w:sz="4" w:space="0" w:color="C0C0C0"/>
            </w:tcBorders>
          </w:tcPr>
          <w:p w:rsidR="00415958" w:rsidRPr="00EF6C4E" w:rsidRDefault="00415958" w:rsidP="00415958">
            <w:pPr>
              <w:rPr>
                <w:rFonts w:ascii="Calibri" w:hAnsi="Calibri"/>
                <w:szCs w:val="18"/>
                <w:lang w:val="en-US"/>
              </w:rPr>
            </w:pPr>
          </w:p>
        </w:tc>
      </w:tr>
      <w:tr w:rsidR="00415958" w:rsidRPr="00EF6C4E" w:rsidTr="00415958">
        <w:tblPrEx>
          <w:tblBorders>
            <w:top w:val="single" w:sz="4" w:space="0" w:color="auto"/>
          </w:tblBorders>
        </w:tblPrEx>
        <w:tc>
          <w:tcPr>
            <w:tcW w:w="1228" w:type="dxa"/>
            <w:tcBorders>
              <w:top w:val="single" w:sz="4" w:space="0" w:color="C0C0C0"/>
            </w:tcBorders>
          </w:tcPr>
          <w:p w:rsidR="00415958" w:rsidRPr="00EF6C4E" w:rsidRDefault="00415958" w:rsidP="00415958">
            <w:pPr>
              <w:rPr>
                <w:rFonts w:ascii="Calibri" w:hAnsi="Calibri"/>
                <w:i/>
                <w:szCs w:val="18"/>
              </w:rPr>
            </w:pPr>
            <w:r w:rsidRPr="00EF6C4E">
              <w:rPr>
                <w:rFonts w:ascii="Calibri" w:hAnsi="Calibri"/>
                <w:i/>
                <w:szCs w:val="18"/>
              </w:rPr>
              <w:t>λ</w:t>
            </w:r>
            <w:r w:rsidRPr="00EF6C4E">
              <w:rPr>
                <w:rFonts w:ascii="Calibri" w:hAnsi="Calibri"/>
                <w:i/>
                <w:szCs w:val="18"/>
              </w:rPr>
              <w:softHyphen/>
              <w:t>(1)</w:t>
            </w:r>
          </w:p>
        </w:tc>
        <w:tc>
          <w:tcPr>
            <w:tcW w:w="3000" w:type="dxa"/>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EIR for highly exposed children</w:t>
            </w:r>
          </w:p>
        </w:tc>
        <w:tc>
          <w:tcPr>
            <w:tcW w:w="3600" w:type="dxa"/>
            <w:tcBorders>
              <w:top w:val="single" w:sz="4" w:space="0" w:color="C0C0C0"/>
            </w:tcBorders>
          </w:tcPr>
          <w:p w:rsidR="00415958" w:rsidRPr="00EF6C4E" w:rsidRDefault="00415958" w:rsidP="00415958">
            <w:pPr>
              <w:rPr>
                <w:rFonts w:ascii="Calibri" w:hAnsi="Calibri"/>
                <w:szCs w:val="18"/>
              </w:rPr>
            </w:pPr>
            <w:r w:rsidRPr="00EF6C4E">
              <w:rPr>
                <w:rFonts w:ascii="Calibri" w:hAnsi="Calibri"/>
                <w:szCs w:val="18"/>
              </w:rPr>
              <w:t>EIR*4</w:t>
            </w:r>
          </w:p>
        </w:tc>
        <w:tc>
          <w:tcPr>
            <w:tcW w:w="2600" w:type="dxa"/>
            <w:tcBorders>
              <w:top w:val="single" w:sz="4" w:space="0" w:color="C0C0C0"/>
            </w:tcBorders>
          </w:tcPr>
          <w:p w:rsidR="00415958" w:rsidRPr="00EF6C4E" w:rsidRDefault="00415958" w:rsidP="00415958">
            <w:pPr>
              <w:rPr>
                <w:rFonts w:ascii="Calibri" w:hAnsi="Calibri"/>
                <w:szCs w:val="18"/>
                <w:lang w:val="en-US"/>
              </w:rPr>
            </w:pPr>
          </w:p>
        </w:tc>
        <w:tc>
          <w:tcPr>
            <w:tcW w:w="1266" w:type="dxa"/>
            <w:tcBorders>
              <w:top w:val="single" w:sz="4" w:space="0" w:color="C0C0C0"/>
            </w:tcBorders>
          </w:tcPr>
          <w:p w:rsidR="00415958" w:rsidRPr="00EF6C4E" w:rsidRDefault="00415958" w:rsidP="00415958">
            <w:pPr>
              <w:rPr>
                <w:rFonts w:ascii="Calibri" w:hAnsi="Calibri"/>
                <w:szCs w:val="18"/>
                <w:lang w:val="en-US"/>
              </w:rPr>
            </w:pPr>
          </w:p>
        </w:tc>
        <w:tc>
          <w:tcPr>
            <w:tcW w:w="1000" w:type="dxa"/>
            <w:tcBorders>
              <w:top w:val="single" w:sz="4" w:space="0" w:color="C0C0C0"/>
            </w:tcBorders>
          </w:tcPr>
          <w:p w:rsidR="00415958" w:rsidRPr="00EF6C4E" w:rsidRDefault="00415958" w:rsidP="00415958">
            <w:pPr>
              <w:rPr>
                <w:rFonts w:ascii="Calibri" w:hAnsi="Calibri"/>
                <w:szCs w:val="18"/>
                <w:lang w:val="en-US"/>
              </w:rPr>
            </w:pPr>
          </w:p>
        </w:tc>
      </w:tr>
    </w:tbl>
    <w:p w:rsidR="00415958" w:rsidRPr="00EF6C4E" w:rsidRDefault="00415958" w:rsidP="00415958">
      <w:pPr>
        <w:rPr>
          <w:rFonts w:ascii="Calibri" w:hAnsi="Calibri"/>
          <w:sz w:val="24"/>
        </w:rPr>
        <w:sectPr w:rsidR="00415958" w:rsidRPr="00EF6C4E" w:rsidSect="0068531B">
          <w:pgSz w:w="15842" w:h="12242" w:orient="landscape" w:code="1"/>
          <w:pgMar w:top="1418" w:right="1758" w:bottom="1418" w:left="1758" w:header="709" w:footer="709" w:gutter="0"/>
          <w:cols w:space="708"/>
          <w:docGrid w:linePitch="360"/>
        </w:sectPr>
      </w:pPr>
    </w:p>
    <w:p w:rsidR="00415958" w:rsidRPr="00EF6C4E" w:rsidRDefault="00415958" w:rsidP="00415958">
      <w:pPr>
        <w:spacing w:line="360" w:lineRule="auto"/>
        <w:rPr>
          <w:rFonts w:ascii="Calibri" w:hAnsi="Calibri" w:cs="AdvPSSAB-R"/>
          <w:b/>
          <w:sz w:val="24"/>
          <w:szCs w:val="16"/>
          <w:lang w:val="en-US"/>
        </w:rPr>
      </w:pPr>
      <w:r w:rsidRPr="00EF6C4E">
        <w:rPr>
          <w:rFonts w:ascii="Calibri" w:hAnsi="Calibri" w:cs="AdvPSSAB-R"/>
          <w:b/>
          <w:sz w:val="24"/>
          <w:szCs w:val="16"/>
          <w:lang w:val="en-US"/>
        </w:rPr>
        <w:lastRenderedPageBreak/>
        <w:t>Comparison of observed incidence to predictions from the fitted model</w:t>
      </w:r>
    </w:p>
    <w:p w:rsidR="00415958" w:rsidRPr="00EF6C4E" w:rsidRDefault="00415958" w:rsidP="00415958">
      <w:pPr>
        <w:spacing w:line="360" w:lineRule="auto"/>
        <w:rPr>
          <w:rFonts w:ascii="Calibri" w:hAnsi="Calibri"/>
          <w:sz w:val="24"/>
          <w:szCs w:val="22"/>
        </w:rPr>
      </w:pPr>
      <w:r w:rsidRPr="00EF6C4E">
        <w:rPr>
          <w:rFonts w:ascii="Calibri" w:hAnsi="Calibri"/>
          <w:sz w:val="24"/>
          <w:szCs w:val="22"/>
        </w:rPr>
        <w:t xml:space="preserve">Malaria incidence in each month from the Navrongo trial data and the incidence predicted by the model for the corresponding month is shown in </w:t>
      </w:r>
      <w:r w:rsidR="00F0440C" w:rsidRPr="00EF6C4E">
        <w:rPr>
          <w:rFonts w:ascii="Calibri" w:hAnsi="Calibri"/>
          <w:sz w:val="24"/>
          <w:szCs w:val="22"/>
        </w:rPr>
        <w:t xml:space="preserve">figures </w:t>
      </w:r>
      <w:r w:rsidR="00845607" w:rsidRPr="00EF6C4E">
        <w:rPr>
          <w:rFonts w:ascii="Calibri" w:hAnsi="Calibri"/>
          <w:sz w:val="24"/>
          <w:szCs w:val="22"/>
        </w:rPr>
        <w:t>S8</w:t>
      </w:r>
      <w:r w:rsidRPr="00EF6C4E">
        <w:rPr>
          <w:rFonts w:ascii="Calibri" w:hAnsi="Calibri"/>
          <w:sz w:val="24"/>
          <w:szCs w:val="22"/>
        </w:rPr>
        <w:t xml:space="preserve"> and </w:t>
      </w:r>
      <w:r w:rsidR="00845607" w:rsidRPr="00EF6C4E">
        <w:rPr>
          <w:rFonts w:ascii="Calibri" w:hAnsi="Calibri"/>
          <w:sz w:val="24"/>
          <w:szCs w:val="22"/>
        </w:rPr>
        <w:t>S9</w:t>
      </w:r>
      <w:r w:rsidRPr="00EF6C4E">
        <w:rPr>
          <w:rFonts w:ascii="Calibri" w:hAnsi="Calibri"/>
          <w:sz w:val="24"/>
          <w:szCs w:val="22"/>
        </w:rPr>
        <w:t xml:space="preserve">. Cumulative incidence over the entire study period and the corresponding model prediction is shown in </w:t>
      </w:r>
      <w:r w:rsidR="00F0440C" w:rsidRPr="00EF6C4E">
        <w:rPr>
          <w:rFonts w:ascii="Calibri" w:hAnsi="Calibri"/>
          <w:sz w:val="24"/>
          <w:szCs w:val="22"/>
        </w:rPr>
        <w:t xml:space="preserve">figure </w:t>
      </w:r>
      <w:r w:rsidR="00845607" w:rsidRPr="00EF6C4E">
        <w:rPr>
          <w:rFonts w:ascii="Calibri" w:hAnsi="Calibri"/>
          <w:sz w:val="24"/>
          <w:szCs w:val="22"/>
        </w:rPr>
        <w:t>S10</w:t>
      </w:r>
      <w:r w:rsidRPr="00EF6C4E">
        <w:rPr>
          <w:rFonts w:ascii="Calibri" w:hAnsi="Calibri"/>
          <w:sz w:val="24"/>
          <w:szCs w:val="22"/>
        </w:rPr>
        <w:t>. The model predictions were very close to the patterns observed in reality. In particular, predicted cumulative incidence in infancy fitted the observed patterns very closely. The model slightly overestimated cumulative incidence in one year old children, predicting around 100 more cases than occurred in reality</w:t>
      </w:r>
      <w:r w:rsidR="008A3851" w:rsidRPr="00EF6C4E">
        <w:rPr>
          <w:rFonts w:ascii="Calibri" w:hAnsi="Calibri"/>
          <w:sz w:val="24"/>
          <w:szCs w:val="22"/>
        </w:rPr>
        <w:t>, but this was similar in both the intervention and control groups.</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Protective efficacy predicted by the model</w:t>
      </w:r>
    </w:p>
    <w:p w:rsidR="00415958" w:rsidRPr="00EF6C4E" w:rsidRDefault="00415958" w:rsidP="00415958">
      <w:pPr>
        <w:spacing w:line="360" w:lineRule="auto"/>
        <w:rPr>
          <w:rFonts w:ascii="Calibri" w:hAnsi="Calibri"/>
          <w:sz w:val="24"/>
        </w:rPr>
      </w:pPr>
      <w:r w:rsidRPr="00EF6C4E">
        <w:rPr>
          <w:rFonts w:ascii="Calibri" w:hAnsi="Calibri"/>
          <w:sz w:val="24"/>
        </w:rPr>
        <w:t xml:space="preserve">The fitted model predicted protective efficacy for EPI-linked IPT of 25.3% at 15 months of age and 15.6% by 24 months of age. This is very similar to that obtained in practice in the clinical trial (24.9% at 15 months and 16.3% at 24 months of age </w:t>
      </w:r>
      <w:r w:rsidR="00AA2259" w:rsidRPr="00EF6C4E">
        <w:rPr>
          <w:rFonts w:ascii="Calibri" w:hAnsi="Calibri"/>
          <w:sz w:val="24"/>
        </w:rPr>
        <w:fldChar w:fldCharType="begin"/>
      </w:r>
      <w:r w:rsidR="002441A6">
        <w:rPr>
          <w:rFonts w:ascii="Calibri" w:hAnsi="Calibri"/>
          <w:sz w:val="24"/>
        </w:rPr>
        <w:instrText xml:space="preserve"> ADDIN EN.CITE &lt;EndNote&gt;&lt;Cite&gt;&lt;Author&gt;Chandramohan&lt;/Author&gt;&lt;Year&gt;2005&lt;/Year&gt;&lt;RecNum&gt;161&lt;/RecNum&gt;&lt;record&gt;&lt;rec-number&gt;161&lt;/rec-number&gt;&lt;foreign-keys&gt;&lt;key app="EN" db-id="50vzxafd505dzseevvi5prdyd0vsefrtrrpx"&gt;161&lt;/key&gt;&lt;/foreign-keys&gt;&lt;ref-type name="Journal Article"&gt;17&lt;/ref-type&gt;&lt;contributors&gt;&lt;authors&gt;&lt;author&gt;Chandramohan, D.&lt;/author&gt;&lt;author&gt;Owusu-Agyei, S.&lt;/author&gt;&lt;author&gt;Carneiro, I.&lt;/author&gt;&lt;author&gt;Awine, T.&lt;/author&gt;&lt;author&gt;Amponsa-Achiano, K.&lt;/author&gt;&lt;author&gt;Mensah, N.&lt;/author&gt;&lt;author&gt;Jaffar, S.&lt;/author&gt;&lt;author&gt;Baiden, R.&lt;/author&gt;&lt;author&gt;Hodgson, A.&lt;/author&gt;&lt;author&gt;Binka, F.&lt;/author&gt;&lt;author&gt;Greenwood, B.&lt;/author&gt;&lt;/authors&gt;&lt;/contributors&gt;&lt;titles&gt;&lt;title&gt;Cluster randomised trial of intermittent preventive treatment for malaria in infants in area of high, seasonal transmission in Ghana&lt;/title&gt;&lt;secondary-title&gt;British Medical Journal&lt;/secondary-title&gt;&lt;alt-title&gt;Br. Med. J.&lt;/alt-title&gt;&lt;/titles&gt;&lt;pages&gt;727-733&lt;/pages&gt;&lt;volume&gt;331&lt;/volume&gt;&lt;number&gt;7519&lt;/number&gt;&lt;keywords&gt;&lt;keyword&gt;PLACEBO-CONTROLLED TRIAL&lt;/keyword&gt;&lt;keyword&gt;PLASMODIUM-FALCIPARUM&lt;/keyword&gt;&lt;keyword&gt;TANZANIAN INFANTS&lt;/keyword&gt;&lt;keyword&gt;ANEMIA&lt;/keyword&gt;&lt;keyword&gt;INTENSE&lt;/keyword&gt;&lt;keyword&gt;AMODIAQUINE&lt;/keyword&gt;&lt;keyword&gt;CHILDREN&lt;/keyword&gt;&lt;keyword&gt;AFRICA&lt;/keyword&gt;&lt;keyword&gt;BURDEN&lt;/keyword&gt;&lt;/keywords&gt;&lt;dates&gt;&lt;year&gt;2005&lt;/year&gt;&lt;pub-dates&gt;&lt;date&gt;Oct&lt;/date&gt;&lt;/pub-dates&gt;&lt;/dates&gt;&lt;accession-num&gt;ISI:000232417100018&lt;/accession-num&gt;&lt;work-type&gt;Article&lt;/work-type&gt;&lt;urls&gt;&lt;related-urls&gt;&lt;url&gt;&amp;lt;Go to ISI&amp;gt;://000232417100018 &lt;/url&gt;&lt;/related-urls&gt;&lt;pdf-urls&gt;&lt;url&gt;file:///C:/Documents%20and%20Settings/Matt%20Cairns/My%20Documents/My%20Documents/1%20PHD/OVERVIEW/CHANDRAMOHAN%20-%20Navrongo%20IPTi%20cluster%20BMJ%202005.pdf&lt;/url&gt;&lt;/pdf-urls&gt;&lt;/urls&gt;&lt;/record&gt;&lt;/Cite&gt;&lt;/EndNote&gt;</w:instrText>
      </w:r>
      <w:r w:rsidR="00AA2259" w:rsidRPr="00EF6C4E">
        <w:rPr>
          <w:rFonts w:ascii="Calibri" w:hAnsi="Calibri"/>
          <w:sz w:val="24"/>
        </w:rPr>
        <w:fldChar w:fldCharType="separate"/>
      </w:r>
      <w:r w:rsidR="002441A6">
        <w:rPr>
          <w:rFonts w:ascii="Calibri" w:hAnsi="Calibri"/>
          <w:noProof/>
          <w:sz w:val="24"/>
        </w:rPr>
        <w:t>[15]</w:t>
      </w:r>
      <w:r w:rsidR="00AA2259" w:rsidRPr="00EF6C4E">
        <w:rPr>
          <w:rFonts w:ascii="Calibri" w:hAnsi="Calibri"/>
          <w:sz w:val="24"/>
        </w:rPr>
        <w:fldChar w:fldCharType="end"/>
      </w:r>
      <w:r w:rsidRPr="00EF6C4E">
        <w:rPr>
          <w:rFonts w:ascii="Calibri" w:hAnsi="Calibri"/>
          <w:sz w:val="24"/>
        </w:rPr>
        <w:t>).</w:t>
      </w:r>
    </w:p>
    <w:p w:rsidR="00415958" w:rsidRPr="00EF6C4E" w:rsidRDefault="00415958" w:rsidP="00415958">
      <w:pPr>
        <w:rPr>
          <w:rFonts w:ascii="Calibri" w:hAnsi="Calibri"/>
          <w:sz w:val="24"/>
        </w:rPr>
      </w:pPr>
    </w:p>
    <w:p w:rsidR="00415958" w:rsidRPr="00EF6C4E" w:rsidRDefault="00415958" w:rsidP="00415958">
      <w:pPr>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br w:type="page"/>
      </w:r>
      <w:r w:rsidR="00B96760" w:rsidRPr="00EF6C4E">
        <w:rPr>
          <w:rFonts w:ascii="Calibri" w:hAnsi="Calibri"/>
          <w:b/>
          <w:sz w:val="24"/>
          <w:szCs w:val="22"/>
        </w:rPr>
        <w:lastRenderedPageBreak/>
        <w:t xml:space="preserve">Figure </w:t>
      </w:r>
      <w:r w:rsidR="0068531B" w:rsidRPr="00EF6C4E">
        <w:rPr>
          <w:rFonts w:ascii="Calibri" w:hAnsi="Calibri"/>
          <w:b/>
          <w:sz w:val="24"/>
          <w:szCs w:val="22"/>
        </w:rPr>
        <w:t>S8</w:t>
      </w:r>
      <w:r w:rsidR="00B96760" w:rsidRPr="00EF6C4E">
        <w:rPr>
          <w:rFonts w:ascii="Calibri" w:hAnsi="Calibri"/>
          <w:b/>
          <w:sz w:val="24"/>
          <w:szCs w:val="22"/>
        </w:rPr>
        <w:t>.</w:t>
      </w:r>
      <w:r w:rsidRPr="00EF6C4E">
        <w:rPr>
          <w:rFonts w:ascii="Calibri" w:hAnsi="Calibri"/>
          <w:b/>
          <w:sz w:val="24"/>
          <w:szCs w:val="22"/>
        </w:rPr>
        <w:t xml:space="preserve"> Cumulative malaria incidence in infants by calendar month</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Placebo group</w:t>
      </w:r>
    </w:p>
    <w:p w:rsidR="00415958" w:rsidRPr="00EF6C4E" w:rsidRDefault="00AC61F2" w:rsidP="00415958">
      <w:pPr>
        <w:spacing w:line="360" w:lineRule="auto"/>
        <w:rPr>
          <w:rFonts w:ascii="Calibri" w:hAnsi="Calibri"/>
          <w:sz w:val="24"/>
          <w:szCs w:val="22"/>
        </w:rPr>
      </w:pPr>
      <w:r w:rsidRPr="00AA2259">
        <w:rPr>
          <w:rFonts w:ascii="Calibri" w:hAnsi="Calibri"/>
          <w:sz w:val="24"/>
        </w:rPr>
        <w:pict>
          <v:shape id="_x0000_i1042" type="#_x0000_t75" style="width:6in;height:221.05pt">
            <v:imagedata r:id="rId24"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SP group</w:t>
      </w:r>
    </w:p>
    <w:p w:rsidR="00415958" w:rsidRPr="00EF6C4E" w:rsidRDefault="00AC61F2" w:rsidP="00415958">
      <w:pPr>
        <w:spacing w:line="360" w:lineRule="auto"/>
        <w:rPr>
          <w:rFonts w:ascii="Calibri" w:hAnsi="Calibri"/>
          <w:b/>
          <w:sz w:val="24"/>
          <w:szCs w:val="22"/>
        </w:rPr>
      </w:pPr>
      <w:r w:rsidRPr="00AA2259">
        <w:rPr>
          <w:rFonts w:ascii="Calibri" w:hAnsi="Calibri"/>
          <w:sz w:val="24"/>
        </w:rPr>
        <w:pict>
          <v:shape id="_x0000_i1043" type="#_x0000_t75" style="width:6in;height:221.05pt">
            <v:imagedata r:id="rId25" o:title=""/>
          </v:shape>
        </w:pict>
      </w:r>
      <w:r w:rsidR="00415958" w:rsidRPr="00EF6C4E">
        <w:rPr>
          <w:rFonts w:ascii="Calibri" w:hAnsi="Calibri"/>
          <w:sz w:val="24"/>
          <w:szCs w:val="22"/>
        </w:rPr>
        <w:br w:type="page"/>
      </w:r>
      <w:r w:rsidR="00415958" w:rsidRPr="00EF6C4E">
        <w:rPr>
          <w:rFonts w:ascii="Calibri" w:hAnsi="Calibri"/>
          <w:b/>
          <w:sz w:val="24"/>
          <w:szCs w:val="22"/>
        </w:rPr>
        <w:lastRenderedPageBreak/>
        <w:t xml:space="preserve">Figure </w:t>
      </w:r>
      <w:r w:rsidR="0068531B" w:rsidRPr="00EF6C4E">
        <w:rPr>
          <w:rFonts w:ascii="Calibri" w:hAnsi="Calibri"/>
          <w:b/>
          <w:sz w:val="24"/>
          <w:szCs w:val="22"/>
        </w:rPr>
        <w:t>S9</w:t>
      </w:r>
      <w:r w:rsidR="00B96760" w:rsidRPr="00EF6C4E">
        <w:rPr>
          <w:rFonts w:ascii="Calibri" w:hAnsi="Calibri"/>
          <w:b/>
          <w:sz w:val="24"/>
          <w:szCs w:val="22"/>
        </w:rPr>
        <w:t>.</w:t>
      </w:r>
      <w:r w:rsidR="00415958" w:rsidRPr="00EF6C4E">
        <w:rPr>
          <w:rFonts w:ascii="Calibri" w:hAnsi="Calibri"/>
          <w:b/>
          <w:sz w:val="24"/>
          <w:szCs w:val="22"/>
        </w:rPr>
        <w:t xml:space="preserve"> Cumulative malaria incidence in one year old children by calendar month</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Placebo group</w:t>
      </w:r>
    </w:p>
    <w:p w:rsidR="00415958" w:rsidRPr="00EF6C4E" w:rsidRDefault="00AC61F2" w:rsidP="00415958">
      <w:pPr>
        <w:spacing w:line="360" w:lineRule="auto"/>
        <w:rPr>
          <w:rFonts w:ascii="Calibri" w:hAnsi="Calibri"/>
          <w:sz w:val="24"/>
          <w:szCs w:val="22"/>
        </w:rPr>
      </w:pPr>
      <w:r w:rsidRPr="00AA2259">
        <w:rPr>
          <w:rFonts w:ascii="Calibri" w:hAnsi="Calibri"/>
          <w:sz w:val="24"/>
        </w:rPr>
        <w:pict>
          <v:shape id="_x0000_i1044" type="#_x0000_t75" style="width:6in;height:221.05pt">
            <v:imagedata r:id="rId26" o:title=""/>
          </v:shape>
        </w:pic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SP group</w:t>
      </w:r>
    </w:p>
    <w:p w:rsidR="00415958" w:rsidRPr="00EF6C4E" w:rsidRDefault="00AC61F2" w:rsidP="00415958">
      <w:pPr>
        <w:spacing w:line="360" w:lineRule="auto"/>
        <w:rPr>
          <w:rFonts w:ascii="Calibri" w:hAnsi="Calibri"/>
          <w:sz w:val="24"/>
          <w:szCs w:val="22"/>
        </w:rPr>
      </w:pPr>
      <w:r w:rsidRPr="00AA2259">
        <w:rPr>
          <w:rFonts w:ascii="Calibri" w:hAnsi="Calibri"/>
          <w:sz w:val="24"/>
        </w:rPr>
        <w:pict>
          <v:shape id="_x0000_i1045" type="#_x0000_t75" style="width:6in;height:221.05pt">
            <v:imagedata r:id="rId27" o:title=""/>
          </v:shape>
        </w:pict>
      </w:r>
      <w:r w:rsidR="00415958" w:rsidRPr="00EF6C4E">
        <w:rPr>
          <w:rFonts w:ascii="Calibri" w:hAnsi="Calibri"/>
          <w:sz w:val="24"/>
          <w:szCs w:val="22"/>
        </w:rPr>
        <w:br w:type="page"/>
      </w:r>
      <w:r w:rsidR="00415958" w:rsidRPr="00EF6C4E">
        <w:rPr>
          <w:rFonts w:ascii="Calibri" w:hAnsi="Calibri"/>
          <w:b/>
          <w:sz w:val="24"/>
          <w:szCs w:val="22"/>
        </w:rPr>
        <w:lastRenderedPageBreak/>
        <w:t>Figure</w:t>
      </w:r>
      <w:r w:rsidR="00B96760" w:rsidRPr="00EF6C4E">
        <w:rPr>
          <w:rFonts w:ascii="Calibri" w:hAnsi="Calibri"/>
          <w:b/>
          <w:sz w:val="24"/>
          <w:szCs w:val="22"/>
        </w:rPr>
        <w:t xml:space="preserve"> </w:t>
      </w:r>
      <w:r w:rsidR="0068531B" w:rsidRPr="00EF6C4E">
        <w:rPr>
          <w:rFonts w:ascii="Calibri" w:hAnsi="Calibri"/>
          <w:b/>
          <w:sz w:val="24"/>
          <w:szCs w:val="22"/>
        </w:rPr>
        <w:t>S10</w:t>
      </w:r>
      <w:r w:rsidR="00B96760" w:rsidRPr="00EF6C4E">
        <w:rPr>
          <w:rFonts w:ascii="Calibri" w:hAnsi="Calibri"/>
          <w:b/>
          <w:sz w:val="24"/>
          <w:szCs w:val="22"/>
        </w:rPr>
        <w:t xml:space="preserve">. </w:t>
      </w:r>
      <w:r w:rsidR="00415958" w:rsidRPr="00EF6C4E">
        <w:rPr>
          <w:rFonts w:ascii="Calibri" w:hAnsi="Calibri"/>
          <w:b/>
          <w:sz w:val="24"/>
          <w:szCs w:val="22"/>
        </w:rPr>
        <w:t>Cumulative malaria incidence over the entire study period</w:t>
      </w:r>
      <w:r w:rsidR="00415958" w:rsidRPr="00EF6C4E">
        <w:rPr>
          <w:rFonts w:ascii="Calibri" w:hAnsi="Calibri"/>
          <w:sz w:val="24"/>
          <w:szCs w:val="22"/>
        </w:rPr>
        <w:t xml:space="preserve"> </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Infants</w:t>
      </w:r>
    </w:p>
    <w:p w:rsidR="00415958" w:rsidRPr="00EF6C4E" w:rsidRDefault="00AC61F2" w:rsidP="00415958">
      <w:pPr>
        <w:spacing w:line="360" w:lineRule="auto"/>
        <w:rPr>
          <w:rFonts w:ascii="Calibri" w:hAnsi="Calibri"/>
          <w:sz w:val="24"/>
          <w:szCs w:val="22"/>
        </w:rPr>
      </w:pPr>
      <w:r w:rsidRPr="00AA2259">
        <w:rPr>
          <w:rFonts w:ascii="Calibri" w:hAnsi="Calibri"/>
          <w:sz w:val="24"/>
        </w:rPr>
        <w:pict>
          <v:shape id="_x0000_i1046" type="#_x0000_t75" style="width:433.25pt;height:247.6pt">
            <v:imagedata r:id="rId28" o:title=""/>
          </v:shape>
        </w:pict>
      </w:r>
    </w:p>
    <w:p w:rsidR="00415958" w:rsidRPr="00EF6C4E" w:rsidRDefault="00415958" w:rsidP="00415958">
      <w:pPr>
        <w:spacing w:line="360" w:lineRule="auto"/>
        <w:rPr>
          <w:rFonts w:ascii="Calibri" w:hAnsi="Calibri"/>
          <w:b/>
          <w:sz w:val="24"/>
          <w:szCs w:val="22"/>
        </w:rPr>
      </w:pPr>
      <w:r w:rsidRPr="00EF6C4E">
        <w:rPr>
          <w:rFonts w:ascii="Calibri" w:hAnsi="Calibri"/>
          <w:b/>
          <w:sz w:val="24"/>
          <w:szCs w:val="22"/>
        </w:rPr>
        <w:t>1 year old children</w:t>
      </w:r>
    </w:p>
    <w:p w:rsidR="00415958" w:rsidRPr="00EF6C4E" w:rsidRDefault="00AC61F2" w:rsidP="00415958">
      <w:pPr>
        <w:rPr>
          <w:rFonts w:ascii="Calibri" w:hAnsi="Calibri"/>
          <w:sz w:val="24"/>
          <w:szCs w:val="22"/>
        </w:rPr>
      </w:pPr>
      <w:r w:rsidRPr="00AA2259">
        <w:rPr>
          <w:rFonts w:ascii="Calibri" w:hAnsi="Calibri"/>
          <w:sz w:val="24"/>
        </w:rPr>
        <w:pict>
          <v:shape id="_x0000_i1047" type="#_x0000_t75" style="width:433.25pt;height:247.6pt">
            <v:imagedata r:id="rId29" o:title=""/>
          </v:shape>
        </w:pict>
      </w:r>
    </w:p>
    <w:p w:rsidR="00415958" w:rsidRPr="00EF6C4E" w:rsidRDefault="00415958" w:rsidP="00415958">
      <w:pPr>
        <w:rPr>
          <w:rFonts w:ascii="Calibri" w:hAnsi="Calibri"/>
          <w:sz w:val="24"/>
          <w:szCs w:val="22"/>
        </w:rPr>
      </w:pPr>
      <w:r w:rsidRPr="00EF6C4E">
        <w:rPr>
          <w:rFonts w:ascii="Calibri" w:hAnsi="Calibri"/>
          <w:sz w:val="24"/>
          <w:szCs w:val="22"/>
        </w:rPr>
        <w:t>Cumulative malaria incidence over the entire IPTi trial period is shown for infants and one year old children. Points indicate data from the IPTi trial, lines are the cumulative incidence in the model.</w:t>
      </w:r>
    </w:p>
    <w:p w:rsidR="00415958" w:rsidRPr="00EF6C4E" w:rsidRDefault="00415958" w:rsidP="00415958">
      <w:pPr>
        <w:rPr>
          <w:rFonts w:ascii="Calibri" w:hAnsi="Calibri"/>
          <w:sz w:val="24"/>
          <w:szCs w:val="22"/>
        </w:rPr>
      </w:pPr>
    </w:p>
    <w:p w:rsidR="00415958" w:rsidRPr="00EF6C4E" w:rsidRDefault="00415958" w:rsidP="00415958">
      <w:pPr>
        <w:spacing w:line="360" w:lineRule="auto"/>
        <w:rPr>
          <w:rFonts w:ascii="Calibri" w:hAnsi="Calibri"/>
          <w:sz w:val="24"/>
        </w:rPr>
      </w:pPr>
      <w:r w:rsidRPr="00EF6C4E">
        <w:rPr>
          <w:rFonts w:ascii="Calibri" w:hAnsi="Calibri"/>
          <w:sz w:val="24"/>
          <w:szCs w:val="22"/>
        </w:rPr>
        <w:br w:type="page"/>
      </w:r>
      <w:r w:rsidR="005E17B8" w:rsidRPr="00EF6C4E">
        <w:rPr>
          <w:rFonts w:ascii="Calibri" w:hAnsi="Calibri"/>
          <w:b/>
          <w:sz w:val="24"/>
          <w:szCs w:val="22"/>
        </w:rPr>
        <w:lastRenderedPageBreak/>
        <w:t>Sensitivity analysis</w:t>
      </w:r>
    </w:p>
    <w:p w:rsidR="00415958" w:rsidRPr="00EF6C4E" w:rsidRDefault="00415958" w:rsidP="00415958">
      <w:pPr>
        <w:spacing w:line="360" w:lineRule="auto"/>
        <w:rPr>
          <w:rFonts w:ascii="Calibri" w:hAnsi="Calibri"/>
          <w:sz w:val="24"/>
          <w:szCs w:val="22"/>
        </w:rPr>
      </w:pPr>
      <w:r w:rsidRPr="00EF6C4E">
        <w:rPr>
          <w:rFonts w:ascii="Calibri" w:hAnsi="Calibri"/>
          <w:sz w:val="24"/>
        </w:rPr>
        <w:t xml:space="preserve">The effect of varying the parameters in the model within the defined range on the protective efficacy of </w:t>
      </w:r>
      <w:r w:rsidR="00F0440C" w:rsidRPr="00EF6C4E">
        <w:rPr>
          <w:rFonts w:ascii="Calibri" w:hAnsi="Calibri"/>
          <w:sz w:val="24"/>
        </w:rPr>
        <w:t>IPTi</w:t>
      </w:r>
      <w:r w:rsidRPr="00EF6C4E">
        <w:rPr>
          <w:rFonts w:ascii="Calibri" w:hAnsi="Calibri"/>
          <w:sz w:val="24"/>
        </w:rPr>
        <w:t xml:space="preserve"> and seasonal-IPT </w:t>
      </w:r>
      <w:r w:rsidR="005E17B8" w:rsidRPr="00EF6C4E">
        <w:rPr>
          <w:rFonts w:ascii="Calibri" w:hAnsi="Calibri"/>
          <w:sz w:val="24"/>
        </w:rPr>
        <w:t xml:space="preserve">in infancy </w:t>
      </w:r>
      <w:r w:rsidRPr="00EF6C4E">
        <w:rPr>
          <w:rFonts w:ascii="Calibri" w:hAnsi="Calibri"/>
          <w:sz w:val="24"/>
        </w:rPr>
        <w:t xml:space="preserve">is shown in table </w:t>
      </w:r>
      <w:r w:rsidR="00845607" w:rsidRPr="00EF6C4E">
        <w:rPr>
          <w:rFonts w:ascii="Calibri" w:hAnsi="Calibri"/>
          <w:sz w:val="24"/>
        </w:rPr>
        <w:t>S4</w:t>
      </w:r>
      <w:r w:rsidRPr="00EF6C4E">
        <w:rPr>
          <w:rFonts w:ascii="Calibri" w:hAnsi="Calibri"/>
          <w:sz w:val="24"/>
        </w:rPr>
        <w:t>.</w:t>
      </w:r>
      <w:r w:rsidRPr="00EF6C4E">
        <w:rPr>
          <w:rFonts w:ascii="Calibri" w:hAnsi="Calibri"/>
          <w:sz w:val="24"/>
          <w:szCs w:val="22"/>
        </w:rPr>
        <w:t xml:space="preserve"> Varying the parameter values did affect the point estimates of protective efficacy: at </w:t>
      </w:r>
      <w:r w:rsidR="005E17B8" w:rsidRPr="00EF6C4E">
        <w:rPr>
          <w:rFonts w:ascii="Calibri" w:hAnsi="Calibri"/>
          <w:sz w:val="24"/>
          <w:szCs w:val="22"/>
        </w:rPr>
        <w:t>24</w:t>
      </w:r>
      <w:r w:rsidRPr="00EF6C4E">
        <w:rPr>
          <w:rFonts w:ascii="Calibri" w:hAnsi="Calibri"/>
          <w:sz w:val="24"/>
          <w:szCs w:val="22"/>
        </w:rPr>
        <w:t xml:space="preserve"> months of age </w:t>
      </w:r>
      <w:r w:rsidR="00F0440C" w:rsidRPr="00EF6C4E">
        <w:rPr>
          <w:rFonts w:ascii="Calibri" w:hAnsi="Calibri"/>
          <w:sz w:val="24"/>
          <w:szCs w:val="22"/>
        </w:rPr>
        <w:t>IPTi</w:t>
      </w:r>
      <w:r w:rsidRPr="00EF6C4E">
        <w:rPr>
          <w:rFonts w:ascii="Calibri" w:hAnsi="Calibri"/>
          <w:sz w:val="24"/>
          <w:szCs w:val="22"/>
        </w:rPr>
        <w:t xml:space="preserve"> varied between </w:t>
      </w:r>
      <w:r w:rsidR="005E17B8" w:rsidRPr="00EF6C4E">
        <w:rPr>
          <w:rFonts w:ascii="Calibri" w:hAnsi="Calibri"/>
          <w:sz w:val="24"/>
          <w:szCs w:val="22"/>
        </w:rPr>
        <w:t>9.3%</w:t>
      </w:r>
      <w:r w:rsidRPr="00EF6C4E">
        <w:rPr>
          <w:rFonts w:ascii="Calibri" w:hAnsi="Calibri"/>
          <w:sz w:val="24"/>
          <w:szCs w:val="22"/>
        </w:rPr>
        <w:t xml:space="preserve"> and </w:t>
      </w:r>
      <w:r w:rsidR="005E17B8" w:rsidRPr="00EF6C4E">
        <w:rPr>
          <w:rFonts w:ascii="Calibri" w:hAnsi="Calibri"/>
          <w:sz w:val="24"/>
          <w:szCs w:val="22"/>
        </w:rPr>
        <w:t>17.8</w:t>
      </w:r>
      <w:r w:rsidRPr="00EF6C4E">
        <w:rPr>
          <w:rFonts w:ascii="Calibri" w:hAnsi="Calibri"/>
          <w:sz w:val="24"/>
          <w:szCs w:val="22"/>
        </w:rPr>
        <w:t xml:space="preserve">%; sIPT at </w:t>
      </w:r>
      <w:r w:rsidR="005E17B8" w:rsidRPr="00EF6C4E">
        <w:rPr>
          <w:rFonts w:ascii="Calibri" w:hAnsi="Calibri"/>
          <w:sz w:val="24"/>
          <w:szCs w:val="22"/>
        </w:rPr>
        <w:t>24</w:t>
      </w:r>
      <w:r w:rsidRPr="00EF6C4E">
        <w:rPr>
          <w:rFonts w:ascii="Calibri" w:hAnsi="Calibri"/>
          <w:sz w:val="24"/>
          <w:szCs w:val="22"/>
        </w:rPr>
        <w:t xml:space="preserve"> months of age varied between </w:t>
      </w:r>
      <w:r w:rsidR="005E17B8" w:rsidRPr="00EF6C4E">
        <w:rPr>
          <w:rFonts w:ascii="Calibri" w:hAnsi="Calibri"/>
          <w:sz w:val="24"/>
          <w:szCs w:val="22"/>
        </w:rPr>
        <w:t>14.8%</w:t>
      </w:r>
      <w:r w:rsidRPr="00EF6C4E">
        <w:rPr>
          <w:rFonts w:ascii="Calibri" w:hAnsi="Calibri"/>
          <w:sz w:val="24"/>
          <w:szCs w:val="22"/>
        </w:rPr>
        <w:t xml:space="preserve"> and </w:t>
      </w:r>
      <w:r w:rsidR="005E17B8" w:rsidRPr="00EF6C4E">
        <w:rPr>
          <w:rFonts w:ascii="Calibri" w:hAnsi="Calibri"/>
          <w:sz w:val="24"/>
          <w:szCs w:val="22"/>
        </w:rPr>
        <w:t>28.6%</w:t>
      </w:r>
      <w:r w:rsidRPr="00EF6C4E">
        <w:rPr>
          <w:rFonts w:ascii="Calibri" w:hAnsi="Calibri"/>
          <w:sz w:val="24"/>
          <w:szCs w:val="22"/>
        </w:rPr>
        <w:t xml:space="preserve">%. The relative differences between seasonal IPT and </w:t>
      </w:r>
      <w:r w:rsidR="00F0440C" w:rsidRPr="00EF6C4E">
        <w:rPr>
          <w:rFonts w:ascii="Calibri" w:hAnsi="Calibri"/>
          <w:sz w:val="24"/>
          <w:szCs w:val="22"/>
        </w:rPr>
        <w:t>IPTi</w:t>
      </w:r>
      <w:r w:rsidRPr="00EF6C4E">
        <w:rPr>
          <w:rFonts w:ascii="Calibri" w:hAnsi="Calibri"/>
          <w:sz w:val="24"/>
          <w:szCs w:val="22"/>
        </w:rPr>
        <w:t xml:space="preserve"> remained similar as parameters were varied. Seasonal IPT was consistently between 1.5 and 1.8 times more protective than </w:t>
      </w:r>
      <w:r w:rsidR="00F0440C" w:rsidRPr="00EF6C4E">
        <w:rPr>
          <w:rFonts w:ascii="Calibri" w:hAnsi="Calibri"/>
          <w:sz w:val="24"/>
          <w:szCs w:val="22"/>
        </w:rPr>
        <w:t>IPTi</w:t>
      </w:r>
      <w:r w:rsidRPr="00EF6C4E">
        <w:rPr>
          <w:rFonts w:ascii="Calibri" w:hAnsi="Calibri"/>
          <w:sz w:val="24"/>
          <w:szCs w:val="22"/>
        </w:rPr>
        <w:t>.</w:t>
      </w:r>
    </w:p>
    <w:p w:rsidR="005E17B8" w:rsidRPr="00EF6C4E" w:rsidRDefault="005E17B8" w:rsidP="00415958">
      <w:pPr>
        <w:spacing w:line="360" w:lineRule="auto"/>
        <w:rPr>
          <w:rFonts w:ascii="Calibri" w:hAnsi="Calibri"/>
          <w:b/>
          <w:sz w:val="24"/>
        </w:rPr>
      </w:pPr>
    </w:p>
    <w:p w:rsidR="00415958" w:rsidRPr="00EF6C4E" w:rsidRDefault="00415958" w:rsidP="00415958">
      <w:pPr>
        <w:spacing w:line="360" w:lineRule="auto"/>
        <w:rPr>
          <w:rFonts w:ascii="Calibri" w:hAnsi="Calibri"/>
          <w:b/>
        </w:rPr>
      </w:pPr>
      <w:r w:rsidRPr="00EF6C4E">
        <w:rPr>
          <w:rFonts w:ascii="Calibri" w:hAnsi="Calibri"/>
          <w:b/>
          <w:sz w:val="24"/>
        </w:rPr>
        <w:t>Table</w:t>
      </w:r>
      <w:r w:rsidR="00B96760" w:rsidRPr="00EF6C4E">
        <w:rPr>
          <w:rFonts w:ascii="Calibri" w:hAnsi="Calibri"/>
          <w:b/>
          <w:sz w:val="24"/>
          <w:szCs w:val="22"/>
        </w:rPr>
        <w:t xml:space="preserve"> </w:t>
      </w:r>
      <w:r w:rsidR="0068531B" w:rsidRPr="00EF6C4E">
        <w:rPr>
          <w:rFonts w:ascii="Calibri" w:hAnsi="Calibri"/>
          <w:b/>
          <w:sz w:val="24"/>
          <w:szCs w:val="22"/>
        </w:rPr>
        <w:t>S4</w:t>
      </w:r>
      <w:r w:rsidR="00B96760" w:rsidRPr="00EF6C4E">
        <w:rPr>
          <w:rFonts w:ascii="Calibri" w:hAnsi="Calibri"/>
          <w:b/>
          <w:sz w:val="24"/>
          <w:szCs w:val="22"/>
        </w:rPr>
        <w:t xml:space="preserve">. </w:t>
      </w:r>
      <w:r w:rsidRPr="00EF6C4E">
        <w:rPr>
          <w:rFonts w:ascii="Calibri" w:hAnsi="Calibri"/>
          <w:b/>
          <w:sz w:val="24"/>
        </w:rPr>
        <w:t xml:space="preserve"> Sensitivity of the model to parameter estimates</w:t>
      </w:r>
    </w:p>
    <w:p w:rsidR="00415958" w:rsidRPr="00EF6C4E" w:rsidRDefault="00415958" w:rsidP="00415958">
      <w:pP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97"/>
        <w:gridCol w:w="1011"/>
        <w:gridCol w:w="738"/>
        <w:gridCol w:w="738"/>
        <w:gridCol w:w="737"/>
        <w:gridCol w:w="743"/>
        <w:gridCol w:w="737"/>
        <w:gridCol w:w="737"/>
        <w:gridCol w:w="702"/>
        <w:gridCol w:w="737"/>
        <w:gridCol w:w="737"/>
      </w:tblGrid>
      <w:tr w:rsidR="00415958" w:rsidRPr="00EF6C4E" w:rsidTr="00415958">
        <w:tc>
          <w:tcPr>
            <w:tcW w:w="1197" w:type="dxa"/>
          </w:tcPr>
          <w:p w:rsidR="00415958" w:rsidRPr="00EF6C4E" w:rsidRDefault="00415958" w:rsidP="00415958">
            <w:pPr>
              <w:rPr>
                <w:rFonts w:ascii="Calibri" w:hAnsi="Calibri"/>
                <w:b/>
              </w:rPr>
            </w:pPr>
          </w:p>
        </w:tc>
        <w:tc>
          <w:tcPr>
            <w:tcW w:w="1011" w:type="dxa"/>
          </w:tcPr>
          <w:p w:rsidR="00415958" w:rsidRPr="00EF6C4E" w:rsidRDefault="00415958" w:rsidP="00415958">
            <w:pPr>
              <w:rPr>
                <w:rFonts w:ascii="Calibri" w:hAnsi="Calibri"/>
                <w:b/>
              </w:rPr>
            </w:pPr>
          </w:p>
        </w:tc>
        <w:tc>
          <w:tcPr>
            <w:tcW w:w="2213" w:type="dxa"/>
            <w:gridSpan w:val="3"/>
            <w:tcBorders>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 xml:space="preserve">Protective efficacy of </w:t>
            </w:r>
            <w:r w:rsidR="00F0440C" w:rsidRPr="00EF6C4E">
              <w:rPr>
                <w:rFonts w:ascii="Calibri" w:hAnsi="Calibri" w:cs="Arial"/>
                <w:b/>
                <w:bCs/>
              </w:rPr>
              <w:t>IPTi</w:t>
            </w:r>
            <w:r w:rsidRPr="00EF6C4E">
              <w:rPr>
                <w:rFonts w:ascii="Calibri" w:hAnsi="Calibri" w:cs="Arial"/>
                <w:b/>
                <w:bCs/>
              </w:rPr>
              <w:t xml:space="preserve"> (%)</w:t>
            </w:r>
            <w:r w:rsidR="00E53E9A" w:rsidRPr="00EF6C4E">
              <w:rPr>
                <w:rFonts w:ascii="Calibri" w:hAnsi="Calibri" w:cs="Arial"/>
                <w:b/>
                <w:bCs/>
              </w:rPr>
              <w:t xml:space="preserve"> at age</w:t>
            </w:r>
          </w:p>
        </w:tc>
        <w:tc>
          <w:tcPr>
            <w:tcW w:w="2217" w:type="dxa"/>
            <w:gridSpan w:val="3"/>
            <w:tcBorders>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Protective efficacy of seasonal IPT (%)</w:t>
            </w:r>
            <w:r w:rsidR="00E53E9A" w:rsidRPr="00EF6C4E">
              <w:rPr>
                <w:rFonts w:ascii="Calibri" w:hAnsi="Calibri" w:cs="Arial"/>
                <w:b/>
                <w:bCs/>
              </w:rPr>
              <w:t xml:space="preserve"> at age</w:t>
            </w:r>
          </w:p>
        </w:tc>
        <w:tc>
          <w:tcPr>
            <w:tcW w:w="2176" w:type="dxa"/>
            <w:gridSpan w:val="3"/>
            <w:tcBorders>
              <w:bottom w:val="single" w:sz="4" w:space="0" w:color="auto"/>
            </w:tcBorders>
            <w:vAlign w:val="bottom"/>
          </w:tcPr>
          <w:p w:rsidR="00415958" w:rsidRPr="00EF6C4E" w:rsidRDefault="00415958" w:rsidP="00415958">
            <w:pPr>
              <w:rPr>
                <w:rFonts w:ascii="Calibri" w:hAnsi="Calibri" w:cs="Arial"/>
                <w:b/>
                <w:bCs/>
              </w:rPr>
            </w:pPr>
          </w:p>
          <w:p w:rsidR="00415958" w:rsidRPr="00EF6C4E" w:rsidRDefault="00415958" w:rsidP="00415958">
            <w:pPr>
              <w:rPr>
                <w:rFonts w:ascii="Calibri" w:hAnsi="Calibri"/>
                <w:b/>
              </w:rPr>
            </w:pPr>
            <w:r w:rsidRPr="00EF6C4E">
              <w:rPr>
                <w:rFonts w:ascii="Calibri" w:hAnsi="Calibri" w:cs="Arial"/>
                <w:b/>
                <w:bCs/>
              </w:rPr>
              <w:t>Relative Protective efficacy</w:t>
            </w:r>
            <w:r w:rsidR="005E2468" w:rsidRPr="00EF6C4E">
              <w:rPr>
                <w:rFonts w:ascii="Calibri" w:hAnsi="Calibri" w:cs="Arial"/>
                <w:b/>
                <w:bCs/>
              </w:rPr>
              <w:t xml:space="preserve"> at age</w:t>
            </w:r>
          </w:p>
        </w:tc>
      </w:tr>
      <w:tr w:rsidR="00415958" w:rsidRPr="00EF6C4E" w:rsidTr="00415958">
        <w:tc>
          <w:tcPr>
            <w:tcW w:w="1197" w:type="dxa"/>
            <w:tcBorders>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Parameter</w:t>
            </w:r>
          </w:p>
        </w:tc>
        <w:tc>
          <w:tcPr>
            <w:tcW w:w="1011" w:type="dxa"/>
            <w:tcBorders>
              <w:bottom w:val="single" w:sz="4" w:space="0" w:color="auto"/>
            </w:tcBorders>
            <w:vAlign w:val="bottom"/>
          </w:tcPr>
          <w:p w:rsidR="00415958" w:rsidRPr="00EF6C4E" w:rsidRDefault="00415958" w:rsidP="00415958">
            <w:pPr>
              <w:jc w:val="right"/>
              <w:rPr>
                <w:rFonts w:ascii="Calibri" w:hAnsi="Calibri" w:cs="Arial"/>
                <w:b/>
                <w:bCs/>
              </w:rPr>
            </w:pPr>
            <w:r w:rsidRPr="00EF6C4E">
              <w:rPr>
                <w:rFonts w:ascii="Calibri" w:hAnsi="Calibri" w:cs="Arial"/>
                <w:b/>
                <w:bCs/>
              </w:rPr>
              <w:t>value</w:t>
            </w:r>
          </w:p>
        </w:tc>
        <w:tc>
          <w:tcPr>
            <w:tcW w:w="738" w:type="dxa"/>
            <w:tcBorders>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12 m</w:t>
            </w:r>
          </w:p>
        </w:tc>
        <w:tc>
          <w:tcPr>
            <w:tcW w:w="738" w:type="dxa"/>
            <w:tcBorders>
              <w:left w:val="nil"/>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15 m</w:t>
            </w:r>
          </w:p>
        </w:tc>
        <w:tc>
          <w:tcPr>
            <w:tcW w:w="737" w:type="dxa"/>
            <w:tcBorders>
              <w:left w:val="nil"/>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24 m</w:t>
            </w:r>
          </w:p>
        </w:tc>
        <w:tc>
          <w:tcPr>
            <w:tcW w:w="743" w:type="dxa"/>
            <w:tcBorders>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12 m</w:t>
            </w:r>
          </w:p>
        </w:tc>
        <w:tc>
          <w:tcPr>
            <w:tcW w:w="737" w:type="dxa"/>
            <w:tcBorders>
              <w:left w:val="nil"/>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15 m</w:t>
            </w:r>
          </w:p>
        </w:tc>
        <w:tc>
          <w:tcPr>
            <w:tcW w:w="737" w:type="dxa"/>
            <w:tcBorders>
              <w:left w:val="nil"/>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24 m</w:t>
            </w:r>
          </w:p>
        </w:tc>
        <w:tc>
          <w:tcPr>
            <w:tcW w:w="702" w:type="dxa"/>
            <w:tcBorders>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12 m</w:t>
            </w:r>
          </w:p>
        </w:tc>
        <w:tc>
          <w:tcPr>
            <w:tcW w:w="737" w:type="dxa"/>
            <w:tcBorders>
              <w:left w:val="nil"/>
              <w:bottom w:val="single" w:sz="4" w:space="0" w:color="auto"/>
              <w:right w:val="nil"/>
            </w:tcBorders>
            <w:vAlign w:val="bottom"/>
          </w:tcPr>
          <w:p w:rsidR="00415958" w:rsidRPr="00EF6C4E" w:rsidRDefault="00415958" w:rsidP="00415958">
            <w:pPr>
              <w:rPr>
                <w:rFonts w:ascii="Calibri" w:hAnsi="Calibri" w:cs="Arial"/>
                <w:b/>
                <w:bCs/>
              </w:rPr>
            </w:pPr>
            <w:r w:rsidRPr="00EF6C4E">
              <w:rPr>
                <w:rFonts w:ascii="Calibri" w:hAnsi="Calibri" w:cs="Arial"/>
                <w:b/>
                <w:bCs/>
              </w:rPr>
              <w:t>15 m</w:t>
            </w:r>
          </w:p>
        </w:tc>
        <w:tc>
          <w:tcPr>
            <w:tcW w:w="737" w:type="dxa"/>
            <w:tcBorders>
              <w:left w:val="nil"/>
              <w:bottom w:val="single" w:sz="4" w:space="0" w:color="auto"/>
            </w:tcBorders>
            <w:vAlign w:val="bottom"/>
          </w:tcPr>
          <w:p w:rsidR="00415958" w:rsidRPr="00EF6C4E" w:rsidRDefault="00415958" w:rsidP="00415958">
            <w:pPr>
              <w:rPr>
                <w:rFonts w:ascii="Calibri" w:hAnsi="Calibri" w:cs="Arial"/>
                <w:b/>
                <w:bCs/>
              </w:rPr>
            </w:pPr>
            <w:r w:rsidRPr="00EF6C4E">
              <w:rPr>
                <w:rFonts w:ascii="Calibri" w:hAnsi="Calibri" w:cs="Arial"/>
                <w:b/>
                <w:bCs/>
              </w:rPr>
              <w:t>24 m</w:t>
            </w:r>
          </w:p>
        </w:tc>
      </w:tr>
      <w:tr w:rsidR="00415958" w:rsidRPr="00EF6C4E" w:rsidTr="00415958">
        <w:tc>
          <w:tcPr>
            <w:tcW w:w="2208" w:type="dxa"/>
            <w:gridSpan w:val="2"/>
            <w:tcBorders>
              <w:top w:val="nil"/>
              <w:bottom w:val="nil"/>
            </w:tcBorders>
          </w:tcPr>
          <w:p w:rsidR="00415958" w:rsidRPr="00EF6C4E" w:rsidRDefault="00415958" w:rsidP="00415958">
            <w:pPr>
              <w:jc w:val="right"/>
              <w:rPr>
                <w:rFonts w:ascii="Calibri" w:hAnsi="Calibri" w:cs="Arial"/>
              </w:rPr>
            </w:pPr>
          </w:p>
          <w:p w:rsidR="00415958" w:rsidRPr="00EF6C4E" w:rsidRDefault="00415958" w:rsidP="00415958">
            <w:pPr>
              <w:jc w:val="right"/>
              <w:rPr>
                <w:rFonts w:ascii="Calibri" w:hAnsi="Calibri" w:cs="Arial"/>
              </w:rPr>
            </w:pPr>
            <w:r w:rsidRPr="00EF6C4E">
              <w:rPr>
                <w:rFonts w:ascii="Calibri" w:hAnsi="Calibri" w:cs="Arial"/>
              </w:rPr>
              <w:t>Lower extent of range</w:t>
            </w:r>
          </w:p>
        </w:tc>
        <w:tc>
          <w:tcPr>
            <w:tcW w:w="738" w:type="dxa"/>
            <w:tcBorders>
              <w:top w:val="nil"/>
              <w:bottom w:val="nil"/>
              <w:right w:val="nil"/>
            </w:tcBorders>
            <w:vAlign w:val="bottom"/>
          </w:tcPr>
          <w:p w:rsidR="00415958" w:rsidRPr="00EF6C4E" w:rsidRDefault="00415958" w:rsidP="00415958">
            <w:pPr>
              <w:jc w:val="right"/>
              <w:rPr>
                <w:rFonts w:ascii="Calibri" w:hAnsi="Calibri" w:cs="Arial"/>
              </w:rPr>
            </w:pP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c>
          <w:tcPr>
            <w:tcW w:w="743" w:type="dxa"/>
            <w:tcBorders>
              <w:top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c>
          <w:tcPr>
            <w:tcW w:w="702" w:type="dxa"/>
            <w:tcBorders>
              <w:top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b</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0.005</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30.9</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15.0</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55.9</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46.0</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27.3</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1.81</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1.82</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1.82</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e</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7</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29.4</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24.2</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15.2</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50.0</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42.0</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25.9</w:t>
            </w:r>
          </w:p>
        </w:tc>
        <w:tc>
          <w:tcPr>
            <w:tcW w:w="702" w:type="dxa"/>
            <w:tcBorders>
              <w:top w:val="nil"/>
              <w:bottom w:val="nil"/>
              <w:right w:val="nil"/>
            </w:tcBorders>
            <w:vAlign w:val="bottom"/>
          </w:tcPr>
          <w:p w:rsidR="00415958" w:rsidRPr="00EF6C4E" w:rsidRDefault="00415958" w:rsidP="00415958">
            <w:pPr>
              <w:jc w:val="right"/>
              <w:rPr>
                <w:rFonts w:ascii="Calibri" w:hAnsi="Calibri" w:cs="Arial"/>
              </w:rPr>
            </w:pPr>
            <w:r w:rsidRPr="00EF6C4E">
              <w:rPr>
                <w:rFonts w:ascii="Calibri" w:hAnsi="Calibri" w:cs="Arial"/>
              </w:rPr>
              <w:t>1.70</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rPr>
            </w:pPr>
            <w:r w:rsidRPr="00EF6C4E">
              <w:rPr>
                <w:rFonts w:ascii="Calibri" w:hAnsi="Calibri" w:cs="Arial"/>
              </w:rPr>
              <w:t>1.74</w:t>
            </w: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r w:rsidRPr="00EF6C4E">
              <w:rPr>
                <w:rFonts w:ascii="Calibri" w:hAnsi="Calibri" w:cs="Arial"/>
              </w:rPr>
              <w:t>1.70</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t</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7</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30.7</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15.9</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51.4</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43.3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26.8</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1.69</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a</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50</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30.2</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15.6</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50.3</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26.1</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IPT</w:t>
            </w:r>
            <w:r w:rsidRPr="00EF6C4E">
              <w:rPr>
                <w:rFonts w:ascii="Calibri" w:hAnsi="Calibri" w:cs="Arial"/>
                <w:vertAlign w:val="subscript"/>
              </w:rPr>
              <w:t>eff</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0.5</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17.9</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14.8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9.3</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29.4</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24.5</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14.8</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1.64</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1.66</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1.59</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IPT</w:t>
            </w:r>
            <w:r w:rsidRPr="00EF6C4E">
              <w:rPr>
                <w:rFonts w:ascii="Calibri" w:hAnsi="Calibri" w:cs="Arial"/>
              </w:rPr>
              <w:t xml:space="preserve"> </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20</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22.3</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18.3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11.1</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39.8</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32.6</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19.9</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1.78</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1.79</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vertAlign w:val="subscript"/>
              </w:rPr>
            </w:pPr>
            <w:r w:rsidRPr="00EF6C4E">
              <w:rPr>
                <w:rFonts w:ascii="Calibri" w:hAnsi="Calibri" w:cs="Arial"/>
              </w:rPr>
              <w:t>d</w:t>
            </w:r>
            <w:r w:rsidRPr="00EF6C4E">
              <w:rPr>
                <w:rFonts w:ascii="Calibri" w:hAnsi="Calibri" w:cs="Arial"/>
                <w:vertAlign w:val="subscript"/>
              </w:rPr>
              <w:t>m</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10</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30.2</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15.6</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49.6</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41.7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25.8</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1.64</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1.65</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1.65</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p</w:t>
            </w:r>
            <w:r w:rsidRPr="00EF6C4E">
              <w:rPr>
                <w:rFonts w:ascii="Calibri" w:hAnsi="Calibri" w:cs="Arial"/>
                <w:vertAlign w:val="subscript"/>
              </w:rPr>
              <w:t>maternal</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0.001</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30.2</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15.6</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50.4</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42.4</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26.2</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1.68</w:t>
            </w:r>
          </w:p>
        </w:tc>
      </w:tr>
      <w:tr w:rsidR="00415958" w:rsidRPr="00EF6C4E" w:rsidTr="00415958">
        <w:tc>
          <w:tcPr>
            <w:tcW w:w="2208" w:type="dxa"/>
            <w:gridSpan w:val="2"/>
            <w:tcBorders>
              <w:top w:val="nil"/>
              <w:bottom w:val="nil"/>
            </w:tcBorders>
          </w:tcPr>
          <w:p w:rsidR="00415958" w:rsidRPr="00EF6C4E" w:rsidRDefault="00415958" w:rsidP="00415958">
            <w:pPr>
              <w:jc w:val="right"/>
              <w:rPr>
                <w:rFonts w:ascii="Calibri" w:hAnsi="Calibri" w:cs="Arial"/>
              </w:rPr>
            </w:pPr>
          </w:p>
          <w:p w:rsidR="00415958" w:rsidRPr="00EF6C4E" w:rsidRDefault="00415958" w:rsidP="00415958">
            <w:pPr>
              <w:jc w:val="right"/>
              <w:rPr>
                <w:rFonts w:ascii="Calibri" w:hAnsi="Calibri" w:cs="Arial"/>
              </w:rPr>
            </w:pPr>
            <w:r w:rsidRPr="00EF6C4E">
              <w:rPr>
                <w:rFonts w:ascii="Calibri" w:hAnsi="Calibri" w:cs="Arial"/>
              </w:rPr>
              <w:t>Upper extent of range</w:t>
            </w:r>
          </w:p>
        </w:tc>
        <w:tc>
          <w:tcPr>
            <w:tcW w:w="738" w:type="dxa"/>
            <w:tcBorders>
              <w:top w:val="nil"/>
              <w:bottom w:val="nil"/>
              <w:right w:val="nil"/>
            </w:tcBorders>
            <w:vAlign w:val="bottom"/>
          </w:tcPr>
          <w:p w:rsidR="00415958" w:rsidRPr="00EF6C4E" w:rsidRDefault="00415958" w:rsidP="00415958">
            <w:pPr>
              <w:jc w:val="right"/>
              <w:rPr>
                <w:rFonts w:ascii="Calibri" w:hAnsi="Calibri" w:cs="Arial"/>
              </w:rPr>
            </w:pP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c>
          <w:tcPr>
            <w:tcW w:w="743" w:type="dxa"/>
            <w:tcBorders>
              <w:top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c>
          <w:tcPr>
            <w:tcW w:w="702" w:type="dxa"/>
            <w:tcBorders>
              <w:top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rPr>
            </w:pPr>
          </w:p>
        </w:tc>
        <w:tc>
          <w:tcPr>
            <w:tcW w:w="737" w:type="dxa"/>
            <w:tcBorders>
              <w:top w:val="nil"/>
              <w:left w:val="nil"/>
              <w:bottom w:val="nil"/>
            </w:tcBorders>
            <w:vAlign w:val="bottom"/>
          </w:tcPr>
          <w:p w:rsidR="00415958" w:rsidRPr="00EF6C4E" w:rsidRDefault="00415958" w:rsidP="00415958">
            <w:pPr>
              <w:jc w:val="right"/>
              <w:rPr>
                <w:rFonts w:ascii="Calibri" w:hAnsi="Calibri" w:cs="Arial"/>
              </w:rPr>
            </w:pP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b</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0.1</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29.7</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24.8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15.3</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44.9</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37.8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23.2</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1.51</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1.52</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1.52</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e</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14</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31.6</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26.5</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16.4</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50.6</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42.8</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26.5</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1.60</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1.62</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1.62</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t</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21</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29.5</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24.6</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15.2</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49.1</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41.2</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25.4</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1.66</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a</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200</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30.2</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15.6</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50.3</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42.3</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26.1</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IPT</w:t>
            </w:r>
            <w:r w:rsidRPr="00EF6C4E">
              <w:rPr>
                <w:rFonts w:ascii="Calibri" w:hAnsi="Calibri" w:cs="Arial"/>
                <w:vertAlign w:val="subscript"/>
              </w:rPr>
              <w:t>eff</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0.95</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31.6</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26.5</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16.4</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53.1</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44.7</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27.7</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1.68</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1.69</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1.69</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rPr>
            </w:pPr>
            <w:r w:rsidRPr="00EF6C4E">
              <w:rPr>
                <w:rFonts w:ascii="Calibri" w:hAnsi="Calibri" w:cs="Arial"/>
              </w:rPr>
              <w:t>d</w:t>
            </w:r>
            <w:r w:rsidRPr="00EF6C4E">
              <w:rPr>
                <w:rFonts w:ascii="Calibri" w:hAnsi="Calibri" w:cs="Arial"/>
                <w:vertAlign w:val="subscript"/>
              </w:rPr>
              <w:t>IPT</w:t>
            </w:r>
            <w:r w:rsidRPr="00EF6C4E">
              <w:rPr>
                <w:rFonts w:ascii="Calibri" w:hAnsi="Calibri" w:cs="Arial"/>
              </w:rPr>
              <w:t xml:space="preserve"> </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35</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33.8</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28.6</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17.8</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54.0</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46.0</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28.6</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1.60</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1.61</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1.61</w:t>
            </w:r>
          </w:p>
        </w:tc>
      </w:tr>
      <w:tr w:rsidR="00415958" w:rsidRPr="00EF6C4E" w:rsidTr="00415958">
        <w:tc>
          <w:tcPr>
            <w:tcW w:w="1197" w:type="dxa"/>
            <w:tcBorders>
              <w:top w:val="nil"/>
              <w:bottom w:val="nil"/>
            </w:tcBorders>
          </w:tcPr>
          <w:p w:rsidR="00415958" w:rsidRPr="00EF6C4E" w:rsidRDefault="00415958" w:rsidP="00415958">
            <w:pPr>
              <w:rPr>
                <w:rFonts w:ascii="Calibri" w:hAnsi="Calibri" w:cs="Arial"/>
                <w:vertAlign w:val="subscript"/>
              </w:rPr>
            </w:pPr>
            <w:r w:rsidRPr="00EF6C4E">
              <w:rPr>
                <w:rFonts w:ascii="Calibri" w:hAnsi="Calibri" w:cs="Arial"/>
              </w:rPr>
              <w:t>d</w:t>
            </w:r>
            <w:r w:rsidRPr="00EF6C4E">
              <w:rPr>
                <w:rFonts w:ascii="Calibri" w:hAnsi="Calibri" w:cs="Arial"/>
                <w:vertAlign w:val="subscript"/>
              </w:rPr>
              <w:t>m</w:t>
            </w:r>
          </w:p>
        </w:tc>
        <w:tc>
          <w:tcPr>
            <w:tcW w:w="1011" w:type="dxa"/>
            <w:tcBorders>
              <w:top w:val="nil"/>
              <w:bottom w:val="nil"/>
            </w:tcBorders>
          </w:tcPr>
          <w:p w:rsidR="00415958" w:rsidRPr="00EF6C4E" w:rsidRDefault="00415958" w:rsidP="00415958">
            <w:pPr>
              <w:jc w:val="right"/>
              <w:rPr>
                <w:rFonts w:ascii="Calibri" w:hAnsi="Calibri" w:cs="Arial"/>
              </w:rPr>
            </w:pPr>
            <w:r w:rsidRPr="00EF6C4E">
              <w:rPr>
                <w:rFonts w:ascii="Calibri" w:hAnsi="Calibri" w:cs="Arial"/>
              </w:rPr>
              <w:t>60</w:t>
            </w:r>
          </w:p>
        </w:tc>
        <w:tc>
          <w:tcPr>
            <w:tcW w:w="738"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28.6</w:t>
            </w:r>
          </w:p>
        </w:tc>
        <w:tc>
          <w:tcPr>
            <w:tcW w:w="738"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24.0</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14.8</w:t>
            </w:r>
          </w:p>
        </w:tc>
        <w:tc>
          <w:tcPr>
            <w:tcW w:w="743"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50.1</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42.1</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25.9</w:t>
            </w:r>
          </w:p>
        </w:tc>
        <w:tc>
          <w:tcPr>
            <w:tcW w:w="702" w:type="dxa"/>
            <w:tcBorders>
              <w:top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1.75</w:t>
            </w:r>
          </w:p>
        </w:tc>
        <w:tc>
          <w:tcPr>
            <w:tcW w:w="737" w:type="dxa"/>
            <w:tcBorders>
              <w:top w:val="nil"/>
              <w:left w:val="nil"/>
              <w:bottom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1.75</w:t>
            </w:r>
          </w:p>
        </w:tc>
        <w:tc>
          <w:tcPr>
            <w:tcW w:w="737" w:type="dxa"/>
            <w:tcBorders>
              <w:top w:val="nil"/>
              <w:left w:val="nil"/>
              <w:bottom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1.75</w:t>
            </w:r>
          </w:p>
        </w:tc>
      </w:tr>
      <w:tr w:rsidR="00415958" w:rsidRPr="00EF6C4E" w:rsidTr="00415958">
        <w:tc>
          <w:tcPr>
            <w:tcW w:w="1197" w:type="dxa"/>
            <w:tcBorders>
              <w:top w:val="nil"/>
            </w:tcBorders>
          </w:tcPr>
          <w:p w:rsidR="00415958" w:rsidRPr="00EF6C4E" w:rsidRDefault="00415958" w:rsidP="00415958">
            <w:pPr>
              <w:rPr>
                <w:rFonts w:ascii="Calibri" w:hAnsi="Calibri" w:cs="Arial"/>
              </w:rPr>
            </w:pPr>
            <w:r w:rsidRPr="00EF6C4E">
              <w:rPr>
                <w:rFonts w:ascii="Calibri" w:hAnsi="Calibri" w:cs="Arial"/>
              </w:rPr>
              <w:t>p</w:t>
            </w:r>
            <w:r w:rsidRPr="00EF6C4E">
              <w:rPr>
                <w:rFonts w:ascii="Calibri" w:hAnsi="Calibri" w:cs="Arial"/>
                <w:vertAlign w:val="subscript"/>
              </w:rPr>
              <w:t>maternal</w:t>
            </w:r>
          </w:p>
        </w:tc>
        <w:tc>
          <w:tcPr>
            <w:tcW w:w="1011" w:type="dxa"/>
            <w:tcBorders>
              <w:top w:val="nil"/>
            </w:tcBorders>
          </w:tcPr>
          <w:p w:rsidR="00415958" w:rsidRPr="00EF6C4E" w:rsidRDefault="00415958" w:rsidP="00415958">
            <w:pPr>
              <w:jc w:val="right"/>
              <w:rPr>
                <w:rFonts w:ascii="Calibri" w:hAnsi="Calibri" w:cs="Arial"/>
              </w:rPr>
            </w:pPr>
            <w:r w:rsidRPr="00EF6C4E">
              <w:rPr>
                <w:rFonts w:ascii="Calibri" w:hAnsi="Calibri" w:cs="Arial"/>
              </w:rPr>
              <w:t>0.01</w:t>
            </w:r>
          </w:p>
        </w:tc>
        <w:tc>
          <w:tcPr>
            <w:tcW w:w="738" w:type="dxa"/>
            <w:tcBorders>
              <w:top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30.2</w:t>
            </w:r>
          </w:p>
        </w:tc>
        <w:tc>
          <w:tcPr>
            <w:tcW w:w="738" w:type="dxa"/>
            <w:tcBorders>
              <w:top w:val="nil"/>
              <w:left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25.2</w:t>
            </w:r>
          </w:p>
        </w:tc>
        <w:tc>
          <w:tcPr>
            <w:tcW w:w="737" w:type="dxa"/>
            <w:tcBorders>
              <w:top w:val="nil"/>
              <w:lef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15.6</w:t>
            </w:r>
          </w:p>
        </w:tc>
        <w:tc>
          <w:tcPr>
            <w:tcW w:w="743" w:type="dxa"/>
            <w:tcBorders>
              <w:top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50.2</w:t>
            </w:r>
          </w:p>
        </w:tc>
        <w:tc>
          <w:tcPr>
            <w:tcW w:w="737" w:type="dxa"/>
            <w:tcBorders>
              <w:top w:val="nil"/>
              <w:left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42.2</w:t>
            </w:r>
          </w:p>
        </w:tc>
        <w:tc>
          <w:tcPr>
            <w:tcW w:w="737" w:type="dxa"/>
            <w:tcBorders>
              <w:top w:val="nil"/>
              <w:lef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26.1</w:t>
            </w:r>
          </w:p>
        </w:tc>
        <w:tc>
          <w:tcPr>
            <w:tcW w:w="702" w:type="dxa"/>
            <w:tcBorders>
              <w:top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1.66</w:t>
            </w:r>
          </w:p>
        </w:tc>
        <w:tc>
          <w:tcPr>
            <w:tcW w:w="737" w:type="dxa"/>
            <w:tcBorders>
              <w:top w:val="nil"/>
              <w:left w:val="nil"/>
              <w:righ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c>
          <w:tcPr>
            <w:tcW w:w="737" w:type="dxa"/>
            <w:tcBorders>
              <w:top w:val="nil"/>
              <w:left w:val="nil"/>
            </w:tcBorders>
            <w:vAlign w:val="bottom"/>
          </w:tcPr>
          <w:p w:rsidR="00415958" w:rsidRPr="00EF6C4E" w:rsidRDefault="00415958" w:rsidP="00415958">
            <w:pPr>
              <w:jc w:val="right"/>
              <w:rPr>
                <w:rFonts w:ascii="Calibri" w:hAnsi="Calibri" w:cs="Arial"/>
                <w:bCs/>
              </w:rPr>
            </w:pPr>
            <w:r w:rsidRPr="00EF6C4E">
              <w:rPr>
                <w:rFonts w:ascii="Calibri" w:hAnsi="Calibri" w:cs="Arial"/>
                <w:bCs/>
              </w:rPr>
              <w:t>1.67</w:t>
            </w:r>
          </w:p>
        </w:tc>
      </w:tr>
    </w:tbl>
    <w:p w:rsidR="00415958" w:rsidRPr="00EF6C4E" w:rsidRDefault="00415958" w:rsidP="00415958">
      <w:pPr>
        <w:rPr>
          <w:rFonts w:ascii="Calibri" w:hAnsi="Calibri"/>
          <w:b/>
        </w:rPr>
      </w:pPr>
    </w:p>
    <w:p w:rsidR="00415958" w:rsidRPr="00EF6C4E" w:rsidRDefault="00415958" w:rsidP="00415958">
      <w:pPr>
        <w:rPr>
          <w:rFonts w:ascii="Calibri" w:hAnsi="Calibri"/>
          <w:sz w:val="24"/>
        </w:rPr>
      </w:pPr>
      <w:r w:rsidRPr="00EF6C4E">
        <w:rPr>
          <w:rFonts w:ascii="Calibri" w:hAnsi="Calibri"/>
          <w:sz w:val="24"/>
        </w:rPr>
        <w:t xml:space="preserve">The table shows the impact of varying parameters between their lowest and highest value (as defined in </w:t>
      </w:r>
      <w:r w:rsidR="00F0440C" w:rsidRPr="00EF6C4E">
        <w:rPr>
          <w:rFonts w:ascii="Calibri" w:hAnsi="Calibri"/>
          <w:sz w:val="24"/>
        </w:rPr>
        <w:t xml:space="preserve">table </w:t>
      </w:r>
      <w:r w:rsidR="00845607" w:rsidRPr="00EF6C4E">
        <w:rPr>
          <w:rFonts w:ascii="Calibri" w:hAnsi="Calibri"/>
          <w:sz w:val="24"/>
        </w:rPr>
        <w:t>S3</w:t>
      </w:r>
      <w:r w:rsidRPr="00EF6C4E">
        <w:rPr>
          <w:rFonts w:ascii="Calibri" w:hAnsi="Calibri"/>
          <w:sz w:val="24"/>
        </w:rPr>
        <w:t>). 12 m = 12 months, 15 m = 15 months, etc.</w:t>
      </w:r>
    </w:p>
    <w:p w:rsidR="00415958" w:rsidRPr="00EF6C4E" w:rsidRDefault="00415958" w:rsidP="00415958">
      <w:pPr>
        <w:rPr>
          <w:rFonts w:ascii="Calibri" w:hAnsi="Calibri"/>
          <w:b/>
        </w:rPr>
      </w:pPr>
    </w:p>
    <w:p w:rsidR="00415958" w:rsidRPr="00EF6C4E" w:rsidRDefault="00415958" w:rsidP="00415958">
      <w:pPr>
        <w:spacing w:line="360" w:lineRule="auto"/>
        <w:rPr>
          <w:rFonts w:ascii="Calibri" w:hAnsi="Calibri"/>
          <w:b/>
          <w:sz w:val="24"/>
        </w:rPr>
      </w:pPr>
    </w:p>
    <w:p w:rsidR="005A49AD" w:rsidRPr="00EF6C4E" w:rsidRDefault="008E2B05" w:rsidP="00415958">
      <w:pPr>
        <w:spacing w:line="360" w:lineRule="auto"/>
        <w:rPr>
          <w:rFonts w:ascii="Calibri" w:hAnsi="Calibri"/>
          <w:b/>
          <w:sz w:val="24"/>
        </w:rPr>
      </w:pPr>
      <w:r w:rsidRPr="00EF6C4E">
        <w:rPr>
          <w:rFonts w:ascii="Calibri" w:hAnsi="Calibri"/>
          <w:b/>
          <w:sz w:val="24"/>
        </w:rPr>
        <w:br w:type="page"/>
      </w:r>
      <w:r w:rsidR="005A49AD" w:rsidRPr="00EF6C4E">
        <w:rPr>
          <w:rFonts w:ascii="Calibri" w:hAnsi="Calibri"/>
          <w:b/>
          <w:sz w:val="24"/>
        </w:rPr>
        <w:lastRenderedPageBreak/>
        <w:t>Supplemental analyses and results</w:t>
      </w:r>
    </w:p>
    <w:p w:rsidR="005A49AD" w:rsidRPr="00EF6C4E" w:rsidRDefault="005A49AD" w:rsidP="00415958">
      <w:pPr>
        <w:spacing w:line="360" w:lineRule="auto"/>
        <w:rPr>
          <w:rFonts w:ascii="Calibri" w:hAnsi="Calibri"/>
          <w:b/>
          <w:sz w:val="24"/>
        </w:rPr>
      </w:pPr>
    </w:p>
    <w:p w:rsidR="00415958" w:rsidRPr="00EF6C4E" w:rsidRDefault="00415958" w:rsidP="00415958">
      <w:pPr>
        <w:spacing w:line="360" w:lineRule="auto"/>
        <w:rPr>
          <w:rFonts w:ascii="Calibri" w:hAnsi="Calibri"/>
          <w:b/>
          <w:sz w:val="24"/>
        </w:rPr>
      </w:pPr>
      <w:r w:rsidRPr="00EF6C4E">
        <w:rPr>
          <w:rFonts w:ascii="Calibri" w:hAnsi="Calibri"/>
          <w:b/>
          <w:sz w:val="24"/>
        </w:rPr>
        <w:t>Effect of coverage on protective efficacy in Navrongo</w:t>
      </w:r>
    </w:p>
    <w:p w:rsidR="00415958" w:rsidRPr="00EF6C4E" w:rsidRDefault="00415958" w:rsidP="00415958">
      <w:pPr>
        <w:spacing w:line="360" w:lineRule="auto"/>
        <w:rPr>
          <w:rFonts w:ascii="Calibri" w:hAnsi="Calibri"/>
          <w:sz w:val="24"/>
          <w:szCs w:val="22"/>
        </w:rPr>
      </w:pPr>
      <w:r w:rsidRPr="00EF6C4E">
        <w:rPr>
          <w:rFonts w:ascii="Calibri" w:hAnsi="Calibri"/>
          <w:sz w:val="24"/>
        </w:rPr>
        <w:t xml:space="preserve">Four doses of monthly seasonal IPT with coverage of 53% or greater would be more efficacious than four doses of </w:t>
      </w:r>
      <w:r w:rsidR="00F0440C" w:rsidRPr="00EF6C4E">
        <w:rPr>
          <w:rFonts w:ascii="Calibri" w:hAnsi="Calibri"/>
          <w:sz w:val="24"/>
        </w:rPr>
        <w:t>IPTi</w:t>
      </w:r>
      <w:r w:rsidRPr="00EF6C4E">
        <w:rPr>
          <w:rFonts w:ascii="Calibri" w:hAnsi="Calibri"/>
          <w:sz w:val="24"/>
        </w:rPr>
        <w:t xml:space="preserve"> with the same coverage as in the clinical trial (92%). Seasonal IPT with coverage of only 46% of would be as protective as </w:t>
      </w:r>
      <w:r w:rsidR="00F0440C" w:rsidRPr="00EF6C4E">
        <w:rPr>
          <w:rFonts w:ascii="Calibri" w:hAnsi="Calibri"/>
          <w:sz w:val="24"/>
        </w:rPr>
        <w:t>IPTi</w:t>
      </w:r>
      <w:r w:rsidRPr="00EF6C4E">
        <w:rPr>
          <w:rFonts w:ascii="Calibri" w:hAnsi="Calibri"/>
          <w:sz w:val="24"/>
        </w:rPr>
        <w:t xml:space="preserve"> given with likely estimates of </w:t>
      </w:r>
      <w:r w:rsidR="008A3851" w:rsidRPr="00EF6C4E">
        <w:rPr>
          <w:rFonts w:ascii="Calibri" w:hAnsi="Calibri"/>
          <w:sz w:val="24"/>
        </w:rPr>
        <w:t xml:space="preserve">EPI </w:t>
      </w:r>
      <w:r w:rsidRPr="00EF6C4E">
        <w:rPr>
          <w:rFonts w:ascii="Calibri" w:hAnsi="Calibri"/>
          <w:sz w:val="24"/>
        </w:rPr>
        <w:t xml:space="preserve">coverage (79.5% for Ghana in 2003 </w:t>
      </w:r>
      <w:r w:rsidR="00AA2259" w:rsidRPr="00EF6C4E">
        <w:rPr>
          <w:rFonts w:ascii="Calibri" w:hAnsi="Calibri"/>
          <w:sz w:val="24"/>
        </w:rPr>
        <w:fldChar w:fldCharType="begin"/>
      </w:r>
      <w:r w:rsidR="002441A6">
        <w:rPr>
          <w:rFonts w:ascii="Calibri" w:hAnsi="Calibri"/>
          <w:sz w:val="24"/>
        </w:rPr>
        <w:instrText xml:space="preserve"> ADDIN EN.CITE &lt;EndNote&gt;&lt;Cite&gt;&lt;Author&gt;Chandramohan&lt;/Author&gt;&lt;Year&gt;2007&lt;/Year&gt;&lt;RecNum&gt;389&lt;/RecNum&gt;&lt;record&gt;&lt;rec-number&gt;389&lt;/rec-number&gt;&lt;foreign-keys&gt;&lt;key app="EN" db-id="50vzxafd505dzseevvi5prdyd0vsefrtrrpx"&gt;389&lt;/key&gt;&lt;/foreign-keys&gt;&lt;ref-type name="Journal Article"&gt;17&lt;/ref-type&gt;&lt;contributors&gt;&lt;authors&gt;&lt;author&gt;Chandramohan, D&lt;/author&gt;&lt;author&gt;Webster, J&lt;/author&gt;&lt;author&gt;Smith, L&lt;/author&gt;&lt;author&gt;Awine, T&lt;/author&gt;&lt;author&gt;Owusu-Agyei, S&lt;/author&gt;&lt;author&gt;Carneiro, I&lt;/author&gt;&lt;/authors&gt;&lt;/contributors&gt;&lt;titles&gt;&lt;title&gt;Is the Expanded Programme on Immunisation the most appropriate delivery system for intermittent preventive treatment of malaria in West Africa?&lt;/title&gt;&lt;secondary-title&gt;Trop Med Int Health&lt;/secondary-title&gt;&lt;/titles&gt;&lt;periodical&gt;&lt;full-title&gt;Trop Med Int Health&lt;/full-title&gt;&lt;/periodical&gt;&lt;pages&gt;pp 1-8&lt;/pages&gt;&lt;volume&gt;12&lt;/volume&gt;&lt;number&gt;6&lt;/number&gt;&lt;dates&gt;&lt;year&gt;2007&lt;/year&gt;&lt;/dates&gt;&lt;urls&gt;&lt;pdf-urls&gt;&lt;url&gt;file:///C:/Documents%20and%20Settings/Matt%20Cairns/My%20Documents/My%20Documents/1%20PHD/OVERVIEW/CHANDRAMOHAN%20EPI%20as%20a%20delivery%20system%20for%20IPT%20Q%20TMIH%202007.pdf&lt;/url&gt;&lt;/pdf-urls&gt;&lt;/urls&gt;&lt;/record&gt;&lt;/Cite&gt;&lt;/EndNote&gt;</w:instrText>
      </w:r>
      <w:r w:rsidR="00AA2259" w:rsidRPr="00EF6C4E">
        <w:rPr>
          <w:rFonts w:ascii="Calibri" w:hAnsi="Calibri"/>
          <w:sz w:val="24"/>
        </w:rPr>
        <w:fldChar w:fldCharType="separate"/>
      </w:r>
      <w:r w:rsidR="002441A6">
        <w:rPr>
          <w:rFonts w:ascii="Calibri" w:hAnsi="Calibri"/>
          <w:noProof/>
          <w:sz w:val="24"/>
        </w:rPr>
        <w:t>[28]</w:t>
      </w:r>
      <w:r w:rsidR="00AA2259" w:rsidRPr="00EF6C4E">
        <w:rPr>
          <w:rFonts w:ascii="Calibri" w:hAnsi="Calibri"/>
          <w:sz w:val="24"/>
        </w:rPr>
        <w:fldChar w:fldCharType="end"/>
      </w:r>
      <w:r w:rsidRPr="00EF6C4E">
        <w:rPr>
          <w:rFonts w:ascii="Calibri" w:hAnsi="Calibri"/>
          <w:sz w:val="24"/>
        </w:rPr>
        <w:t>).</w:t>
      </w:r>
    </w:p>
    <w:p w:rsidR="00415958" w:rsidRPr="00EF6C4E" w:rsidRDefault="00415958" w:rsidP="00415958">
      <w:pPr>
        <w:spacing w:line="360" w:lineRule="auto"/>
        <w:rPr>
          <w:rFonts w:ascii="Calibri" w:hAnsi="Calibri"/>
          <w:b/>
          <w:sz w:val="24"/>
        </w:rPr>
      </w:pPr>
    </w:p>
    <w:p w:rsidR="00415958" w:rsidRPr="00EF6C4E" w:rsidRDefault="008A3851" w:rsidP="00415958">
      <w:pPr>
        <w:spacing w:line="360" w:lineRule="auto"/>
        <w:rPr>
          <w:rFonts w:ascii="Calibri" w:hAnsi="Calibri"/>
          <w:sz w:val="24"/>
        </w:rPr>
      </w:pPr>
      <w:r w:rsidRPr="00EF6C4E">
        <w:rPr>
          <w:rFonts w:ascii="Calibri" w:hAnsi="Calibri"/>
          <w:sz w:val="24"/>
        </w:rPr>
        <w:t>C</w:t>
      </w:r>
      <w:r w:rsidR="00415958" w:rsidRPr="00EF6C4E">
        <w:rPr>
          <w:rFonts w:ascii="Calibri" w:hAnsi="Calibri"/>
          <w:sz w:val="24"/>
        </w:rPr>
        <w:t xml:space="preserve">overage might vary in the different exposure groups due to possibility that malaria risk and access to healthcare are correlated. The ability of IPT to target the most exposed cohort of children has a substantial impact on efficacy (table </w:t>
      </w:r>
      <w:r w:rsidR="00845607" w:rsidRPr="00EF6C4E">
        <w:rPr>
          <w:rFonts w:ascii="Calibri" w:hAnsi="Calibri"/>
          <w:sz w:val="24"/>
        </w:rPr>
        <w:t>S5</w:t>
      </w:r>
      <w:r w:rsidR="00F0440C" w:rsidRPr="00EF6C4E">
        <w:rPr>
          <w:rFonts w:ascii="Calibri" w:hAnsi="Calibri"/>
          <w:sz w:val="24"/>
        </w:rPr>
        <w:t xml:space="preserve"> </w:t>
      </w:r>
      <w:r w:rsidR="00415958" w:rsidRPr="00EF6C4E">
        <w:rPr>
          <w:rFonts w:ascii="Calibri" w:hAnsi="Calibri"/>
          <w:sz w:val="24"/>
        </w:rPr>
        <w:t xml:space="preserve">and </w:t>
      </w:r>
      <w:r w:rsidR="00F0440C" w:rsidRPr="00EF6C4E">
        <w:rPr>
          <w:rFonts w:ascii="Calibri" w:hAnsi="Calibri"/>
          <w:sz w:val="24"/>
        </w:rPr>
        <w:t xml:space="preserve">figure </w:t>
      </w:r>
      <w:r w:rsidR="00845607" w:rsidRPr="00EF6C4E">
        <w:rPr>
          <w:rFonts w:ascii="Calibri" w:hAnsi="Calibri"/>
          <w:sz w:val="24"/>
        </w:rPr>
        <w:t>S11</w:t>
      </w:r>
      <w:r w:rsidR="00415958" w:rsidRPr="00EF6C4E">
        <w:rPr>
          <w:rFonts w:ascii="Calibri" w:hAnsi="Calibri"/>
          <w:sz w:val="24"/>
        </w:rPr>
        <w:t>). If IPT completely fails to protect the most exposed group</w:t>
      </w:r>
      <w:r w:rsidRPr="00EF6C4E">
        <w:rPr>
          <w:rFonts w:ascii="Calibri" w:hAnsi="Calibri"/>
          <w:sz w:val="24"/>
        </w:rPr>
        <w:t xml:space="preserve"> (the worst case scenario)</w:t>
      </w:r>
      <w:r w:rsidR="00415958" w:rsidRPr="00EF6C4E">
        <w:rPr>
          <w:rFonts w:ascii="Calibri" w:hAnsi="Calibri"/>
          <w:sz w:val="24"/>
        </w:rPr>
        <w:t xml:space="preserve">, efficacy could fall by almost 50% for </w:t>
      </w:r>
      <w:r w:rsidR="00F0440C" w:rsidRPr="00EF6C4E">
        <w:rPr>
          <w:rFonts w:ascii="Calibri" w:hAnsi="Calibri"/>
          <w:sz w:val="24"/>
        </w:rPr>
        <w:t>IPTi</w:t>
      </w:r>
      <w:r w:rsidR="00415958" w:rsidRPr="00EF6C4E">
        <w:rPr>
          <w:rFonts w:ascii="Calibri" w:hAnsi="Calibri"/>
          <w:sz w:val="24"/>
        </w:rPr>
        <w:t xml:space="preserve"> relative to the protection if coverage is</w:t>
      </w:r>
      <w:r w:rsidR="00845607" w:rsidRPr="00EF6C4E">
        <w:rPr>
          <w:rFonts w:ascii="Calibri" w:hAnsi="Calibri"/>
          <w:sz w:val="24"/>
        </w:rPr>
        <w:t xml:space="preserve"> equal in both exposure groups</w:t>
      </w:r>
      <w:r w:rsidR="00415958" w:rsidRPr="00EF6C4E">
        <w:rPr>
          <w:rFonts w:ascii="Calibri" w:hAnsi="Calibri"/>
          <w:sz w:val="24"/>
        </w:rPr>
        <w:t xml:space="preserve">. Failure to target the most exposed group would also reduce the protective efficacy for sIPT by approximately a third. In the best case scenario, </w:t>
      </w:r>
      <w:r w:rsidRPr="00EF6C4E">
        <w:rPr>
          <w:rFonts w:ascii="Calibri" w:hAnsi="Calibri"/>
          <w:sz w:val="24"/>
        </w:rPr>
        <w:t xml:space="preserve">complete coverage </w:t>
      </w:r>
      <w:r w:rsidR="00415958" w:rsidRPr="00EF6C4E">
        <w:rPr>
          <w:rFonts w:ascii="Calibri" w:hAnsi="Calibri"/>
          <w:sz w:val="24"/>
        </w:rPr>
        <w:t xml:space="preserve">of the most exposed group could increase the protective efficacy of both approaches by around one third. The results shown below indicate that four monthly doses of seasonal IPT would only be less protective than </w:t>
      </w:r>
      <w:r w:rsidR="00F0440C" w:rsidRPr="00EF6C4E">
        <w:rPr>
          <w:rFonts w:ascii="Calibri" w:hAnsi="Calibri"/>
          <w:sz w:val="24"/>
        </w:rPr>
        <w:t>IPTi</w:t>
      </w:r>
      <w:r w:rsidR="00415958" w:rsidRPr="00EF6C4E">
        <w:rPr>
          <w:rFonts w:ascii="Calibri" w:hAnsi="Calibri"/>
          <w:sz w:val="24"/>
        </w:rPr>
        <w:t xml:space="preserve"> if </w:t>
      </w:r>
      <w:r w:rsidR="00F0440C" w:rsidRPr="00EF6C4E">
        <w:rPr>
          <w:rFonts w:ascii="Calibri" w:hAnsi="Calibri"/>
          <w:sz w:val="24"/>
        </w:rPr>
        <w:t>IPTi</w:t>
      </w:r>
      <w:r w:rsidR="00415958" w:rsidRPr="00EF6C4E">
        <w:rPr>
          <w:rFonts w:ascii="Calibri" w:hAnsi="Calibri"/>
          <w:sz w:val="24"/>
        </w:rPr>
        <w:t xml:space="preserve"> was highly successful at targeting the highly exposed group and seasonal IPT was extremely poor at targeting this group. It is unlikely that such large differences would occur in reality. </w:t>
      </w:r>
    </w:p>
    <w:p w:rsidR="00415958" w:rsidRPr="00EF6C4E" w:rsidRDefault="00415958" w:rsidP="00415958">
      <w:pPr>
        <w:spacing w:line="360" w:lineRule="auto"/>
        <w:rPr>
          <w:rFonts w:ascii="Calibri" w:hAnsi="Calibri"/>
          <w:sz w:val="24"/>
        </w:rPr>
      </w:pPr>
    </w:p>
    <w:p w:rsidR="00845607" w:rsidRPr="00EF6C4E" w:rsidRDefault="00845607" w:rsidP="00845607">
      <w:pPr>
        <w:spacing w:line="360" w:lineRule="auto"/>
        <w:rPr>
          <w:rFonts w:ascii="Calibri" w:hAnsi="Calibri"/>
          <w:b/>
          <w:sz w:val="24"/>
        </w:rPr>
      </w:pPr>
      <w:r w:rsidRPr="00EF6C4E">
        <w:rPr>
          <w:rFonts w:ascii="Calibri" w:hAnsi="Calibri"/>
          <w:b/>
          <w:sz w:val="24"/>
        </w:rPr>
        <w:br w:type="page"/>
      </w:r>
      <w:r w:rsidRPr="00EF6C4E">
        <w:rPr>
          <w:rFonts w:ascii="Calibri" w:hAnsi="Calibri"/>
          <w:b/>
          <w:sz w:val="24"/>
        </w:rPr>
        <w:lastRenderedPageBreak/>
        <w:t>Table</w:t>
      </w:r>
      <w:r w:rsidRPr="00EF6C4E">
        <w:rPr>
          <w:rFonts w:ascii="Calibri" w:hAnsi="Calibri"/>
          <w:b/>
          <w:sz w:val="24"/>
          <w:szCs w:val="22"/>
        </w:rPr>
        <w:t xml:space="preserve"> S5. </w:t>
      </w:r>
      <w:r w:rsidRPr="00EF6C4E">
        <w:rPr>
          <w:rFonts w:ascii="Calibri" w:hAnsi="Calibri"/>
          <w:b/>
          <w:sz w:val="24"/>
        </w:rPr>
        <w:t>Effect of coverage on protective efficacy of IPTi and seasonal IPT in infancy</w:t>
      </w:r>
    </w:p>
    <w:p w:rsidR="00845607" w:rsidRPr="00EF6C4E" w:rsidRDefault="00845607" w:rsidP="00845607">
      <w:pPr>
        <w:rPr>
          <w:rFonts w:ascii="Calibri" w:hAnsi="Calibri"/>
          <w:b/>
        </w:rPr>
      </w:pPr>
    </w:p>
    <w:tbl>
      <w:tblPr>
        <w:tblW w:w="8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8"/>
        <w:gridCol w:w="1269"/>
        <w:gridCol w:w="1275"/>
        <w:gridCol w:w="1281"/>
        <w:gridCol w:w="1181"/>
        <w:gridCol w:w="1040"/>
        <w:gridCol w:w="1040"/>
      </w:tblGrid>
      <w:tr w:rsidR="00845607" w:rsidRPr="00EF6C4E" w:rsidTr="004E07E1">
        <w:tc>
          <w:tcPr>
            <w:tcW w:w="1208" w:type="dxa"/>
            <w:vMerge w:val="restart"/>
            <w:vAlign w:val="bottom"/>
          </w:tcPr>
          <w:p w:rsidR="00845607" w:rsidRPr="00EF6C4E" w:rsidRDefault="00845607" w:rsidP="005C1295">
            <w:pPr>
              <w:rPr>
                <w:rFonts w:ascii="Calibri" w:hAnsi="Calibri" w:cs="Arial"/>
              </w:rPr>
            </w:pPr>
            <w:r w:rsidRPr="00EF6C4E">
              <w:rPr>
                <w:rFonts w:ascii="Calibri" w:hAnsi="Calibri" w:cs="Arial"/>
              </w:rPr>
              <w:t>Scenario</w:t>
            </w:r>
          </w:p>
        </w:tc>
        <w:tc>
          <w:tcPr>
            <w:tcW w:w="2544" w:type="dxa"/>
            <w:gridSpan w:val="2"/>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 coverage by exposure group</w:t>
            </w:r>
          </w:p>
        </w:tc>
        <w:tc>
          <w:tcPr>
            <w:tcW w:w="2462" w:type="dxa"/>
            <w:gridSpan w:val="2"/>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 xml:space="preserve">Protective efficacy at </w:t>
            </w:r>
            <w:r w:rsidR="00CF0BDC" w:rsidRPr="00EF6C4E">
              <w:rPr>
                <w:rFonts w:ascii="Calibri" w:hAnsi="Calibri" w:cs="Arial"/>
              </w:rPr>
              <w:t>24</w:t>
            </w:r>
            <w:r w:rsidRPr="00EF6C4E">
              <w:rPr>
                <w:rFonts w:ascii="Calibri" w:hAnsi="Calibri" w:cs="Arial"/>
              </w:rPr>
              <w:t xml:space="preserve"> months of age (%)</w:t>
            </w:r>
          </w:p>
        </w:tc>
        <w:tc>
          <w:tcPr>
            <w:tcW w:w="2080" w:type="dxa"/>
            <w:gridSpan w:val="2"/>
            <w:tcBorders>
              <w:bottom w:val="nil"/>
            </w:tcBorders>
          </w:tcPr>
          <w:p w:rsidR="00845607" w:rsidRPr="00EF6C4E" w:rsidRDefault="00845607" w:rsidP="005C1295">
            <w:pPr>
              <w:jc w:val="center"/>
              <w:rPr>
                <w:rFonts w:ascii="Calibri" w:hAnsi="Calibri" w:cs="Arial"/>
              </w:rPr>
            </w:pPr>
            <w:r w:rsidRPr="00EF6C4E">
              <w:rPr>
                <w:rFonts w:ascii="Calibri" w:hAnsi="Calibri" w:cs="Arial"/>
              </w:rPr>
              <w:t>Relative protective efficacy *</w:t>
            </w:r>
          </w:p>
        </w:tc>
      </w:tr>
      <w:tr w:rsidR="00845607" w:rsidRPr="00EF6C4E" w:rsidTr="004E07E1">
        <w:tc>
          <w:tcPr>
            <w:tcW w:w="1208" w:type="dxa"/>
            <w:vMerge/>
            <w:tcBorders>
              <w:bottom w:val="nil"/>
            </w:tcBorders>
            <w:vAlign w:val="bottom"/>
          </w:tcPr>
          <w:p w:rsidR="00845607" w:rsidRPr="00EF6C4E" w:rsidRDefault="00845607" w:rsidP="005C1295">
            <w:pPr>
              <w:rPr>
                <w:rFonts w:ascii="Calibri" w:hAnsi="Calibri" w:cs="Arial"/>
              </w:rPr>
            </w:pPr>
          </w:p>
        </w:tc>
        <w:tc>
          <w:tcPr>
            <w:tcW w:w="1269" w:type="dxa"/>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Low</w:t>
            </w:r>
          </w:p>
        </w:tc>
        <w:tc>
          <w:tcPr>
            <w:tcW w:w="1275" w:type="dxa"/>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High</w:t>
            </w:r>
          </w:p>
        </w:tc>
        <w:tc>
          <w:tcPr>
            <w:tcW w:w="1281" w:type="dxa"/>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IPTi</w:t>
            </w:r>
          </w:p>
        </w:tc>
        <w:tc>
          <w:tcPr>
            <w:tcW w:w="1181" w:type="dxa"/>
            <w:tcBorders>
              <w:bottom w:val="nil"/>
            </w:tcBorders>
            <w:vAlign w:val="bottom"/>
          </w:tcPr>
          <w:p w:rsidR="00845607" w:rsidRPr="00EF6C4E" w:rsidRDefault="00845607" w:rsidP="005C1295">
            <w:pPr>
              <w:jc w:val="center"/>
              <w:rPr>
                <w:rFonts w:ascii="Calibri" w:hAnsi="Calibri" w:cs="Arial"/>
              </w:rPr>
            </w:pPr>
            <w:r w:rsidRPr="00EF6C4E">
              <w:rPr>
                <w:rFonts w:ascii="Calibri" w:hAnsi="Calibri" w:cs="Arial"/>
              </w:rPr>
              <w:t>sIPT</w:t>
            </w:r>
          </w:p>
        </w:tc>
        <w:tc>
          <w:tcPr>
            <w:tcW w:w="1040" w:type="dxa"/>
            <w:tcBorders>
              <w:bottom w:val="nil"/>
            </w:tcBorders>
          </w:tcPr>
          <w:p w:rsidR="00845607" w:rsidRPr="00EF6C4E" w:rsidRDefault="00845607" w:rsidP="005C1295">
            <w:pPr>
              <w:jc w:val="center"/>
              <w:rPr>
                <w:rFonts w:ascii="Calibri" w:hAnsi="Calibri" w:cs="Arial"/>
              </w:rPr>
            </w:pPr>
            <w:r w:rsidRPr="00EF6C4E">
              <w:rPr>
                <w:rFonts w:ascii="Calibri" w:hAnsi="Calibri" w:cs="Arial"/>
              </w:rPr>
              <w:t>IPTi</w:t>
            </w:r>
          </w:p>
        </w:tc>
        <w:tc>
          <w:tcPr>
            <w:tcW w:w="1040" w:type="dxa"/>
            <w:tcBorders>
              <w:bottom w:val="nil"/>
            </w:tcBorders>
          </w:tcPr>
          <w:p w:rsidR="00845607" w:rsidRPr="00EF6C4E" w:rsidRDefault="00845607" w:rsidP="005C1295">
            <w:pPr>
              <w:jc w:val="center"/>
              <w:rPr>
                <w:rFonts w:ascii="Calibri" w:hAnsi="Calibri" w:cs="Arial"/>
              </w:rPr>
            </w:pPr>
            <w:r w:rsidRPr="00EF6C4E">
              <w:rPr>
                <w:rFonts w:ascii="Calibri" w:hAnsi="Calibri" w:cs="Arial"/>
              </w:rPr>
              <w:t>sIPT</w:t>
            </w:r>
          </w:p>
        </w:tc>
      </w:tr>
      <w:tr w:rsidR="004E07E1" w:rsidRPr="00EF6C4E" w:rsidTr="00115C2D">
        <w:trPr>
          <w:trHeight w:val="273"/>
        </w:trPr>
        <w:tc>
          <w:tcPr>
            <w:tcW w:w="1208" w:type="dxa"/>
            <w:vMerge w:val="restart"/>
          </w:tcPr>
          <w:p w:rsidR="004E07E1" w:rsidRPr="00EF6C4E" w:rsidRDefault="004E07E1" w:rsidP="005C1295">
            <w:pPr>
              <w:rPr>
                <w:rFonts w:ascii="Calibri" w:hAnsi="Calibri" w:cs="Arial"/>
              </w:rPr>
            </w:pPr>
            <w:r w:rsidRPr="00EF6C4E">
              <w:rPr>
                <w:rFonts w:ascii="Calibri" w:hAnsi="Calibri" w:cs="Arial"/>
              </w:rPr>
              <w:t>Equal coverage in both exposure groups</w:t>
            </w:r>
          </w:p>
        </w:tc>
        <w:tc>
          <w:tcPr>
            <w:tcW w:w="1269"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92</w:t>
            </w:r>
          </w:p>
        </w:tc>
        <w:tc>
          <w:tcPr>
            <w:tcW w:w="1275"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92</w:t>
            </w:r>
          </w:p>
        </w:tc>
        <w:tc>
          <w:tcPr>
            <w:tcW w:w="1281" w:type="dxa"/>
            <w:tcBorders>
              <w:bottom w:val="nil"/>
            </w:tcBorders>
          </w:tcPr>
          <w:p w:rsidR="004E07E1" w:rsidRPr="00EF6C4E" w:rsidRDefault="004E07E1" w:rsidP="00A45367">
            <w:pPr>
              <w:jc w:val="center"/>
              <w:rPr>
                <w:rFonts w:ascii="Calibri" w:hAnsi="Calibri"/>
              </w:rPr>
            </w:pPr>
            <w:r w:rsidRPr="00EF6C4E">
              <w:rPr>
                <w:rFonts w:ascii="Calibri" w:hAnsi="Calibri"/>
              </w:rPr>
              <w:t>15.6</w:t>
            </w:r>
          </w:p>
        </w:tc>
        <w:tc>
          <w:tcPr>
            <w:tcW w:w="1181" w:type="dxa"/>
            <w:tcBorders>
              <w:bottom w:val="nil"/>
            </w:tcBorders>
          </w:tcPr>
          <w:p w:rsidR="004E07E1" w:rsidRPr="00EF6C4E" w:rsidRDefault="004E07E1" w:rsidP="004E07E1">
            <w:pPr>
              <w:jc w:val="center"/>
              <w:rPr>
                <w:rFonts w:ascii="Calibri" w:hAnsi="Calibri"/>
              </w:rPr>
            </w:pPr>
            <w:r w:rsidRPr="00EF6C4E">
              <w:rPr>
                <w:rFonts w:ascii="Calibri" w:hAnsi="Calibri"/>
              </w:rPr>
              <w:t>26.1</w:t>
            </w:r>
          </w:p>
        </w:tc>
        <w:tc>
          <w:tcPr>
            <w:tcW w:w="1040" w:type="dxa"/>
            <w:tcBorders>
              <w:bottom w:val="nil"/>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bottom w:val="nil"/>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vMerge/>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90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90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15.3</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25.6</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vMerge/>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80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80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13.8</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23.0</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vMerge/>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70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70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12.3</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20.3</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vMerge/>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60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60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10.7</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17.7</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top w:val="nil"/>
              <w:bottom w:val="nil"/>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vMerge/>
            <w:tcBorders>
              <w:bottom w:val="single" w:sz="4" w:space="0" w:color="auto"/>
            </w:tcBorders>
            <w:vAlign w:val="bottom"/>
          </w:tcPr>
          <w:p w:rsidR="004E07E1" w:rsidRPr="00EF6C4E" w:rsidRDefault="004E07E1" w:rsidP="005C1295">
            <w:pPr>
              <w:rPr>
                <w:rFonts w:ascii="Calibri" w:hAnsi="Calibri" w:cs="Arial"/>
              </w:rPr>
            </w:pPr>
          </w:p>
        </w:tc>
        <w:tc>
          <w:tcPr>
            <w:tcW w:w="1269" w:type="dxa"/>
            <w:tcBorders>
              <w:top w:val="nil"/>
              <w:bottom w:val="single" w:sz="4" w:space="0" w:color="auto"/>
            </w:tcBorders>
            <w:vAlign w:val="bottom"/>
          </w:tcPr>
          <w:p w:rsidR="004E07E1" w:rsidRPr="00EF6C4E" w:rsidRDefault="004E07E1" w:rsidP="005C1295">
            <w:pPr>
              <w:jc w:val="center"/>
              <w:rPr>
                <w:rFonts w:ascii="Calibri" w:hAnsi="Calibri" w:cs="Arial"/>
              </w:rPr>
            </w:pPr>
            <w:r w:rsidRPr="00EF6C4E">
              <w:rPr>
                <w:rFonts w:ascii="Calibri" w:hAnsi="Calibri" w:cs="Arial"/>
              </w:rPr>
              <w:t>50</w:t>
            </w:r>
          </w:p>
        </w:tc>
        <w:tc>
          <w:tcPr>
            <w:tcW w:w="1275" w:type="dxa"/>
            <w:tcBorders>
              <w:top w:val="nil"/>
              <w:bottom w:val="single" w:sz="4" w:space="0" w:color="auto"/>
            </w:tcBorders>
            <w:vAlign w:val="bottom"/>
          </w:tcPr>
          <w:p w:rsidR="004E07E1" w:rsidRPr="00EF6C4E" w:rsidRDefault="004E07E1" w:rsidP="005C1295">
            <w:pPr>
              <w:jc w:val="center"/>
              <w:rPr>
                <w:rFonts w:ascii="Calibri" w:hAnsi="Calibri" w:cs="Arial"/>
              </w:rPr>
            </w:pPr>
            <w:r w:rsidRPr="00EF6C4E">
              <w:rPr>
                <w:rFonts w:ascii="Calibri" w:hAnsi="Calibri" w:cs="Arial"/>
              </w:rPr>
              <w:t>50</w:t>
            </w:r>
          </w:p>
        </w:tc>
        <w:tc>
          <w:tcPr>
            <w:tcW w:w="1281" w:type="dxa"/>
            <w:tcBorders>
              <w:top w:val="nil"/>
              <w:bottom w:val="single" w:sz="4" w:space="0" w:color="auto"/>
            </w:tcBorders>
          </w:tcPr>
          <w:p w:rsidR="004E07E1" w:rsidRPr="00EF6C4E" w:rsidRDefault="004E07E1" w:rsidP="00A45367">
            <w:pPr>
              <w:jc w:val="center"/>
              <w:rPr>
                <w:rFonts w:ascii="Calibri" w:hAnsi="Calibri"/>
              </w:rPr>
            </w:pPr>
            <w:r w:rsidRPr="00EF6C4E">
              <w:rPr>
                <w:rFonts w:ascii="Calibri" w:hAnsi="Calibri"/>
              </w:rPr>
              <w:t>9.1</w:t>
            </w:r>
          </w:p>
        </w:tc>
        <w:tc>
          <w:tcPr>
            <w:tcW w:w="1181" w:type="dxa"/>
            <w:tcBorders>
              <w:top w:val="nil"/>
              <w:bottom w:val="single" w:sz="4" w:space="0" w:color="auto"/>
            </w:tcBorders>
          </w:tcPr>
          <w:p w:rsidR="004E07E1" w:rsidRPr="00EF6C4E" w:rsidRDefault="004E07E1" w:rsidP="004E07E1">
            <w:pPr>
              <w:jc w:val="center"/>
              <w:rPr>
                <w:rFonts w:ascii="Calibri" w:hAnsi="Calibri"/>
              </w:rPr>
            </w:pPr>
            <w:r w:rsidRPr="00EF6C4E">
              <w:rPr>
                <w:rFonts w:ascii="Calibri" w:hAnsi="Calibri"/>
              </w:rPr>
              <w:t>14.9</w:t>
            </w:r>
          </w:p>
        </w:tc>
        <w:tc>
          <w:tcPr>
            <w:tcW w:w="1040" w:type="dxa"/>
            <w:tcBorders>
              <w:top w:val="nil"/>
              <w:bottom w:val="single" w:sz="4" w:space="0" w:color="auto"/>
            </w:tcBorders>
          </w:tcPr>
          <w:p w:rsidR="004E07E1" w:rsidRPr="00EF6C4E" w:rsidRDefault="004E07E1" w:rsidP="004E07E1">
            <w:pPr>
              <w:jc w:val="center"/>
              <w:rPr>
                <w:rFonts w:ascii="Calibri" w:hAnsi="Calibri" w:cs="Arial"/>
              </w:rPr>
            </w:pPr>
            <w:r w:rsidRPr="00EF6C4E">
              <w:rPr>
                <w:rFonts w:ascii="Calibri" w:hAnsi="Calibri" w:cs="Arial"/>
              </w:rPr>
              <w:t>-</w:t>
            </w:r>
          </w:p>
        </w:tc>
        <w:tc>
          <w:tcPr>
            <w:tcW w:w="1040" w:type="dxa"/>
            <w:tcBorders>
              <w:top w:val="nil"/>
              <w:bottom w:val="single" w:sz="4" w:space="0" w:color="auto"/>
            </w:tcBorders>
          </w:tcPr>
          <w:p w:rsidR="004E07E1" w:rsidRPr="00EF6C4E" w:rsidRDefault="004E07E1" w:rsidP="004E07E1">
            <w:pPr>
              <w:jc w:val="center"/>
              <w:rPr>
                <w:rFonts w:ascii="Calibri" w:hAnsi="Calibri" w:cs="Arial"/>
              </w:rPr>
            </w:pPr>
            <w:r w:rsidRPr="00EF6C4E">
              <w:rPr>
                <w:rFonts w:ascii="Calibri" w:hAnsi="Calibri" w:cs="Arial"/>
              </w:rPr>
              <w:t>-</w:t>
            </w:r>
          </w:p>
        </w:tc>
      </w:tr>
      <w:tr w:rsidR="004E07E1" w:rsidRPr="00EF6C4E" w:rsidTr="00115C2D">
        <w:tc>
          <w:tcPr>
            <w:tcW w:w="1208" w:type="dxa"/>
            <w:tcBorders>
              <w:bottom w:val="nil"/>
            </w:tcBorders>
            <w:vAlign w:val="bottom"/>
          </w:tcPr>
          <w:p w:rsidR="004E07E1" w:rsidRPr="00EF6C4E" w:rsidRDefault="004E07E1" w:rsidP="005C1295">
            <w:pPr>
              <w:rPr>
                <w:rFonts w:ascii="Calibri" w:hAnsi="Calibri" w:cs="Arial"/>
              </w:rPr>
            </w:pPr>
            <w:r w:rsidRPr="00EF6C4E">
              <w:rPr>
                <w:rFonts w:ascii="Calibri" w:hAnsi="Calibri" w:cs="Arial"/>
              </w:rPr>
              <w:t>Best case</w:t>
            </w:r>
          </w:p>
        </w:tc>
        <w:tc>
          <w:tcPr>
            <w:tcW w:w="1269"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90</w:t>
            </w:r>
          </w:p>
        </w:tc>
        <w:tc>
          <w:tcPr>
            <w:tcW w:w="1275"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bottom w:val="nil"/>
            </w:tcBorders>
          </w:tcPr>
          <w:p w:rsidR="004E07E1" w:rsidRPr="00EF6C4E" w:rsidRDefault="004E07E1" w:rsidP="00A45367">
            <w:pPr>
              <w:jc w:val="center"/>
              <w:rPr>
                <w:rFonts w:ascii="Calibri" w:hAnsi="Calibri"/>
              </w:rPr>
            </w:pPr>
            <w:r w:rsidRPr="00EF6C4E">
              <w:rPr>
                <w:rFonts w:ascii="Calibri" w:hAnsi="Calibri"/>
              </w:rPr>
              <w:t>16.2</w:t>
            </w:r>
          </w:p>
        </w:tc>
        <w:tc>
          <w:tcPr>
            <w:tcW w:w="1181" w:type="dxa"/>
            <w:tcBorders>
              <w:bottom w:val="nil"/>
            </w:tcBorders>
          </w:tcPr>
          <w:p w:rsidR="004E07E1" w:rsidRPr="00EF6C4E" w:rsidRDefault="004E07E1" w:rsidP="004E07E1">
            <w:pPr>
              <w:jc w:val="center"/>
              <w:rPr>
                <w:rFonts w:ascii="Calibri" w:hAnsi="Calibri"/>
              </w:rPr>
            </w:pPr>
            <w:r w:rsidRPr="00EF6C4E">
              <w:rPr>
                <w:rFonts w:ascii="Calibri" w:hAnsi="Calibri"/>
              </w:rPr>
              <w:t>27.1</w:t>
            </w:r>
          </w:p>
        </w:tc>
        <w:tc>
          <w:tcPr>
            <w:tcW w:w="1040" w:type="dxa"/>
            <w:tcBorders>
              <w:bottom w:val="nil"/>
            </w:tcBorders>
          </w:tcPr>
          <w:p w:rsidR="004E07E1" w:rsidRPr="00EF6C4E" w:rsidRDefault="004E07E1" w:rsidP="004E07E1">
            <w:pPr>
              <w:jc w:val="center"/>
              <w:rPr>
                <w:rFonts w:ascii="Calibri" w:hAnsi="Calibri"/>
              </w:rPr>
            </w:pPr>
            <w:r w:rsidRPr="00EF6C4E">
              <w:rPr>
                <w:rFonts w:ascii="Calibri" w:hAnsi="Calibri"/>
              </w:rPr>
              <w:t>1.04</w:t>
            </w:r>
          </w:p>
        </w:tc>
        <w:tc>
          <w:tcPr>
            <w:tcW w:w="1040" w:type="dxa"/>
            <w:tcBorders>
              <w:bottom w:val="nil"/>
            </w:tcBorders>
          </w:tcPr>
          <w:p w:rsidR="004E07E1" w:rsidRPr="00EF6C4E" w:rsidRDefault="004E07E1" w:rsidP="004E07E1">
            <w:pPr>
              <w:jc w:val="center"/>
              <w:rPr>
                <w:rFonts w:ascii="Calibri" w:hAnsi="Calibri"/>
              </w:rPr>
            </w:pPr>
            <w:r w:rsidRPr="00EF6C4E">
              <w:rPr>
                <w:rFonts w:ascii="Calibri" w:hAnsi="Calibri"/>
              </w:rPr>
              <w:t>1.04</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87.5</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15.9</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26.7</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1.04</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1.04</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75</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15.1</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25.1</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1.09</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1.09</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62.5</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14.2</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23.4</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1.15</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1.15</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50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13.3</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21.6</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1.24</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1.22</w:t>
            </w:r>
          </w:p>
        </w:tc>
      </w:tr>
      <w:tr w:rsidR="004E07E1" w:rsidRPr="00EF6C4E" w:rsidTr="00115C2D">
        <w:tc>
          <w:tcPr>
            <w:tcW w:w="1208" w:type="dxa"/>
            <w:tcBorders>
              <w:top w:val="nil"/>
              <w:bottom w:val="single" w:sz="4" w:space="0" w:color="auto"/>
            </w:tcBorders>
            <w:vAlign w:val="bottom"/>
          </w:tcPr>
          <w:p w:rsidR="004E07E1" w:rsidRPr="00EF6C4E" w:rsidRDefault="004E07E1" w:rsidP="005C1295">
            <w:pPr>
              <w:rPr>
                <w:rFonts w:ascii="Calibri" w:hAnsi="Calibri" w:cs="Arial"/>
              </w:rPr>
            </w:pPr>
          </w:p>
        </w:tc>
        <w:tc>
          <w:tcPr>
            <w:tcW w:w="1269" w:type="dxa"/>
            <w:tcBorders>
              <w:top w:val="nil"/>
              <w:bottom w:val="single" w:sz="4" w:space="0" w:color="auto"/>
            </w:tcBorders>
            <w:vAlign w:val="bottom"/>
          </w:tcPr>
          <w:p w:rsidR="004E07E1" w:rsidRPr="00EF6C4E" w:rsidRDefault="004E07E1" w:rsidP="005C1295">
            <w:pPr>
              <w:jc w:val="center"/>
              <w:rPr>
                <w:rFonts w:ascii="Calibri" w:hAnsi="Calibri" w:cs="Arial"/>
              </w:rPr>
            </w:pPr>
            <w:r w:rsidRPr="00EF6C4E">
              <w:rPr>
                <w:rFonts w:ascii="Calibri" w:hAnsi="Calibri" w:cs="Arial"/>
              </w:rPr>
              <w:t>37.5</w:t>
            </w:r>
          </w:p>
        </w:tc>
        <w:tc>
          <w:tcPr>
            <w:tcW w:w="1275" w:type="dxa"/>
            <w:tcBorders>
              <w:top w:val="nil"/>
              <w:bottom w:val="single" w:sz="4" w:space="0" w:color="auto"/>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81" w:type="dxa"/>
            <w:tcBorders>
              <w:top w:val="nil"/>
              <w:bottom w:val="single" w:sz="4" w:space="0" w:color="auto"/>
            </w:tcBorders>
          </w:tcPr>
          <w:p w:rsidR="004E07E1" w:rsidRPr="00EF6C4E" w:rsidRDefault="004E07E1" w:rsidP="00A45367">
            <w:pPr>
              <w:jc w:val="center"/>
              <w:rPr>
                <w:rFonts w:ascii="Calibri" w:hAnsi="Calibri"/>
              </w:rPr>
            </w:pPr>
            <w:r w:rsidRPr="00EF6C4E">
              <w:rPr>
                <w:rFonts w:ascii="Calibri" w:hAnsi="Calibri"/>
              </w:rPr>
              <w:t>12.3</w:t>
            </w:r>
          </w:p>
        </w:tc>
        <w:tc>
          <w:tcPr>
            <w:tcW w:w="1181" w:type="dxa"/>
            <w:tcBorders>
              <w:top w:val="nil"/>
              <w:bottom w:val="single" w:sz="4" w:space="0" w:color="auto"/>
            </w:tcBorders>
          </w:tcPr>
          <w:p w:rsidR="004E07E1" w:rsidRPr="00EF6C4E" w:rsidRDefault="004E07E1" w:rsidP="004E07E1">
            <w:pPr>
              <w:jc w:val="center"/>
              <w:rPr>
                <w:rFonts w:ascii="Calibri" w:hAnsi="Calibri"/>
              </w:rPr>
            </w:pPr>
            <w:r w:rsidRPr="00EF6C4E">
              <w:rPr>
                <w:rFonts w:ascii="Calibri" w:hAnsi="Calibri"/>
              </w:rPr>
              <w:t>19.8</w:t>
            </w:r>
          </w:p>
        </w:tc>
        <w:tc>
          <w:tcPr>
            <w:tcW w:w="1040" w:type="dxa"/>
            <w:tcBorders>
              <w:top w:val="nil"/>
              <w:bottom w:val="single" w:sz="4" w:space="0" w:color="auto"/>
            </w:tcBorders>
          </w:tcPr>
          <w:p w:rsidR="004E07E1" w:rsidRPr="00EF6C4E" w:rsidRDefault="004E07E1" w:rsidP="004E07E1">
            <w:pPr>
              <w:jc w:val="center"/>
              <w:rPr>
                <w:rFonts w:ascii="Calibri" w:hAnsi="Calibri"/>
              </w:rPr>
            </w:pPr>
            <w:r w:rsidRPr="00EF6C4E">
              <w:rPr>
                <w:rFonts w:ascii="Calibri" w:hAnsi="Calibri"/>
              </w:rPr>
              <w:t>1.35</w:t>
            </w:r>
          </w:p>
        </w:tc>
        <w:tc>
          <w:tcPr>
            <w:tcW w:w="1040" w:type="dxa"/>
            <w:tcBorders>
              <w:top w:val="nil"/>
              <w:bottom w:val="single" w:sz="4" w:space="0" w:color="auto"/>
            </w:tcBorders>
          </w:tcPr>
          <w:p w:rsidR="004E07E1" w:rsidRPr="00EF6C4E" w:rsidRDefault="004E07E1" w:rsidP="004E07E1">
            <w:pPr>
              <w:jc w:val="center"/>
              <w:rPr>
                <w:rFonts w:ascii="Calibri" w:hAnsi="Calibri"/>
              </w:rPr>
            </w:pPr>
            <w:r w:rsidRPr="00EF6C4E">
              <w:rPr>
                <w:rFonts w:ascii="Calibri" w:hAnsi="Calibri"/>
              </w:rPr>
              <w:t>1.33</w:t>
            </w:r>
          </w:p>
        </w:tc>
      </w:tr>
      <w:tr w:rsidR="004E07E1" w:rsidRPr="00EF6C4E" w:rsidTr="00115C2D">
        <w:tc>
          <w:tcPr>
            <w:tcW w:w="1208" w:type="dxa"/>
            <w:tcBorders>
              <w:bottom w:val="nil"/>
            </w:tcBorders>
            <w:vAlign w:val="bottom"/>
          </w:tcPr>
          <w:p w:rsidR="004E07E1" w:rsidRPr="00EF6C4E" w:rsidRDefault="004E07E1" w:rsidP="005C1295">
            <w:pPr>
              <w:rPr>
                <w:rFonts w:ascii="Calibri" w:hAnsi="Calibri" w:cs="Arial"/>
              </w:rPr>
            </w:pPr>
            <w:r w:rsidRPr="00EF6C4E">
              <w:rPr>
                <w:rFonts w:ascii="Calibri" w:hAnsi="Calibri" w:cs="Arial"/>
              </w:rPr>
              <w:t xml:space="preserve">Worst </w:t>
            </w:r>
          </w:p>
        </w:tc>
        <w:tc>
          <w:tcPr>
            <w:tcW w:w="1269"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75" w:type="dxa"/>
            <w:tcBorders>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60</w:t>
            </w:r>
          </w:p>
        </w:tc>
        <w:tc>
          <w:tcPr>
            <w:tcW w:w="1281" w:type="dxa"/>
            <w:tcBorders>
              <w:bottom w:val="nil"/>
            </w:tcBorders>
          </w:tcPr>
          <w:p w:rsidR="004E07E1" w:rsidRPr="00EF6C4E" w:rsidRDefault="004E07E1" w:rsidP="00A45367">
            <w:pPr>
              <w:jc w:val="center"/>
              <w:rPr>
                <w:rFonts w:ascii="Calibri" w:hAnsi="Calibri"/>
              </w:rPr>
            </w:pPr>
            <w:r w:rsidRPr="00EF6C4E">
              <w:rPr>
                <w:rFonts w:ascii="Calibri" w:hAnsi="Calibri"/>
              </w:rPr>
              <w:t>13.3</w:t>
            </w:r>
          </w:p>
        </w:tc>
        <w:tc>
          <w:tcPr>
            <w:tcW w:w="1181" w:type="dxa"/>
            <w:tcBorders>
              <w:bottom w:val="nil"/>
            </w:tcBorders>
          </w:tcPr>
          <w:p w:rsidR="004E07E1" w:rsidRPr="00EF6C4E" w:rsidRDefault="004E07E1" w:rsidP="004E07E1">
            <w:pPr>
              <w:jc w:val="center"/>
              <w:rPr>
                <w:rFonts w:ascii="Calibri" w:hAnsi="Calibri"/>
              </w:rPr>
            </w:pPr>
            <w:r w:rsidRPr="00EF6C4E">
              <w:rPr>
                <w:rFonts w:ascii="Calibri" w:hAnsi="Calibri"/>
              </w:rPr>
              <w:t>22.9</w:t>
            </w:r>
          </w:p>
        </w:tc>
        <w:tc>
          <w:tcPr>
            <w:tcW w:w="1040" w:type="dxa"/>
            <w:tcBorders>
              <w:bottom w:val="nil"/>
            </w:tcBorders>
          </w:tcPr>
          <w:p w:rsidR="004E07E1" w:rsidRPr="00EF6C4E" w:rsidRDefault="004E07E1" w:rsidP="004E07E1">
            <w:pPr>
              <w:jc w:val="center"/>
              <w:rPr>
                <w:rFonts w:ascii="Calibri" w:hAnsi="Calibri"/>
              </w:rPr>
            </w:pPr>
            <w:r w:rsidRPr="00EF6C4E">
              <w:rPr>
                <w:rFonts w:ascii="Calibri" w:hAnsi="Calibri"/>
              </w:rPr>
              <w:t>0.85</w:t>
            </w:r>
          </w:p>
        </w:tc>
        <w:tc>
          <w:tcPr>
            <w:tcW w:w="1040" w:type="dxa"/>
            <w:tcBorders>
              <w:bottom w:val="nil"/>
            </w:tcBorders>
          </w:tcPr>
          <w:p w:rsidR="004E07E1" w:rsidRPr="00EF6C4E" w:rsidRDefault="004E07E1" w:rsidP="004E07E1">
            <w:pPr>
              <w:jc w:val="center"/>
              <w:rPr>
                <w:rFonts w:ascii="Calibri" w:hAnsi="Calibri"/>
              </w:rPr>
            </w:pPr>
            <w:r w:rsidRPr="00EF6C4E">
              <w:rPr>
                <w:rFonts w:ascii="Calibri" w:hAnsi="Calibri"/>
              </w:rPr>
              <w:t>0.88</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r w:rsidRPr="00EF6C4E">
              <w:rPr>
                <w:rFonts w:ascii="Calibri" w:hAnsi="Calibri" w:cs="Arial"/>
              </w:rPr>
              <w:t>case</w:t>
            </w: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50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12.6</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21.8</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0.82</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0.85</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100</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7.7</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14.9</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0.56</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0.65</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87.5</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6.9</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13.1</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0.56</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0.65</w:t>
            </w:r>
          </w:p>
        </w:tc>
      </w:tr>
      <w:tr w:rsidR="004E07E1" w:rsidRPr="00EF6C4E" w:rsidTr="00115C2D">
        <w:tc>
          <w:tcPr>
            <w:tcW w:w="1208" w:type="dxa"/>
            <w:tcBorders>
              <w:top w:val="nil"/>
              <w:bottom w:val="nil"/>
            </w:tcBorders>
            <w:vAlign w:val="bottom"/>
          </w:tcPr>
          <w:p w:rsidR="004E07E1" w:rsidRPr="00EF6C4E" w:rsidRDefault="004E07E1" w:rsidP="005C1295">
            <w:pPr>
              <w:rPr>
                <w:rFonts w:ascii="Calibri" w:hAnsi="Calibri" w:cs="Arial"/>
              </w:rPr>
            </w:pPr>
          </w:p>
        </w:tc>
        <w:tc>
          <w:tcPr>
            <w:tcW w:w="1269"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75</w:t>
            </w:r>
          </w:p>
        </w:tc>
        <w:tc>
          <w:tcPr>
            <w:tcW w:w="1275" w:type="dxa"/>
            <w:tcBorders>
              <w:top w:val="nil"/>
              <w:bottom w:val="nil"/>
            </w:tcBorders>
            <w:vAlign w:val="bottom"/>
          </w:tcPr>
          <w:p w:rsidR="004E07E1" w:rsidRPr="00EF6C4E" w:rsidRDefault="004E07E1" w:rsidP="005C1295">
            <w:pPr>
              <w:jc w:val="center"/>
              <w:rPr>
                <w:rFonts w:ascii="Calibri" w:hAnsi="Calibri" w:cs="Arial"/>
              </w:rPr>
            </w:pPr>
            <w:r w:rsidRPr="00EF6C4E">
              <w:rPr>
                <w:rFonts w:ascii="Calibri" w:hAnsi="Calibri" w:cs="Arial"/>
              </w:rPr>
              <w:t>0</w:t>
            </w:r>
          </w:p>
        </w:tc>
        <w:tc>
          <w:tcPr>
            <w:tcW w:w="1281" w:type="dxa"/>
            <w:tcBorders>
              <w:top w:val="nil"/>
              <w:bottom w:val="nil"/>
            </w:tcBorders>
          </w:tcPr>
          <w:p w:rsidR="004E07E1" w:rsidRPr="00EF6C4E" w:rsidRDefault="004E07E1" w:rsidP="00A45367">
            <w:pPr>
              <w:jc w:val="center"/>
              <w:rPr>
                <w:rFonts w:ascii="Calibri" w:hAnsi="Calibri"/>
              </w:rPr>
            </w:pPr>
            <w:r w:rsidRPr="00EF6C4E">
              <w:rPr>
                <w:rFonts w:ascii="Calibri" w:hAnsi="Calibri"/>
              </w:rPr>
              <w:t>6.0</w:t>
            </w:r>
          </w:p>
        </w:tc>
        <w:tc>
          <w:tcPr>
            <w:tcW w:w="1181" w:type="dxa"/>
            <w:tcBorders>
              <w:top w:val="nil"/>
              <w:bottom w:val="nil"/>
            </w:tcBorders>
          </w:tcPr>
          <w:p w:rsidR="004E07E1" w:rsidRPr="00EF6C4E" w:rsidRDefault="004E07E1" w:rsidP="004E07E1">
            <w:pPr>
              <w:jc w:val="center"/>
              <w:rPr>
                <w:rFonts w:ascii="Calibri" w:hAnsi="Calibri"/>
              </w:rPr>
            </w:pPr>
            <w:r w:rsidRPr="00EF6C4E">
              <w:rPr>
                <w:rFonts w:ascii="Calibri" w:hAnsi="Calibri"/>
              </w:rPr>
              <w:t>11.4</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0.56</w:t>
            </w:r>
          </w:p>
        </w:tc>
        <w:tc>
          <w:tcPr>
            <w:tcW w:w="1040" w:type="dxa"/>
            <w:tcBorders>
              <w:top w:val="nil"/>
              <w:bottom w:val="nil"/>
            </w:tcBorders>
          </w:tcPr>
          <w:p w:rsidR="004E07E1" w:rsidRPr="00EF6C4E" w:rsidRDefault="004E07E1" w:rsidP="004E07E1">
            <w:pPr>
              <w:jc w:val="center"/>
              <w:rPr>
                <w:rFonts w:ascii="Calibri" w:hAnsi="Calibri"/>
              </w:rPr>
            </w:pPr>
            <w:r w:rsidRPr="00EF6C4E">
              <w:rPr>
                <w:rFonts w:ascii="Calibri" w:hAnsi="Calibri"/>
              </w:rPr>
              <w:t>0.64</w:t>
            </w:r>
          </w:p>
        </w:tc>
      </w:tr>
      <w:tr w:rsidR="004E07E1" w:rsidRPr="00EF6C4E" w:rsidTr="00115C2D">
        <w:tc>
          <w:tcPr>
            <w:tcW w:w="1208" w:type="dxa"/>
            <w:tcBorders>
              <w:top w:val="nil"/>
            </w:tcBorders>
            <w:vAlign w:val="bottom"/>
          </w:tcPr>
          <w:p w:rsidR="004E07E1" w:rsidRPr="00EF6C4E" w:rsidRDefault="004E07E1" w:rsidP="005C1295">
            <w:pPr>
              <w:rPr>
                <w:rFonts w:ascii="Calibri" w:hAnsi="Calibri" w:cs="Arial"/>
              </w:rPr>
            </w:pPr>
          </w:p>
        </w:tc>
        <w:tc>
          <w:tcPr>
            <w:tcW w:w="1269" w:type="dxa"/>
            <w:tcBorders>
              <w:top w:val="nil"/>
            </w:tcBorders>
            <w:vAlign w:val="bottom"/>
          </w:tcPr>
          <w:p w:rsidR="004E07E1" w:rsidRPr="00EF6C4E" w:rsidRDefault="004E07E1" w:rsidP="005C1295">
            <w:pPr>
              <w:jc w:val="center"/>
              <w:rPr>
                <w:rFonts w:ascii="Calibri" w:hAnsi="Calibri" w:cs="Arial"/>
              </w:rPr>
            </w:pPr>
            <w:r w:rsidRPr="00EF6C4E">
              <w:rPr>
                <w:rFonts w:ascii="Calibri" w:hAnsi="Calibri" w:cs="Arial"/>
              </w:rPr>
              <w:t>62.5</w:t>
            </w:r>
          </w:p>
        </w:tc>
        <w:tc>
          <w:tcPr>
            <w:tcW w:w="1275" w:type="dxa"/>
            <w:tcBorders>
              <w:top w:val="nil"/>
            </w:tcBorders>
            <w:vAlign w:val="bottom"/>
          </w:tcPr>
          <w:p w:rsidR="004E07E1" w:rsidRPr="00EF6C4E" w:rsidRDefault="004E07E1" w:rsidP="005C1295">
            <w:pPr>
              <w:jc w:val="center"/>
              <w:rPr>
                <w:rFonts w:ascii="Calibri" w:hAnsi="Calibri" w:cs="Arial"/>
              </w:rPr>
            </w:pPr>
            <w:r w:rsidRPr="00EF6C4E">
              <w:rPr>
                <w:rFonts w:ascii="Calibri" w:hAnsi="Calibri" w:cs="Arial"/>
              </w:rPr>
              <w:t>0</w:t>
            </w:r>
          </w:p>
        </w:tc>
        <w:tc>
          <w:tcPr>
            <w:tcW w:w="1281" w:type="dxa"/>
            <w:tcBorders>
              <w:top w:val="nil"/>
            </w:tcBorders>
          </w:tcPr>
          <w:p w:rsidR="004E07E1" w:rsidRPr="00EF6C4E" w:rsidRDefault="004E07E1" w:rsidP="00A45367">
            <w:pPr>
              <w:jc w:val="center"/>
              <w:rPr>
                <w:rFonts w:ascii="Calibri" w:hAnsi="Calibri"/>
              </w:rPr>
            </w:pPr>
            <w:r w:rsidRPr="00EF6C4E">
              <w:rPr>
                <w:rFonts w:ascii="Calibri" w:hAnsi="Calibri"/>
              </w:rPr>
              <w:t>5.1</w:t>
            </w:r>
          </w:p>
        </w:tc>
        <w:tc>
          <w:tcPr>
            <w:tcW w:w="1181" w:type="dxa"/>
            <w:tcBorders>
              <w:top w:val="nil"/>
            </w:tcBorders>
          </w:tcPr>
          <w:p w:rsidR="004E07E1" w:rsidRPr="00EF6C4E" w:rsidRDefault="004E07E1" w:rsidP="004E07E1">
            <w:pPr>
              <w:jc w:val="center"/>
              <w:rPr>
                <w:rFonts w:ascii="Calibri" w:hAnsi="Calibri"/>
              </w:rPr>
            </w:pPr>
            <w:r w:rsidRPr="00EF6C4E">
              <w:rPr>
                <w:rFonts w:ascii="Calibri" w:hAnsi="Calibri"/>
              </w:rPr>
              <w:t>9.7</w:t>
            </w:r>
          </w:p>
        </w:tc>
        <w:tc>
          <w:tcPr>
            <w:tcW w:w="1040" w:type="dxa"/>
            <w:tcBorders>
              <w:top w:val="nil"/>
            </w:tcBorders>
          </w:tcPr>
          <w:p w:rsidR="004E07E1" w:rsidRPr="00EF6C4E" w:rsidRDefault="004E07E1" w:rsidP="004E07E1">
            <w:pPr>
              <w:jc w:val="center"/>
              <w:rPr>
                <w:rFonts w:ascii="Calibri" w:hAnsi="Calibri"/>
              </w:rPr>
            </w:pPr>
            <w:r w:rsidRPr="00EF6C4E">
              <w:rPr>
                <w:rFonts w:ascii="Calibri" w:hAnsi="Calibri"/>
              </w:rPr>
              <w:t>0.56</w:t>
            </w:r>
          </w:p>
        </w:tc>
        <w:tc>
          <w:tcPr>
            <w:tcW w:w="1040" w:type="dxa"/>
            <w:tcBorders>
              <w:top w:val="nil"/>
            </w:tcBorders>
          </w:tcPr>
          <w:p w:rsidR="004E07E1" w:rsidRPr="00EF6C4E" w:rsidRDefault="004E07E1" w:rsidP="004E07E1">
            <w:pPr>
              <w:jc w:val="center"/>
              <w:rPr>
                <w:rFonts w:ascii="Calibri" w:hAnsi="Calibri"/>
              </w:rPr>
            </w:pPr>
            <w:r w:rsidRPr="00EF6C4E">
              <w:rPr>
                <w:rFonts w:ascii="Calibri" w:hAnsi="Calibri"/>
              </w:rPr>
              <w:t>0.65</w:t>
            </w:r>
          </w:p>
        </w:tc>
      </w:tr>
    </w:tbl>
    <w:p w:rsidR="008A3851" w:rsidRPr="00EF6C4E" w:rsidRDefault="00845607" w:rsidP="00415958">
      <w:pPr>
        <w:spacing w:line="360" w:lineRule="auto"/>
        <w:rPr>
          <w:rFonts w:ascii="Calibri" w:hAnsi="Calibri"/>
          <w:sz w:val="24"/>
        </w:rPr>
      </w:pPr>
      <w:r w:rsidRPr="00EF6C4E">
        <w:rPr>
          <w:rFonts w:ascii="Calibri" w:hAnsi="Calibri"/>
          <w:sz w:val="24"/>
        </w:rPr>
        <w:t>* relative protective efficacy compared to scenario with equal coverage of children of low and high exposure status.</w:t>
      </w:r>
    </w:p>
    <w:p w:rsidR="00415958" w:rsidRPr="00EF6C4E" w:rsidRDefault="005E17B8" w:rsidP="00415958">
      <w:pPr>
        <w:spacing w:line="360" w:lineRule="auto"/>
        <w:rPr>
          <w:rFonts w:ascii="Calibri" w:hAnsi="Calibri"/>
          <w:b/>
          <w:sz w:val="24"/>
        </w:rPr>
      </w:pPr>
      <w:r w:rsidRPr="00EF6C4E">
        <w:rPr>
          <w:rFonts w:ascii="Calibri" w:hAnsi="Calibri"/>
          <w:b/>
          <w:sz w:val="24"/>
        </w:rPr>
        <w:br w:type="page"/>
      </w:r>
      <w:r w:rsidR="00415958" w:rsidRPr="00EF6C4E">
        <w:rPr>
          <w:rFonts w:ascii="Calibri" w:hAnsi="Calibri"/>
          <w:b/>
          <w:sz w:val="24"/>
        </w:rPr>
        <w:lastRenderedPageBreak/>
        <w:t xml:space="preserve">Figure </w:t>
      </w:r>
      <w:r w:rsidR="0068531B" w:rsidRPr="00EF6C4E">
        <w:rPr>
          <w:rFonts w:ascii="Calibri" w:hAnsi="Calibri"/>
          <w:b/>
          <w:sz w:val="24"/>
        </w:rPr>
        <w:t>S11</w:t>
      </w:r>
      <w:r w:rsidR="00B96760" w:rsidRPr="00EF6C4E">
        <w:rPr>
          <w:rFonts w:ascii="Calibri" w:hAnsi="Calibri"/>
          <w:b/>
          <w:sz w:val="24"/>
          <w:szCs w:val="22"/>
        </w:rPr>
        <w:t>.</w:t>
      </w:r>
      <w:r w:rsidR="00415958" w:rsidRPr="00EF6C4E">
        <w:rPr>
          <w:rFonts w:ascii="Calibri" w:hAnsi="Calibri"/>
          <w:b/>
          <w:sz w:val="24"/>
        </w:rPr>
        <w:t xml:space="preserve"> Effect of coverage on protective efficacy of IPT</w:t>
      </w:r>
    </w:p>
    <w:p w:rsidR="00415958" w:rsidRPr="00EF6C4E" w:rsidRDefault="00CF0BDC" w:rsidP="00415958">
      <w:pPr>
        <w:rPr>
          <w:rFonts w:ascii="Calibri" w:hAnsi="Calibri"/>
          <w:sz w:val="24"/>
        </w:rPr>
      </w:pPr>
      <w:r w:rsidRPr="00EF6C4E">
        <w:rPr>
          <w:rFonts w:ascii="Calibri" w:hAnsi="Calibri"/>
          <w:sz w:val="24"/>
        </w:rPr>
        <w:object w:dxaOrig="9780" w:dyaOrig="5669">
          <v:shape id="_x0000_i1048" type="#_x0000_t75" style="width:490.1pt;height:282.95pt" o:ole="">
            <v:imagedata r:id="rId30" o:title=""/>
          </v:shape>
          <o:OLEObject Type="Embed" ProgID="Excel.Sheet.8" ShapeID="_x0000_i1048" DrawAspect="Content" ObjectID="_1362734386" r:id="rId31"/>
        </w:object>
      </w:r>
    </w:p>
    <w:p w:rsidR="00415958" w:rsidRPr="00EF6C4E" w:rsidRDefault="00415958" w:rsidP="00415958">
      <w:pPr>
        <w:rPr>
          <w:rFonts w:ascii="Calibri" w:hAnsi="Calibri"/>
          <w:sz w:val="24"/>
        </w:rPr>
      </w:pPr>
      <w:r w:rsidRPr="00EF6C4E">
        <w:rPr>
          <w:rFonts w:ascii="Calibri" w:hAnsi="Calibri"/>
          <w:sz w:val="24"/>
        </w:rPr>
        <w:t xml:space="preserve">The figure shows effect of reducing levels of coverage for </w:t>
      </w:r>
      <w:r w:rsidR="00F0440C" w:rsidRPr="00EF6C4E">
        <w:rPr>
          <w:rFonts w:ascii="Calibri" w:hAnsi="Calibri"/>
          <w:sz w:val="24"/>
        </w:rPr>
        <w:t>IPTi</w:t>
      </w:r>
      <w:r w:rsidRPr="00EF6C4E">
        <w:rPr>
          <w:rFonts w:ascii="Calibri" w:hAnsi="Calibri"/>
          <w:sz w:val="24"/>
        </w:rPr>
        <w:t xml:space="preserve"> and four doses of seasonal IPT from the levels seen in the IPTi trial (92%). Three scenarios are shown. ‘Equal’ indicates that coverage remains the same in both groups as coverage decreases. ‘Best case’ indicates the efficacy if coverage remains at 100% for highly exposed children despite reduced coverage overall. ‘Worst case’ indicates efficacy if coverage falls first in the 20% of children who are highly exposed, hence the steep decline in efficacy until coverage falls to 80%.</w:t>
      </w: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p>
    <w:p w:rsidR="00415958" w:rsidRPr="00EF6C4E" w:rsidRDefault="00415958" w:rsidP="00415958">
      <w:pPr>
        <w:spacing w:line="360" w:lineRule="auto"/>
        <w:rPr>
          <w:rFonts w:ascii="Calibri" w:hAnsi="Calibri"/>
          <w:b/>
          <w:sz w:val="24"/>
          <w:szCs w:val="22"/>
        </w:rPr>
      </w:pPr>
      <w:r w:rsidRPr="00EF6C4E">
        <w:rPr>
          <w:rFonts w:ascii="Calibri" w:hAnsi="Calibri"/>
          <w:b/>
          <w:szCs w:val="22"/>
        </w:rPr>
        <w:br w:type="page"/>
      </w:r>
      <w:r w:rsidRPr="00EF6C4E">
        <w:rPr>
          <w:rFonts w:ascii="Calibri" w:hAnsi="Calibri"/>
          <w:b/>
          <w:sz w:val="24"/>
          <w:szCs w:val="22"/>
        </w:rPr>
        <w:lastRenderedPageBreak/>
        <w:t>Effect of long-acting drugs for IPT</w:t>
      </w:r>
    </w:p>
    <w:p w:rsidR="00415958" w:rsidRPr="00EF6C4E" w:rsidRDefault="00415958" w:rsidP="00415958">
      <w:pPr>
        <w:spacing w:line="360" w:lineRule="auto"/>
        <w:rPr>
          <w:rFonts w:ascii="Calibri" w:hAnsi="Calibri"/>
          <w:sz w:val="24"/>
          <w:szCs w:val="22"/>
        </w:rPr>
      </w:pPr>
      <w:r w:rsidRPr="00EF6C4E">
        <w:rPr>
          <w:rFonts w:ascii="Calibri" w:hAnsi="Calibri" w:cs="Arial"/>
          <w:sz w:val="24"/>
          <w:lang w:val="en-US"/>
        </w:rPr>
        <w:t xml:space="preserve">Seasonal IPT would remain more efficacious than </w:t>
      </w:r>
      <w:r w:rsidR="00F0440C" w:rsidRPr="00EF6C4E">
        <w:rPr>
          <w:rFonts w:ascii="Calibri" w:hAnsi="Calibri" w:cs="Arial"/>
          <w:sz w:val="24"/>
          <w:lang w:val="en-US"/>
        </w:rPr>
        <w:t>IPTi</w:t>
      </w:r>
      <w:r w:rsidRPr="00EF6C4E">
        <w:rPr>
          <w:rFonts w:ascii="Calibri" w:hAnsi="Calibri" w:cs="Arial"/>
          <w:sz w:val="24"/>
          <w:lang w:val="en-US"/>
        </w:rPr>
        <w:t xml:space="preserve"> even if the drug used for IPT is longer-acting (</w:t>
      </w:r>
      <w:r w:rsidR="00F0440C" w:rsidRPr="00EF6C4E">
        <w:rPr>
          <w:rFonts w:ascii="Calibri" w:hAnsi="Calibri" w:cs="Arial"/>
          <w:sz w:val="24"/>
          <w:lang w:val="en-US"/>
        </w:rPr>
        <w:t xml:space="preserve">table </w:t>
      </w:r>
      <w:r w:rsidR="00845607" w:rsidRPr="00EF6C4E">
        <w:rPr>
          <w:rFonts w:ascii="Calibri" w:hAnsi="Calibri" w:cs="Arial"/>
          <w:sz w:val="24"/>
          <w:lang w:val="en-US"/>
        </w:rPr>
        <w:t>S6</w:t>
      </w:r>
      <w:r w:rsidRPr="00EF6C4E">
        <w:rPr>
          <w:rFonts w:ascii="Calibri" w:hAnsi="Calibri" w:cs="Arial"/>
          <w:sz w:val="24"/>
          <w:lang w:val="en-US"/>
        </w:rPr>
        <w:t>). However, the benefits of seasonally-targeted treatment become smaller. With a drug which lasts twice as long as SP, the best four-dose seasonal IPT strategy would still be almost half again as effective. For a drug with a mean duration of protection of 90 days (three times as long as SP and longer than any regimens currently available) there is still a clear improvement from using seasonally targeted IPT.</w:t>
      </w:r>
    </w:p>
    <w:p w:rsidR="00415958" w:rsidRPr="00EF6C4E" w:rsidRDefault="00415958" w:rsidP="00415958">
      <w:pPr>
        <w:spacing w:line="360" w:lineRule="auto"/>
        <w:rPr>
          <w:rFonts w:ascii="Calibri" w:hAnsi="Calibri"/>
          <w:sz w:val="24"/>
          <w:szCs w:val="22"/>
        </w:rPr>
      </w:pPr>
    </w:p>
    <w:p w:rsidR="00415958" w:rsidRPr="00EF6C4E" w:rsidRDefault="00415958" w:rsidP="00415958">
      <w:pPr>
        <w:spacing w:line="360" w:lineRule="auto"/>
        <w:rPr>
          <w:rFonts w:ascii="Calibri" w:hAnsi="Calibri" w:cs="Arial"/>
          <w:sz w:val="24"/>
          <w:lang w:val="en-US"/>
        </w:rPr>
      </w:pPr>
      <w:r w:rsidRPr="00EF6C4E">
        <w:rPr>
          <w:rFonts w:ascii="Calibri" w:hAnsi="Calibri" w:cs="Arial"/>
          <w:b/>
          <w:sz w:val="24"/>
          <w:lang w:val="en-US"/>
        </w:rPr>
        <w:t>Table</w:t>
      </w:r>
      <w:r w:rsidR="00B96760" w:rsidRPr="00EF6C4E">
        <w:rPr>
          <w:rFonts w:ascii="Calibri" w:hAnsi="Calibri"/>
          <w:b/>
          <w:sz w:val="24"/>
          <w:szCs w:val="22"/>
        </w:rPr>
        <w:t xml:space="preserve"> </w:t>
      </w:r>
      <w:r w:rsidR="0068531B" w:rsidRPr="00EF6C4E">
        <w:rPr>
          <w:rFonts w:ascii="Calibri" w:hAnsi="Calibri"/>
          <w:b/>
          <w:sz w:val="24"/>
          <w:szCs w:val="22"/>
        </w:rPr>
        <w:t>S6</w:t>
      </w:r>
      <w:r w:rsidR="00B96760" w:rsidRPr="00EF6C4E">
        <w:rPr>
          <w:rFonts w:ascii="Calibri" w:hAnsi="Calibri"/>
          <w:b/>
          <w:sz w:val="24"/>
          <w:szCs w:val="22"/>
        </w:rPr>
        <w:t xml:space="preserve">. </w:t>
      </w:r>
      <w:r w:rsidRPr="00EF6C4E">
        <w:rPr>
          <w:rFonts w:ascii="Calibri" w:hAnsi="Calibri" w:cs="Arial"/>
          <w:b/>
          <w:sz w:val="24"/>
          <w:lang w:val="en-US"/>
        </w:rPr>
        <w:t xml:space="preserve">Protective efficacy of </w:t>
      </w:r>
      <w:r w:rsidR="00F0440C" w:rsidRPr="00EF6C4E">
        <w:rPr>
          <w:rFonts w:ascii="Calibri" w:hAnsi="Calibri" w:cs="Arial"/>
          <w:b/>
          <w:sz w:val="24"/>
          <w:lang w:val="en-US"/>
        </w:rPr>
        <w:t>IPTi</w:t>
      </w:r>
      <w:r w:rsidRPr="00EF6C4E">
        <w:rPr>
          <w:rFonts w:ascii="Calibri" w:hAnsi="Calibri" w:cs="Arial"/>
          <w:b/>
          <w:sz w:val="24"/>
          <w:lang w:val="en-US"/>
        </w:rPr>
        <w:t xml:space="preserve"> and sIPT with longer acting IPT drugs</w:t>
      </w:r>
    </w:p>
    <w:tbl>
      <w:tblPr>
        <w:tblW w:w="7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42"/>
        <w:gridCol w:w="3686"/>
        <w:gridCol w:w="1089"/>
        <w:gridCol w:w="1075"/>
      </w:tblGrid>
      <w:tr w:rsidR="003E68FD" w:rsidRPr="00EF6C4E" w:rsidTr="00EF6C4E">
        <w:tc>
          <w:tcPr>
            <w:tcW w:w="1242" w:type="dxa"/>
            <w:tcBorders>
              <w:bottom w:val="single" w:sz="4" w:space="0" w:color="auto"/>
            </w:tcBorders>
            <w:vAlign w:val="bottom"/>
          </w:tcPr>
          <w:p w:rsidR="003E68FD" w:rsidRPr="00EF6C4E" w:rsidRDefault="003E68FD" w:rsidP="00415958">
            <w:pPr>
              <w:rPr>
                <w:rFonts w:ascii="Calibri" w:hAnsi="Calibri" w:cs="Arial"/>
                <w:sz w:val="24"/>
              </w:rPr>
            </w:pPr>
            <w:r w:rsidRPr="00EF6C4E">
              <w:rPr>
                <w:rFonts w:ascii="Calibri" w:hAnsi="Calibri" w:cs="Arial"/>
                <w:sz w:val="24"/>
              </w:rPr>
              <w:t xml:space="preserve">Mean duration of IPT protection </w:t>
            </w:r>
          </w:p>
        </w:tc>
        <w:tc>
          <w:tcPr>
            <w:tcW w:w="3686" w:type="dxa"/>
            <w:tcBorders>
              <w:bottom w:val="single" w:sz="4" w:space="0" w:color="auto"/>
            </w:tcBorders>
            <w:vAlign w:val="bottom"/>
          </w:tcPr>
          <w:p w:rsidR="003E68FD" w:rsidRPr="00EF6C4E" w:rsidRDefault="003E68FD" w:rsidP="00415958">
            <w:pPr>
              <w:rPr>
                <w:rFonts w:ascii="Calibri" w:hAnsi="Calibri" w:cs="Arial"/>
                <w:sz w:val="24"/>
              </w:rPr>
            </w:pPr>
            <w:r w:rsidRPr="00EF6C4E">
              <w:rPr>
                <w:rFonts w:ascii="Calibri" w:hAnsi="Calibri" w:cs="Arial"/>
                <w:sz w:val="24"/>
              </w:rPr>
              <w:t>Scenario</w:t>
            </w:r>
          </w:p>
        </w:tc>
        <w:tc>
          <w:tcPr>
            <w:tcW w:w="1089" w:type="dxa"/>
            <w:tcBorders>
              <w:bottom w:val="single" w:sz="4" w:space="0" w:color="auto"/>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PE at 24 months of age</w:t>
            </w:r>
          </w:p>
        </w:tc>
        <w:tc>
          <w:tcPr>
            <w:tcW w:w="1075" w:type="dxa"/>
            <w:tcBorders>
              <w:bottom w:val="single" w:sz="4" w:space="0" w:color="auto"/>
            </w:tcBorders>
            <w:vAlign w:val="bottom"/>
          </w:tcPr>
          <w:p w:rsidR="003E68FD" w:rsidRPr="00EF6C4E" w:rsidRDefault="003E68FD" w:rsidP="00415958">
            <w:pPr>
              <w:jc w:val="right"/>
              <w:rPr>
                <w:rFonts w:ascii="Calibri" w:hAnsi="Calibri" w:cs="Arial"/>
                <w:sz w:val="24"/>
              </w:rPr>
            </w:pPr>
          </w:p>
          <w:p w:rsidR="003E68FD" w:rsidRPr="00EF6C4E" w:rsidRDefault="003E68FD" w:rsidP="00415958">
            <w:pPr>
              <w:jc w:val="right"/>
              <w:rPr>
                <w:rFonts w:ascii="Calibri" w:hAnsi="Calibri" w:cs="Arial"/>
                <w:sz w:val="24"/>
              </w:rPr>
            </w:pPr>
            <w:r w:rsidRPr="00EF6C4E">
              <w:rPr>
                <w:rFonts w:ascii="Calibri" w:hAnsi="Calibri" w:cs="Arial"/>
                <w:sz w:val="24"/>
              </w:rPr>
              <w:t>Relative PE</w:t>
            </w:r>
          </w:p>
        </w:tc>
      </w:tr>
      <w:tr w:rsidR="003E68FD" w:rsidRPr="00EF6C4E" w:rsidTr="00EF6C4E">
        <w:tc>
          <w:tcPr>
            <w:tcW w:w="1242"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30 days</w:t>
            </w:r>
          </w:p>
        </w:tc>
        <w:tc>
          <w:tcPr>
            <w:tcW w:w="3686"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IPTi</w:t>
            </w:r>
          </w:p>
        </w:tc>
        <w:tc>
          <w:tcPr>
            <w:tcW w:w="1089"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15.6</w:t>
            </w:r>
          </w:p>
        </w:tc>
        <w:tc>
          <w:tcPr>
            <w:tcW w:w="1075"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w:t>
            </w:r>
          </w:p>
        </w:tc>
      </w:tr>
      <w:tr w:rsidR="003E68FD" w:rsidRPr="00EF6C4E" w:rsidTr="00EF6C4E">
        <w:tc>
          <w:tcPr>
            <w:tcW w:w="1242" w:type="dxa"/>
            <w:tcBorders>
              <w:top w:val="nil"/>
              <w:bottom w:val="nil"/>
            </w:tcBorders>
            <w:vAlign w:val="bottom"/>
          </w:tcPr>
          <w:p w:rsidR="003E68FD" w:rsidRPr="00EF6C4E" w:rsidRDefault="003E68FD" w:rsidP="00415958">
            <w:pPr>
              <w:rPr>
                <w:rFonts w:ascii="Calibri" w:hAnsi="Calibri" w:cs="Arial"/>
                <w:sz w:val="24"/>
              </w:rPr>
            </w:pPr>
          </w:p>
        </w:tc>
        <w:tc>
          <w:tcPr>
            <w:tcW w:w="3686" w:type="dxa"/>
            <w:tcBorders>
              <w:top w:val="nil"/>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 xml:space="preserve">sIPT optimum start time </w:t>
            </w:r>
          </w:p>
        </w:tc>
        <w:tc>
          <w:tcPr>
            <w:tcW w:w="1089"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20.9</w:t>
            </w:r>
          </w:p>
        </w:tc>
        <w:tc>
          <w:tcPr>
            <w:tcW w:w="1075"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1.34</w:t>
            </w:r>
          </w:p>
        </w:tc>
      </w:tr>
      <w:tr w:rsidR="003E68FD" w:rsidRPr="00EF6C4E" w:rsidTr="00EF6C4E">
        <w:tc>
          <w:tcPr>
            <w:tcW w:w="1242" w:type="dxa"/>
            <w:tcBorders>
              <w:top w:val="nil"/>
              <w:bottom w:val="single" w:sz="4" w:space="0" w:color="auto"/>
            </w:tcBorders>
            <w:vAlign w:val="bottom"/>
          </w:tcPr>
          <w:p w:rsidR="003E68FD" w:rsidRPr="00EF6C4E" w:rsidRDefault="003E68FD" w:rsidP="00415958">
            <w:pPr>
              <w:rPr>
                <w:rFonts w:ascii="Calibri" w:hAnsi="Calibri" w:cs="Arial"/>
                <w:sz w:val="24"/>
              </w:rPr>
            </w:pPr>
          </w:p>
        </w:tc>
        <w:tc>
          <w:tcPr>
            <w:tcW w:w="3686" w:type="dxa"/>
            <w:tcBorders>
              <w:top w:val="nil"/>
              <w:bottom w:val="single" w:sz="4" w:space="0" w:color="auto"/>
            </w:tcBorders>
            <w:vAlign w:val="bottom"/>
          </w:tcPr>
          <w:p w:rsidR="003E68FD" w:rsidRPr="00EF6C4E" w:rsidRDefault="003E68FD" w:rsidP="00415958">
            <w:pPr>
              <w:rPr>
                <w:rFonts w:ascii="Calibri" w:hAnsi="Calibri" w:cs="Arial"/>
                <w:sz w:val="24"/>
              </w:rPr>
            </w:pPr>
            <w:r w:rsidRPr="00EF6C4E">
              <w:rPr>
                <w:rFonts w:ascii="Calibri" w:hAnsi="Calibri" w:cs="Arial"/>
                <w:sz w:val="24"/>
              </w:rPr>
              <w:t>sIPT optimum start &amp; interval</w:t>
            </w:r>
          </w:p>
        </w:tc>
        <w:tc>
          <w:tcPr>
            <w:tcW w:w="1089" w:type="dxa"/>
            <w:tcBorders>
              <w:top w:val="nil"/>
              <w:bottom w:val="single" w:sz="4" w:space="0" w:color="auto"/>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26.6</w:t>
            </w:r>
          </w:p>
        </w:tc>
        <w:tc>
          <w:tcPr>
            <w:tcW w:w="1075" w:type="dxa"/>
            <w:tcBorders>
              <w:top w:val="nil"/>
              <w:bottom w:val="single" w:sz="4" w:space="0" w:color="auto"/>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1.7</w:t>
            </w:r>
          </w:p>
        </w:tc>
      </w:tr>
      <w:tr w:rsidR="003E68FD" w:rsidRPr="00EF6C4E" w:rsidTr="00EF6C4E">
        <w:tc>
          <w:tcPr>
            <w:tcW w:w="1242"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60 days</w:t>
            </w:r>
          </w:p>
        </w:tc>
        <w:tc>
          <w:tcPr>
            <w:tcW w:w="3686"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IPTi</w:t>
            </w:r>
          </w:p>
        </w:tc>
        <w:tc>
          <w:tcPr>
            <w:tcW w:w="1089"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26.8</w:t>
            </w:r>
          </w:p>
        </w:tc>
        <w:tc>
          <w:tcPr>
            <w:tcW w:w="1075"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w:t>
            </w:r>
          </w:p>
        </w:tc>
      </w:tr>
      <w:tr w:rsidR="003E68FD" w:rsidRPr="00EF6C4E" w:rsidTr="00EF6C4E">
        <w:tc>
          <w:tcPr>
            <w:tcW w:w="1242" w:type="dxa"/>
            <w:tcBorders>
              <w:top w:val="nil"/>
              <w:bottom w:val="nil"/>
            </w:tcBorders>
            <w:vAlign w:val="bottom"/>
          </w:tcPr>
          <w:p w:rsidR="003E68FD" w:rsidRPr="00EF6C4E" w:rsidRDefault="003E68FD" w:rsidP="00415958">
            <w:pPr>
              <w:rPr>
                <w:rFonts w:ascii="Calibri" w:hAnsi="Calibri" w:cs="Arial"/>
                <w:sz w:val="24"/>
              </w:rPr>
            </w:pPr>
          </w:p>
        </w:tc>
        <w:tc>
          <w:tcPr>
            <w:tcW w:w="3686" w:type="dxa"/>
            <w:tcBorders>
              <w:top w:val="nil"/>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 xml:space="preserve">sIPT optimum start time </w:t>
            </w:r>
          </w:p>
        </w:tc>
        <w:tc>
          <w:tcPr>
            <w:tcW w:w="1089"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36.4</w:t>
            </w:r>
          </w:p>
        </w:tc>
        <w:tc>
          <w:tcPr>
            <w:tcW w:w="1075"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1.36</w:t>
            </w:r>
          </w:p>
        </w:tc>
      </w:tr>
      <w:tr w:rsidR="003E68FD" w:rsidRPr="00EF6C4E" w:rsidTr="00EF6C4E">
        <w:tc>
          <w:tcPr>
            <w:tcW w:w="1242" w:type="dxa"/>
            <w:tcBorders>
              <w:top w:val="nil"/>
              <w:bottom w:val="single" w:sz="4" w:space="0" w:color="auto"/>
            </w:tcBorders>
            <w:vAlign w:val="bottom"/>
          </w:tcPr>
          <w:p w:rsidR="003E68FD" w:rsidRPr="00EF6C4E" w:rsidRDefault="003E68FD" w:rsidP="00415958">
            <w:pPr>
              <w:rPr>
                <w:rFonts w:ascii="Calibri" w:hAnsi="Calibri" w:cs="Arial"/>
                <w:sz w:val="24"/>
              </w:rPr>
            </w:pPr>
          </w:p>
        </w:tc>
        <w:tc>
          <w:tcPr>
            <w:tcW w:w="3686" w:type="dxa"/>
            <w:tcBorders>
              <w:top w:val="nil"/>
              <w:bottom w:val="single" w:sz="4" w:space="0" w:color="auto"/>
            </w:tcBorders>
            <w:vAlign w:val="bottom"/>
          </w:tcPr>
          <w:p w:rsidR="003E68FD" w:rsidRPr="00EF6C4E" w:rsidRDefault="003E68FD" w:rsidP="00415958">
            <w:pPr>
              <w:rPr>
                <w:rFonts w:ascii="Calibri" w:hAnsi="Calibri" w:cs="Arial"/>
                <w:sz w:val="24"/>
              </w:rPr>
            </w:pPr>
            <w:r w:rsidRPr="00EF6C4E">
              <w:rPr>
                <w:rFonts w:ascii="Calibri" w:hAnsi="Calibri" w:cs="Arial"/>
                <w:sz w:val="24"/>
              </w:rPr>
              <w:t>sIPT optimum start &amp; interval</w:t>
            </w:r>
          </w:p>
        </w:tc>
        <w:tc>
          <w:tcPr>
            <w:tcW w:w="1089" w:type="dxa"/>
            <w:tcBorders>
              <w:top w:val="nil"/>
              <w:bottom w:val="single" w:sz="4" w:space="0" w:color="auto"/>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38.6</w:t>
            </w:r>
          </w:p>
        </w:tc>
        <w:tc>
          <w:tcPr>
            <w:tcW w:w="1075" w:type="dxa"/>
            <w:tcBorders>
              <w:top w:val="nil"/>
              <w:bottom w:val="single" w:sz="4" w:space="0" w:color="auto"/>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1.44</w:t>
            </w:r>
          </w:p>
        </w:tc>
      </w:tr>
      <w:tr w:rsidR="003E68FD" w:rsidRPr="00EF6C4E" w:rsidTr="00EF6C4E">
        <w:tc>
          <w:tcPr>
            <w:tcW w:w="1242"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90 days</w:t>
            </w:r>
          </w:p>
        </w:tc>
        <w:tc>
          <w:tcPr>
            <w:tcW w:w="3686" w:type="dxa"/>
            <w:tcBorders>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IPTi</w:t>
            </w:r>
          </w:p>
        </w:tc>
        <w:tc>
          <w:tcPr>
            <w:tcW w:w="1089"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36.1</w:t>
            </w:r>
          </w:p>
        </w:tc>
        <w:tc>
          <w:tcPr>
            <w:tcW w:w="1075" w:type="dxa"/>
            <w:tcBorders>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w:t>
            </w:r>
          </w:p>
        </w:tc>
      </w:tr>
      <w:tr w:rsidR="003E68FD" w:rsidRPr="00EF6C4E" w:rsidTr="00EF6C4E">
        <w:tc>
          <w:tcPr>
            <w:tcW w:w="1242" w:type="dxa"/>
            <w:tcBorders>
              <w:top w:val="nil"/>
              <w:bottom w:val="nil"/>
            </w:tcBorders>
            <w:vAlign w:val="bottom"/>
          </w:tcPr>
          <w:p w:rsidR="003E68FD" w:rsidRPr="00EF6C4E" w:rsidRDefault="003E68FD" w:rsidP="00415958">
            <w:pPr>
              <w:rPr>
                <w:rFonts w:ascii="Calibri" w:hAnsi="Calibri" w:cs="Arial"/>
                <w:sz w:val="24"/>
              </w:rPr>
            </w:pPr>
          </w:p>
        </w:tc>
        <w:tc>
          <w:tcPr>
            <w:tcW w:w="3686" w:type="dxa"/>
            <w:tcBorders>
              <w:top w:val="nil"/>
              <w:bottom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 xml:space="preserve">sIPT optimum start time </w:t>
            </w:r>
          </w:p>
        </w:tc>
        <w:tc>
          <w:tcPr>
            <w:tcW w:w="1089"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42.3</w:t>
            </w:r>
          </w:p>
        </w:tc>
        <w:tc>
          <w:tcPr>
            <w:tcW w:w="1075" w:type="dxa"/>
            <w:tcBorders>
              <w:top w:val="nil"/>
              <w:bottom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1.18</w:t>
            </w:r>
          </w:p>
        </w:tc>
      </w:tr>
      <w:tr w:rsidR="003E68FD" w:rsidRPr="00EF6C4E" w:rsidTr="00EF6C4E">
        <w:tc>
          <w:tcPr>
            <w:tcW w:w="1242" w:type="dxa"/>
            <w:tcBorders>
              <w:top w:val="nil"/>
            </w:tcBorders>
            <w:vAlign w:val="bottom"/>
          </w:tcPr>
          <w:p w:rsidR="003E68FD" w:rsidRPr="00EF6C4E" w:rsidRDefault="003E68FD" w:rsidP="00415958">
            <w:pPr>
              <w:rPr>
                <w:rFonts w:ascii="Calibri" w:hAnsi="Calibri" w:cs="Arial"/>
                <w:sz w:val="24"/>
              </w:rPr>
            </w:pPr>
          </w:p>
        </w:tc>
        <w:tc>
          <w:tcPr>
            <w:tcW w:w="3686" w:type="dxa"/>
            <w:tcBorders>
              <w:top w:val="nil"/>
            </w:tcBorders>
            <w:vAlign w:val="bottom"/>
          </w:tcPr>
          <w:p w:rsidR="003E68FD" w:rsidRPr="00EF6C4E" w:rsidRDefault="003E68FD" w:rsidP="00415958">
            <w:pPr>
              <w:rPr>
                <w:rFonts w:ascii="Calibri" w:hAnsi="Calibri" w:cs="Arial"/>
                <w:sz w:val="24"/>
              </w:rPr>
            </w:pPr>
            <w:r w:rsidRPr="00EF6C4E">
              <w:rPr>
                <w:rFonts w:ascii="Calibri" w:hAnsi="Calibri" w:cs="Arial"/>
                <w:sz w:val="24"/>
              </w:rPr>
              <w:t>sIPT optimum start &amp; interval</w:t>
            </w:r>
          </w:p>
        </w:tc>
        <w:tc>
          <w:tcPr>
            <w:tcW w:w="1089" w:type="dxa"/>
            <w:tcBorders>
              <w:top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45.5</w:t>
            </w:r>
          </w:p>
        </w:tc>
        <w:tc>
          <w:tcPr>
            <w:tcW w:w="1075" w:type="dxa"/>
            <w:tcBorders>
              <w:top w:val="nil"/>
            </w:tcBorders>
            <w:vAlign w:val="bottom"/>
          </w:tcPr>
          <w:p w:rsidR="003E68FD" w:rsidRPr="00EF6C4E" w:rsidRDefault="003E68FD" w:rsidP="00415958">
            <w:pPr>
              <w:jc w:val="right"/>
              <w:rPr>
                <w:rFonts w:ascii="Calibri" w:hAnsi="Calibri" w:cs="Arial"/>
                <w:sz w:val="24"/>
              </w:rPr>
            </w:pPr>
            <w:r w:rsidRPr="00EF6C4E">
              <w:rPr>
                <w:rFonts w:ascii="Calibri" w:hAnsi="Calibri" w:cs="Arial"/>
                <w:sz w:val="24"/>
              </w:rPr>
              <w:t>1.27</w:t>
            </w:r>
          </w:p>
        </w:tc>
      </w:tr>
    </w:tbl>
    <w:p w:rsidR="00415958" w:rsidRPr="00EF6C4E" w:rsidRDefault="00415958" w:rsidP="00415958">
      <w:pPr>
        <w:rPr>
          <w:rFonts w:ascii="Calibri" w:hAnsi="Calibri"/>
          <w:b/>
        </w:rPr>
      </w:pPr>
    </w:p>
    <w:p w:rsidR="00415958" w:rsidRPr="00EF6C4E" w:rsidRDefault="00415958" w:rsidP="00415958">
      <w:pPr>
        <w:rPr>
          <w:rFonts w:ascii="Calibri" w:hAnsi="Calibri"/>
          <w:sz w:val="24"/>
        </w:rPr>
      </w:pPr>
      <w:r w:rsidRPr="00EF6C4E">
        <w:rPr>
          <w:rFonts w:ascii="Calibri" w:hAnsi="Calibri"/>
          <w:sz w:val="24"/>
        </w:rPr>
        <w:t xml:space="preserve">Protective efficacy is shown for four doses of </w:t>
      </w:r>
      <w:r w:rsidR="00F0440C" w:rsidRPr="00EF6C4E">
        <w:rPr>
          <w:rFonts w:ascii="Calibri" w:hAnsi="Calibri"/>
          <w:sz w:val="24"/>
        </w:rPr>
        <w:t>IPTi</w:t>
      </w:r>
      <w:r w:rsidRPr="00EF6C4E">
        <w:rPr>
          <w:rFonts w:ascii="Calibri" w:hAnsi="Calibri"/>
          <w:sz w:val="24"/>
        </w:rPr>
        <w:t xml:space="preserve"> in infancy or four doses of seasonal IPT</w:t>
      </w:r>
      <w:r w:rsidR="005E17B8" w:rsidRPr="00EF6C4E">
        <w:rPr>
          <w:rFonts w:ascii="Calibri" w:hAnsi="Calibri"/>
          <w:sz w:val="24"/>
        </w:rPr>
        <w:t xml:space="preserve"> in infancy alone</w:t>
      </w:r>
      <w:r w:rsidRPr="00EF6C4E">
        <w:rPr>
          <w:rFonts w:ascii="Calibri" w:hAnsi="Calibri"/>
          <w:sz w:val="24"/>
        </w:rPr>
        <w:t>. For seasonal IPT, either the optimal start time alone is used, or the optimal start time and the optimal interval for four doses</w:t>
      </w:r>
    </w:p>
    <w:p w:rsidR="00F0440C" w:rsidRPr="00EF6C4E" w:rsidRDefault="00415958" w:rsidP="00F0440C">
      <w:pPr>
        <w:rPr>
          <w:rFonts w:ascii="Calibri" w:hAnsi="Calibri"/>
          <w:sz w:val="24"/>
        </w:rPr>
      </w:pPr>
      <w:r w:rsidRPr="00EF6C4E">
        <w:rPr>
          <w:rFonts w:ascii="Calibri" w:hAnsi="Calibri"/>
          <w:b/>
          <w:szCs w:val="22"/>
        </w:rPr>
        <w:br w:type="page"/>
      </w:r>
      <w:r w:rsidR="00AD2B46" w:rsidRPr="00EF6C4E">
        <w:rPr>
          <w:rFonts w:ascii="Calibri" w:hAnsi="Calibri"/>
          <w:b/>
          <w:sz w:val="24"/>
        </w:rPr>
        <w:lastRenderedPageBreak/>
        <w:t>EIR functions used to e</w:t>
      </w:r>
      <w:r w:rsidR="00F0440C" w:rsidRPr="00EF6C4E">
        <w:rPr>
          <w:rFonts w:ascii="Calibri" w:hAnsi="Calibri"/>
          <w:b/>
          <w:sz w:val="24"/>
        </w:rPr>
        <w:t xml:space="preserve">xtend the model to other sites </w:t>
      </w:r>
    </w:p>
    <w:p w:rsidR="00F0440C" w:rsidRPr="00EF6C4E" w:rsidRDefault="00F0440C" w:rsidP="00F0440C">
      <w:pPr>
        <w:spacing w:line="360" w:lineRule="auto"/>
        <w:rPr>
          <w:rFonts w:ascii="Calibri" w:hAnsi="Calibri"/>
          <w:b/>
          <w:sz w:val="24"/>
        </w:rPr>
      </w:pPr>
    </w:p>
    <w:p w:rsidR="00F0440C" w:rsidRPr="00EF6C4E" w:rsidRDefault="00F0440C" w:rsidP="00F0440C">
      <w:pPr>
        <w:spacing w:line="360" w:lineRule="auto"/>
        <w:rPr>
          <w:rFonts w:ascii="Calibri" w:hAnsi="Calibri"/>
          <w:sz w:val="24"/>
          <w:lang w:val="en-US"/>
        </w:rPr>
      </w:pPr>
      <w:r w:rsidRPr="00EF6C4E">
        <w:rPr>
          <w:rFonts w:ascii="Calibri" w:hAnsi="Calibri"/>
          <w:sz w:val="24"/>
          <w:lang w:val="en-US"/>
        </w:rPr>
        <w:t>Simple sinusoidal EIR functions were used to simulate varying degrees of seasonality along</w:t>
      </w:r>
      <w:r w:rsidR="003E68FD" w:rsidRPr="00EF6C4E">
        <w:rPr>
          <w:rFonts w:ascii="Calibri" w:hAnsi="Calibri"/>
          <w:sz w:val="24"/>
          <w:lang w:val="en-US"/>
        </w:rPr>
        <w:t xml:space="preserve"> this scale. EIR functions for 10</w:t>
      </w:r>
      <w:r w:rsidRPr="00EF6C4E">
        <w:rPr>
          <w:rFonts w:ascii="Calibri" w:hAnsi="Calibri"/>
          <w:sz w:val="24"/>
          <w:lang w:val="en-US"/>
        </w:rPr>
        <w:t xml:space="preserve">% intervals (on the scale from 50% to 100% of transmission within 6 months) were created for two different transmission intensities, high (EIR=365, i.e. one infectious bite per individual per night, a similar intensity to Navrongo) and low-moderate (EIR = 10, the lower transmission intensity threshold suggested by WHO for implementation of IPTi). The suitability of IPTi and sIPT were compared under these transmission intensities. For this comparison, IPTi was modeled as it was implemented in Navrongo (4 doses of IPT given at 3, 4, 9 and 12 months of age) and seasonal IPT was modeled as four monthly doses centred around the peak in transmission. </w:t>
      </w:r>
    </w:p>
    <w:p w:rsidR="008E2B05" w:rsidRPr="00EF6C4E" w:rsidRDefault="008E2B05" w:rsidP="00F0440C">
      <w:pPr>
        <w:spacing w:line="360" w:lineRule="auto"/>
        <w:rPr>
          <w:rFonts w:ascii="Calibri" w:hAnsi="Calibri"/>
          <w:sz w:val="24"/>
          <w:lang w:val="en-US"/>
        </w:rPr>
      </w:pPr>
    </w:p>
    <w:p w:rsidR="00F0440C" w:rsidRPr="00EF6C4E" w:rsidRDefault="003E68FD" w:rsidP="00F0440C">
      <w:pPr>
        <w:spacing w:line="360" w:lineRule="auto"/>
        <w:rPr>
          <w:rFonts w:ascii="Calibri" w:hAnsi="Calibri"/>
          <w:b/>
          <w:sz w:val="24"/>
        </w:rPr>
      </w:pPr>
      <w:r w:rsidRPr="00EF6C4E">
        <w:rPr>
          <w:rFonts w:ascii="Calibri" w:hAnsi="Calibri"/>
          <w:b/>
          <w:sz w:val="24"/>
        </w:rPr>
        <w:br w:type="page"/>
      </w:r>
      <w:r w:rsidR="00AA2259" w:rsidRPr="00AA2259">
        <w:rPr>
          <w:rFonts w:ascii="Calibri" w:hAnsi="Calibri"/>
          <w:noProof/>
          <w:sz w:val="24"/>
        </w:rPr>
        <w:lastRenderedPageBreak/>
        <w:pict>
          <v:shape id="_x0000_s1351" type="#_x0000_t75" style="position:absolute;margin-left:224.6pt;margin-top:28.45pt;width:230.4pt;height:153.3pt;z-index:-5" wrapcoords="70 318 70 21176 21389 21176 21389 318 70 318">
            <v:imagedata r:id="rId32" o:title=""/>
            <w10:wrap type="tight"/>
          </v:shape>
        </w:pict>
      </w:r>
      <w:r w:rsidR="00AA2259" w:rsidRPr="00AA2259">
        <w:rPr>
          <w:rFonts w:ascii="Calibri" w:hAnsi="Calibri"/>
          <w:noProof/>
          <w:sz w:val="24"/>
          <w:lang w:val="en-US"/>
        </w:rPr>
        <w:pict>
          <v:shape id="_x0000_s1341" type="#_x0000_t202" style="position:absolute;margin-left:412pt;margin-top:183pt;width:45pt;height:27pt;z-index:14" stroked="f">
            <v:fill opacity="0"/>
            <v:textbox style="mso-next-textbox:#_x0000_s1341">
              <w:txbxContent>
                <w:p w:rsidR="00896728" w:rsidRDefault="00896728" w:rsidP="00F0440C">
                  <w:r>
                    <w:t>80%</w:t>
                  </w:r>
                </w:p>
              </w:txbxContent>
            </v:textbox>
          </v:shape>
        </w:pict>
      </w:r>
      <w:r w:rsidR="00AA2259" w:rsidRPr="00AA2259">
        <w:rPr>
          <w:rFonts w:ascii="Calibri" w:hAnsi="Calibri"/>
          <w:noProof/>
          <w:sz w:val="24"/>
          <w:lang w:val="en-US"/>
        </w:rPr>
        <w:pict>
          <v:shape id="_x0000_s1340" type="#_x0000_t202" style="position:absolute;margin-left:187pt;margin-top:183pt;width:45pt;height:27pt;z-index:13" stroked="f">
            <v:fill opacity="0"/>
            <v:textbox style="mso-next-textbox:#_x0000_s1340">
              <w:txbxContent>
                <w:p w:rsidR="00896728" w:rsidRDefault="00896728" w:rsidP="00F0440C">
                  <w:r>
                    <w:t>70%</w:t>
                  </w:r>
                </w:p>
              </w:txbxContent>
            </v:textbox>
          </v:shape>
        </w:pict>
      </w:r>
      <w:r w:rsidR="00AA2259" w:rsidRPr="00AA2259">
        <w:rPr>
          <w:rFonts w:ascii="Calibri" w:hAnsi="Calibri"/>
          <w:noProof/>
          <w:sz w:val="24"/>
          <w:lang w:val="en-US"/>
        </w:rPr>
        <w:pict>
          <v:shape id="_x0000_s1339" type="#_x0000_t202" style="position:absolute;margin-left:412pt;margin-top:39pt;width:45pt;height:27pt;z-index:12" stroked="f">
            <v:fill opacity="0"/>
            <v:textbox style="mso-next-textbox:#_x0000_s1339">
              <w:txbxContent>
                <w:p w:rsidR="00896728" w:rsidRDefault="00896728" w:rsidP="00F0440C">
                  <w:r>
                    <w:t>60%</w:t>
                  </w:r>
                </w:p>
              </w:txbxContent>
            </v:textbox>
          </v:shape>
        </w:pict>
      </w:r>
      <w:r w:rsidR="00AA2259" w:rsidRPr="00AA2259">
        <w:rPr>
          <w:rFonts w:ascii="Calibri" w:hAnsi="Calibri"/>
          <w:noProof/>
          <w:sz w:val="24"/>
          <w:lang w:val="en-US"/>
        </w:rPr>
        <w:pict>
          <v:shape id="_x0000_s1338" type="#_x0000_t202" style="position:absolute;margin-left:187pt;margin-top:39pt;width:45pt;height:27pt;z-index:11" stroked="f">
            <v:fill opacity="0"/>
            <v:textbox style="mso-next-textbox:#_x0000_s1338">
              <w:txbxContent>
                <w:p w:rsidR="00896728" w:rsidRDefault="00896728" w:rsidP="00F0440C">
                  <w:r>
                    <w:t>50%</w:t>
                  </w:r>
                </w:p>
              </w:txbxContent>
            </v:textbox>
          </v:shape>
        </w:pict>
      </w:r>
      <w:r w:rsidR="00AA2259" w:rsidRPr="00AA2259">
        <w:rPr>
          <w:rFonts w:ascii="Calibri" w:hAnsi="Calibri"/>
          <w:noProof/>
          <w:sz w:val="24"/>
        </w:rPr>
        <w:pict>
          <v:shape id="_x0000_s1353" type="#_x0000_t75" style="position:absolute;margin-left:225pt;margin-top:162pt;width:230.4pt;height:153.3pt;z-index:-3" wrapcoords="70 318 70 21176 21389 21176 21389 318 70 318">
            <v:imagedata r:id="rId33" o:title=""/>
            <w10:wrap type="tight"/>
          </v:shape>
        </w:pict>
      </w:r>
      <w:r w:rsidR="00AA2259" w:rsidRPr="00AA2259">
        <w:rPr>
          <w:rFonts w:ascii="Calibri" w:hAnsi="Calibri"/>
          <w:noProof/>
          <w:sz w:val="24"/>
        </w:rPr>
        <w:pict>
          <v:shape id="_x0000_s1352" type="#_x0000_t75" style="position:absolute;margin-left:0;margin-top:162pt;width:230.4pt;height:153.3pt;z-index:-4" wrapcoords="70 318 70 21176 21389 21176 21389 318 70 318">
            <v:imagedata r:id="rId34" o:title=""/>
            <w10:wrap type="tight"/>
          </v:shape>
        </w:pict>
      </w:r>
      <w:r w:rsidR="0068531B" w:rsidRPr="00EF6C4E">
        <w:rPr>
          <w:rFonts w:ascii="Calibri" w:hAnsi="Calibri"/>
          <w:b/>
          <w:sz w:val="24"/>
        </w:rPr>
        <w:t>F</w:t>
      </w:r>
      <w:r w:rsidR="00F0440C" w:rsidRPr="00EF6C4E">
        <w:rPr>
          <w:rFonts w:ascii="Calibri" w:hAnsi="Calibri"/>
          <w:b/>
          <w:sz w:val="24"/>
        </w:rPr>
        <w:t xml:space="preserve">igure </w:t>
      </w:r>
      <w:r w:rsidR="0068531B" w:rsidRPr="00EF6C4E">
        <w:rPr>
          <w:rFonts w:ascii="Calibri" w:hAnsi="Calibri"/>
          <w:b/>
          <w:sz w:val="24"/>
        </w:rPr>
        <w:t>S12</w:t>
      </w:r>
      <w:r w:rsidR="00F0440C" w:rsidRPr="00EF6C4E">
        <w:rPr>
          <w:rFonts w:ascii="Calibri" w:hAnsi="Calibri"/>
          <w:b/>
          <w:sz w:val="24"/>
          <w:szCs w:val="22"/>
        </w:rPr>
        <w:t>.</w:t>
      </w:r>
      <w:r w:rsidR="00F0440C" w:rsidRPr="00EF6C4E">
        <w:rPr>
          <w:rFonts w:ascii="Calibri" w:hAnsi="Calibri"/>
          <w:b/>
          <w:sz w:val="24"/>
        </w:rPr>
        <w:t xml:space="preserve"> Variable seasonality patterns: high transmission (EIR = 365)</w:t>
      </w:r>
    </w:p>
    <w:p w:rsidR="00F0440C" w:rsidRPr="00EF6C4E" w:rsidRDefault="00AA2259" w:rsidP="00F0440C">
      <w:pPr>
        <w:rPr>
          <w:rFonts w:ascii="Calibri" w:hAnsi="Calibri"/>
          <w:b/>
          <w:sz w:val="24"/>
        </w:rPr>
      </w:pPr>
      <w:r w:rsidRPr="00AA2259">
        <w:rPr>
          <w:rFonts w:ascii="Calibri" w:hAnsi="Calibri"/>
          <w:noProof/>
          <w:sz w:val="24"/>
          <w:lang w:val="en-US"/>
        </w:rPr>
        <w:pict>
          <v:shape id="_x0000_s1343" type="#_x0000_t202" style="position:absolute;margin-left:412pt;margin-top:-153.05pt;width:50pt;height:27pt;z-index:16" stroked="f">
            <v:fill opacity="0"/>
            <v:textbox style="mso-next-textbox:#_x0000_s1343">
              <w:txbxContent>
                <w:p w:rsidR="00896728" w:rsidRDefault="00896728" w:rsidP="00F0440C">
                  <w:r>
                    <w:t>100%</w:t>
                  </w:r>
                </w:p>
              </w:txbxContent>
            </v:textbox>
          </v:shape>
        </w:pict>
      </w:r>
      <w:r w:rsidRPr="00AA2259">
        <w:rPr>
          <w:rFonts w:ascii="Calibri" w:hAnsi="Calibri"/>
          <w:noProof/>
          <w:sz w:val="24"/>
          <w:lang w:val="en-US"/>
        </w:rPr>
        <w:pict>
          <v:shape id="_x0000_s1342" type="#_x0000_t202" style="position:absolute;margin-left:187pt;margin-top:-153.05pt;width:45pt;height:27pt;z-index:15" stroked="f">
            <v:fill opacity="0"/>
            <v:textbox style="mso-next-textbox:#_x0000_s1342">
              <w:txbxContent>
                <w:p w:rsidR="00896728" w:rsidRDefault="00896728" w:rsidP="00F0440C">
                  <w:r>
                    <w:t>90%</w:t>
                  </w:r>
                </w:p>
              </w:txbxContent>
            </v:textbox>
          </v:shape>
        </w:pict>
      </w:r>
      <w:r w:rsidRPr="00AA2259">
        <w:rPr>
          <w:rFonts w:ascii="Calibri" w:hAnsi="Calibri"/>
          <w:noProof/>
          <w:sz w:val="24"/>
        </w:rPr>
        <w:pict>
          <v:shape id="_x0000_s1355" type="#_x0000_t75" style="position:absolute;margin-left:225pt;margin-top:285.3pt;width:230.4pt;height:153.3pt;z-index:-1" wrapcoords="70 318 70 21176 21389 21176 21389 318 70 318">
            <v:imagedata r:id="rId35" o:title=""/>
            <w10:wrap type="tight"/>
          </v:shape>
        </w:pict>
      </w:r>
      <w:r w:rsidRPr="00AA2259">
        <w:rPr>
          <w:rFonts w:ascii="Calibri" w:hAnsi="Calibri"/>
          <w:noProof/>
          <w:sz w:val="24"/>
        </w:rPr>
        <w:pict>
          <v:shape id="_x0000_s1354" type="#_x0000_t75" style="position:absolute;margin-left:0;margin-top:285.3pt;width:230.4pt;height:153.3pt;z-index:-2" wrapcoords="70 318 70 21176 21389 21176 21389 318 70 318">
            <v:imagedata r:id="rId36" o:title=""/>
            <w10:wrap type="tight"/>
          </v:shape>
        </w:pict>
      </w:r>
      <w:r w:rsidRPr="00AA2259">
        <w:rPr>
          <w:rFonts w:ascii="Calibri" w:hAnsi="Calibri"/>
          <w:noProof/>
          <w:sz w:val="24"/>
        </w:rPr>
        <w:pict>
          <v:shape id="_x0000_s1350" type="#_x0000_t75" style="position:absolute;margin-left:0;margin-top:6.5pt;width:230.4pt;height:153.3pt;z-index:-6" wrapcoords="70 318 70 21176 21389 21176 21389 318 70 318">
            <v:imagedata r:id="rId37" o:title=""/>
            <w10:wrap type="tight"/>
          </v:shape>
        </w:pict>
      </w:r>
    </w:p>
    <w:p w:rsidR="00F0440C" w:rsidRPr="00EF6C4E" w:rsidRDefault="00F0440C" w:rsidP="00F0440C">
      <w:pPr>
        <w:rPr>
          <w:rFonts w:ascii="Calibri" w:hAnsi="Calibri"/>
          <w:b/>
          <w:sz w:val="24"/>
        </w:rPr>
      </w:pPr>
      <w:r w:rsidRPr="00EF6C4E">
        <w:rPr>
          <w:rFonts w:ascii="Calibri" w:hAnsi="Calibri"/>
          <w:sz w:val="24"/>
        </w:rPr>
        <w:t>Lines show the number of infectious bites per person per night. Large numerical values indicate the proportion of infections that occur in the six months of the year with highest malaria transmission for each graph</w:t>
      </w:r>
    </w:p>
    <w:p w:rsidR="00F0440C" w:rsidRPr="00EF6C4E" w:rsidRDefault="00F0440C" w:rsidP="00F0440C">
      <w:pPr>
        <w:rPr>
          <w:rFonts w:ascii="Calibri" w:hAnsi="Calibri"/>
          <w:b/>
          <w:sz w:val="24"/>
        </w:rPr>
      </w:pPr>
    </w:p>
    <w:p w:rsidR="00F0440C" w:rsidRPr="00EF6C4E" w:rsidRDefault="00F0440C" w:rsidP="00F0440C">
      <w:pPr>
        <w:rPr>
          <w:rFonts w:ascii="Calibri" w:hAnsi="Calibri"/>
          <w:b/>
          <w:sz w:val="24"/>
        </w:rPr>
      </w:pPr>
    </w:p>
    <w:p w:rsidR="00F0440C" w:rsidRPr="00EF6C4E" w:rsidRDefault="00F0440C" w:rsidP="00F0440C">
      <w:pPr>
        <w:rPr>
          <w:rFonts w:ascii="Calibri" w:hAnsi="Calibri"/>
          <w:b/>
          <w:sz w:val="24"/>
        </w:rPr>
      </w:pPr>
    </w:p>
    <w:p w:rsidR="00F0440C" w:rsidRPr="00EF6C4E" w:rsidRDefault="00F0440C" w:rsidP="00F0440C">
      <w:pPr>
        <w:rPr>
          <w:rFonts w:ascii="Calibri" w:hAnsi="Calibri"/>
          <w:b/>
          <w:sz w:val="24"/>
        </w:rPr>
      </w:pPr>
      <w:r w:rsidRPr="00EF6C4E">
        <w:rPr>
          <w:rFonts w:ascii="Calibri" w:hAnsi="Calibri"/>
          <w:b/>
          <w:sz w:val="24"/>
        </w:rPr>
        <w:br w:type="page"/>
      </w:r>
      <w:r w:rsidR="00AA2259" w:rsidRPr="00AA2259">
        <w:rPr>
          <w:rFonts w:ascii="Calibri" w:hAnsi="Calibri"/>
          <w:noProof/>
          <w:sz w:val="24"/>
          <w:lang w:val="en-US"/>
        </w:rPr>
        <w:lastRenderedPageBreak/>
        <w:pict>
          <v:shape id="_x0000_s1335" type="#_x0000_t202" style="position:absolute;margin-left:400pt;margin-top:171pt;width:45pt;height:27pt;z-index:8" stroked="f">
            <v:fill opacity="0"/>
            <v:textbox style="mso-next-textbox:#_x0000_s1335">
              <w:txbxContent>
                <w:p w:rsidR="00896728" w:rsidRDefault="00896728" w:rsidP="00F0440C">
                  <w:r>
                    <w:t>80%</w:t>
                  </w:r>
                </w:p>
              </w:txbxContent>
            </v:textbox>
          </v:shape>
        </w:pict>
      </w:r>
      <w:r w:rsidR="00AA2259" w:rsidRPr="00AA2259">
        <w:rPr>
          <w:rFonts w:ascii="Calibri" w:hAnsi="Calibri"/>
          <w:noProof/>
          <w:sz w:val="24"/>
          <w:lang w:val="en-US"/>
        </w:rPr>
        <w:pict>
          <v:shape id="_x0000_s1334" type="#_x0000_t202" style="position:absolute;margin-left:175pt;margin-top:171pt;width:45pt;height:27pt;z-index:7" stroked="f">
            <v:fill opacity="0"/>
            <v:textbox style="mso-next-textbox:#_x0000_s1334">
              <w:txbxContent>
                <w:p w:rsidR="00896728" w:rsidRDefault="00896728" w:rsidP="00F0440C">
                  <w:r>
                    <w:t>70%</w:t>
                  </w:r>
                </w:p>
              </w:txbxContent>
            </v:textbox>
          </v:shape>
        </w:pict>
      </w:r>
      <w:r w:rsidR="00AA2259" w:rsidRPr="00AA2259">
        <w:rPr>
          <w:rFonts w:ascii="Calibri" w:hAnsi="Calibri"/>
          <w:noProof/>
          <w:sz w:val="24"/>
          <w:lang w:val="en-US"/>
        </w:rPr>
        <w:pict>
          <v:shape id="_x0000_s1333" type="#_x0000_t202" style="position:absolute;margin-left:400pt;margin-top:27pt;width:45pt;height:27pt;z-index:6" stroked="f">
            <v:fill opacity="0"/>
            <v:textbox style="mso-next-textbox:#_x0000_s1333">
              <w:txbxContent>
                <w:p w:rsidR="00896728" w:rsidRDefault="00896728" w:rsidP="00F0440C">
                  <w:r>
                    <w:t>60%</w:t>
                  </w:r>
                </w:p>
              </w:txbxContent>
            </v:textbox>
          </v:shape>
        </w:pict>
      </w:r>
      <w:r w:rsidR="00AA2259" w:rsidRPr="00AA2259">
        <w:rPr>
          <w:rFonts w:ascii="Calibri" w:hAnsi="Calibri"/>
          <w:noProof/>
          <w:sz w:val="24"/>
          <w:lang w:val="en-US"/>
        </w:rPr>
        <w:pict>
          <v:shape id="_x0000_s1332" type="#_x0000_t202" style="position:absolute;margin-left:175pt;margin-top:27pt;width:45pt;height:27pt;z-index:5" stroked="f">
            <v:fill opacity="0"/>
            <v:textbox style="mso-next-textbox:#_x0000_s1332">
              <w:txbxContent>
                <w:p w:rsidR="00896728" w:rsidRDefault="00896728" w:rsidP="00F0440C">
                  <w:r>
                    <w:t>50%</w:t>
                  </w:r>
                </w:p>
              </w:txbxContent>
            </v:textbox>
          </v:shape>
        </w:pict>
      </w:r>
      <w:r w:rsidR="00AA2259" w:rsidRPr="00AA2259">
        <w:rPr>
          <w:rFonts w:ascii="Calibri" w:hAnsi="Calibri"/>
          <w:noProof/>
          <w:sz w:val="24"/>
        </w:rPr>
        <w:pict>
          <v:shape id="_x0000_s1347" type="#_x0000_t75" style="position:absolute;margin-left:225pt;margin-top:162pt;width:231.1pt;height:153.3pt;z-index:-9" wrapcoords="70 318 70 21176 21390 21176 21390 318 70 318">
            <v:imagedata r:id="rId38" o:title=""/>
            <w10:wrap type="tight"/>
          </v:shape>
        </w:pict>
      </w:r>
      <w:r w:rsidR="00AA2259" w:rsidRPr="00AA2259">
        <w:rPr>
          <w:rFonts w:ascii="Calibri" w:hAnsi="Calibri"/>
          <w:noProof/>
          <w:sz w:val="24"/>
        </w:rPr>
        <w:pict>
          <v:shape id="_x0000_s1344" type="#_x0000_t75" style="position:absolute;margin-left:225pt;margin-top:18pt;width:230.5pt;height:153.3pt;z-index:-12" wrapcoords="70 318 70 21176 21389 21176 21389 318 70 318">
            <v:imagedata r:id="rId39" o:title=""/>
            <w10:wrap type="tight"/>
          </v:shape>
        </w:pict>
      </w:r>
      <w:r w:rsidR="00AA2259" w:rsidRPr="00AA2259">
        <w:rPr>
          <w:rFonts w:ascii="Calibri" w:hAnsi="Calibri"/>
          <w:noProof/>
          <w:sz w:val="24"/>
        </w:rPr>
        <w:pict>
          <v:shape id="_x0000_s1346" type="#_x0000_t75" style="position:absolute;margin-left:0;margin-top:162pt;width:231.1pt;height:153.3pt;z-index:-10" wrapcoords="70 318 70 21176 21390 21176 21390 318 70 318">
            <v:imagedata r:id="rId40" o:title=""/>
            <w10:wrap type="tight"/>
          </v:shape>
        </w:pict>
      </w:r>
      <w:r w:rsidRPr="00EF6C4E">
        <w:rPr>
          <w:rFonts w:ascii="Calibri" w:hAnsi="Calibri"/>
          <w:b/>
          <w:sz w:val="24"/>
        </w:rPr>
        <w:t xml:space="preserve">Figure </w:t>
      </w:r>
      <w:r w:rsidR="0068531B" w:rsidRPr="00EF6C4E">
        <w:rPr>
          <w:rFonts w:ascii="Calibri" w:hAnsi="Calibri"/>
          <w:b/>
          <w:sz w:val="24"/>
        </w:rPr>
        <w:t>S13</w:t>
      </w:r>
      <w:r w:rsidRPr="00EF6C4E">
        <w:rPr>
          <w:rFonts w:ascii="Calibri" w:hAnsi="Calibri"/>
          <w:b/>
          <w:sz w:val="24"/>
        </w:rPr>
        <w:t>. Variable seasonality patterns: low-moderate transmission (EIR = 10)</w:t>
      </w:r>
    </w:p>
    <w:p w:rsidR="00F0440C" w:rsidRPr="00EF6C4E" w:rsidRDefault="00AA2259" w:rsidP="00F0440C">
      <w:pPr>
        <w:rPr>
          <w:rFonts w:ascii="Calibri" w:hAnsi="Calibri"/>
          <w:sz w:val="24"/>
        </w:rPr>
      </w:pPr>
      <w:r w:rsidRPr="00AA2259">
        <w:rPr>
          <w:rFonts w:ascii="Calibri" w:hAnsi="Calibri"/>
          <w:noProof/>
          <w:sz w:val="24"/>
          <w:lang w:val="en-US"/>
        </w:rPr>
        <w:pict>
          <v:shape id="_x0000_s1337" type="#_x0000_t202" style="position:absolute;margin-left:406.1pt;margin-top:-150.3pt;width:50pt;height:27pt;z-index:10" stroked="f">
            <v:fill opacity="0"/>
            <v:textbox style="mso-next-textbox:#_x0000_s1337">
              <w:txbxContent>
                <w:p w:rsidR="00896728" w:rsidRDefault="00896728" w:rsidP="00F0440C">
                  <w:r>
                    <w:t>100%</w:t>
                  </w:r>
                </w:p>
              </w:txbxContent>
            </v:textbox>
          </v:shape>
        </w:pict>
      </w:r>
      <w:r w:rsidRPr="00AA2259">
        <w:rPr>
          <w:rFonts w:ascii="Calibri" w:hAnsi="Calibri"/>
          <w:noProof/>
          <w:sz w:val="24"/>
          <w:lang w:val="en-US"/>
        </w:rPr>
        <w:pict>
          <v:shape id="_x0000_s1336" type="#_x0000_t202" style="position:absolute;margin-left:180pt;margin-top:-150.3pt;width:45pt;height:27pt;z-index:9" stroked="f">
            <v:fill opacity="0"/>
            <v:textbox style="mso-next-textbox:#_x0000_s1336">
              <w:txbxContent>
                <w:p w:rsidR="00896728" w:rsidRDefault="00896728" w:rsidP="00F0440C">
                  <w:r>
                    <w:t>90%</w:t>
                  </w:r>
                </w:p>
              </w:txbxContent>
            </v:textbox>
          </v:shape>
        </w:pict>
      </w:r>
      <w:r>
        <w:rPr>
          <w:rFonts w:ascii="Calibri" w:hAnsi="Calibri"/>
          <w:noProof/>
          <w:sz w:val="24"/>
        </w:rPr>
        <w:pict>
          <v:shape id="_x0000_s1348" type="#_x0000_t75" style="position:absolute;margin-left:0;margin-top:294.5pt;width:231.1pt;height:153.3pt;z-index:-8" wrapcoords="70 318 70 21176 21390 21176 21390 318 70 318">
            <v:imagedata r:id="rId41" o:title=""/>
            <w10:wrap type="tight"/>
          </v:shape>
        </w:pict>
      </w:r>
      <w:r>
        <w:rPr>
          <w:rFonts w:ascii="Calibri" w:hAnsi="Calibri"/>
          <w:noProof/>
          <w:sz w:val="24"/>
        </w:rPr>
        <w:pict>
          <v:shape id="_x0000_s1349" type="#_x0000_t75" style="position:absolute;margin-left:225pt;margin-top:294.5pt;width:231.1pt;height:153.3pt;z-index:-7" wrapcoords="70 318 70 21176 21390 21176 21390 318 70 318">
            <v:imagedata r:id="rId42" o:title=""/>
            <w10:wrap type="tight"/>
          </v:shape>
        </w:pict>
      </w:r>
      <w:r>
        <w:rPr>
          <w:rFonts w:ascii="Calibri" w:hAnsi="Calibri"/>
          <w:noProof/>
          <w:sz w:val="24"/>
        </w:rPr>
        <w:pict>
          <v:shape id="_x0000_s1345" type="#_x0000_t75" style="position:absolute;margin-left:0;margin-top:6.5pt;width:231.1pt;height:153.3pt;z-index:-11" wrapcoords="70 318 70 21176 21390 21176 21390 318 70 318">
            <v:imagedata r:id="rId43" o:title=""/>
            <w10:wrap type="tight"/>
          </v:shape>
        </w:pict>
      </w:r>
    </w:p>
    <w:p w:rsidR="00F0440C" w:rsidRPr="00EF6C4E" w:rsidRDefault="00F0440C" w:rsidP="00F0440C">
      <w:pPr>
        <w:rPr>
          <w:rFonts w:ascii="Calibri" w:hAnsi="Calibri"/>
          <w:sz w:val="24"/>
        </w:rPr>
      </w:pPr>
      <w:r w:rsidRPr="00EF6C4E">
        <w:rPr>
          <w:rFonts w:ascii="Calibri" w:hAnsi="Calibri"/>
          <w:sz w:val="24"/>
        </w:rPr>
        <w:t>Lines show the number of infectious bites per person per night. Large numerical values indicate the proportion of infections that occur in the six months of the year with highest malaria transmission for each graph</w:t>
      </w:r>
    </w:p>
    <w:p w:rsidR="00F0440C" w:rsidRPr="00EF6C4E" w:rsidRDefault="00F0440C" w:rsidP="00F0440C">
      <w:pPr>
        <w:rPr>
          <w:rFonts w:ascii="Calibri" w:hAnsi="Calibri"/>
          <w:sz w:val="24"/>
        </w:rPr>
      </w:pPr>
    </w:p>
    <w:p w:rsidR="00415958" w:rsidRPr="00EF6C4E" w:rsidRDefault="00415958" w:rsidP="00415958">
      <w:pPr>
        <w:rPr>
          <w:rFonts w:ascii="Calibri" w:hAnsi="Calibri"/>
          <w:sz w:val="24"/>
        </w:rPr>
      </w:pPr>
    </w:p>
    <w:p w:rsidR="00415958" w:rsidRPr="00EF6C4E" w:rsidRDefault="00415958" w:rsidP="00415958">
      <w:pPr>
        <w:spacing w:line="360" w:lineRule="auto"/>
        <w:rPr>
          <w:rFonts w:ascii="Calibri" w:hAnsi="Calibri"/>
          <w:b/>
          <w:sz w:val="24"/>
          <w:lang w:val="en-US"/>
        </w:rPr>
      </w:pPr>
    </w:p>
    <w:p w:rsidR="00415958" w:rsidRPr="00EF6C4E" w:rsidRDefault="00415958" w:rsidP="00415958">
      <w:pPr>
        <w:rPr>
          <w:rFonts w:ascii="Calibri" w:hAnsi="Calibri"/>
          <w:b/>
          <w:sz w:val="24"/>
          <w:lang w:val="en-US"/>
        </w:rPr>
      </w:pPr>
    </w:p>
    <w:p w:rsidR="00415958" w:rsidRPr="00EF6C4E" w:rsidRDefault="00E70029" w:rsidP="00415958">
      <w:pPr>
        <w:spacing w:line="360" w:lineRule="auto"/>
        <w:rPr>
          <w:rFonts w:ascii="Calibri" w:hAnsi="Calibri"/>
          <w:b/>
          <w:sz w:val="24"/>
          <w:lang w:val="en-US"/>
        </w:rPr>
      </w:pPr>
      <w:r w:rsidRPr="00EF6C4E">
        <w:rPr>
          <w:rFonts w:ascii="Calibri" w:hAnsi="Calibri"/>
          <w:b/>
          <w:sz w:val="24"/>
          <w:lang w:val="en-US"/>
        </w:rPr>
        <w:br w:type="page"/>
      </w:r>
      <w:r w:rsidR="00415958" w:rsidRPr="00EF6C4E">
        <w:rPr>
          <w:rFonts w:ascii="Calibri" w:hAnsi="Calibri"/>
          <w:b/>
          <w:sz w:val="24"/>
          <w:lang w:val="en-US"/>
        </w:rPr>
        <w:lastRenderedPageBreak/>
        <w:t>Sites with extremely seasonal transmission</w:t>
      </w:r>
    </w:p>
    <w:p w:rsidR="00B31982" w:rsidRPr="00EF6C4E" w:rsidRDefault="00415958" w:rsidP="00B31982">
      <w:pPr>
        <w:spacing w:line="360" w:lineRule="auto"/>
        <w:rPr>
          <w:rFonts w:ascii="Calibri" w:hAnsi="Calibri"/>
          <w:sz w:val="24"/>
        </w:rPr>
      </w:pPr>
      <w:r w:rsidRPr="00EF6C4E">
        <w:rPr>
          <w:rFonts w:ascii="Calibri" w:hAnsi="Calibri"/>
          <w:sz w:val="24"/>
          <w:lang w:val="en-US"/>
        </w:rPr>
        <w:t>Some sites, such as the Sahel, have almost all malaria transmission occurring in only a few months of the year. An example is shown for Niakhar, Senegal, where almost all transmission occurs over three months and the total EIR is approximately ten infectious bites per person per year</w:t>
      </w:r>
      <w:r w:rsidR="00B31982" w:rsidRPr="00EF6C4E">
        <w:rPr>
          <w:rFonts w:ascii="Calibri" w:hAnsi="Calibri"/>
          <w:sz w:val="24"/>
          <w:lang w:val="en-US"/>
        </w:rPr>
        <w:t xml:space="preserve"> </w:t>
      </w:r>
      <w:r w:rsidR="00AA2259" w:rsidRPr="00EF6C4E">
        <w:rPr>
          <w:rFonts w:ascii="Calibri" w:hAnsi="Calibri"/>
          <w:sz w:val="24"/>
          <w:lang w:val="en-US"/>
        </w:rPr>
        <w:fldChar w:fldCharType="begin"/>
      </w:r>
      <w:r w:rsidR="002441A6">
        <w:rPr>
          <w:rFonts w:ascii="Calibri" w:hAnsi="Calibri"/>
          <w:sz w:val="24"/>
          <w:lang w:val="en-US"/>
        </w:rPr>
        <w:instrText xml:space="preserve"> ADDIN EN.CITE &lt;EndNote&gt;&lt;Cite&gt;&lt;Author&gt;Robert&lt;/Author&gt;&lt;Year&gt;1998&lt;/Year&gt;&lt;RecNum&gt;83&lt;/RecNum&gt;&lt;record&gt;&lt;rec-number&gt;83&lt;/rec-number&gt;&lt;foreign-keys&gt;&lt;key app="EN" db-id="50vzxafd505dzseevvi5prdyd0vsefrtrrpx"&gt;83&lt;/key&gt;&lt;/foreign-keys&gt;&lt;ref-type name="Journal Article"&gt;17&lt;/ref-type&gt;&lt;contributors&gt;&lt;authors&gt;&lt;author&gt;Robert, V.&lt;/author&gt;&lt;author&gt;Dieng, H.&lt;/author&gt;&lt;author&gt;Lochouran, L.&lt;/author&gt;&lt;author&gt;Traore, S. F.&lt;/author&gt;&lt;author&gt;Trape, J. F.&lt;/author&gt;&lt;author&gt;Simondon, F.&lt;/author&gt;&lt;author&gt;Fontenille, D.&lt;/author&gt;&lt;/authors&gt;&lt;/contributors&gt;&lt;auth-address&gt;ORSTROM (Institut francais de recherche scientifique pour le developpement en cooperation), Dakar, Senegal.&lt;/auth-address&gt;&lt;titles&gt;&lt;title&gt;[Malaria transmission in the rural zone of Niakhar, Senegal]&lt;/title&gt;&lt;secondary-title&gt;Trop Med Int Health&lt;/secondary-title&gt;&lt;/titles&gt;&lt;periodical&gt;&lt;full-title&gt;Trop Med Int Health&lt;/full-title&gt;&lt;/periodical&gt;&lt;pages&gt;667-77&lt;/pages&gt;&lt;volume&gt;3&lt;/volume&gt;&lt;number&gt;8&lt;/number&gt;&lt;keywords&gt;&lt;keyword&gt;Animals&lt;/keyword&gt;&lt;keyword&gt;Anopheles/ parasitology&lt;/keyword&gt;&lt;keyword&gt;Enzyme-Linked Immunosorbent Assay&lt;/keyword&gt;&lt;keyword&gt;Geography&lt;/keyword&gt;&lt;keyword&gt;Humans&lt;/keyword&gt;&lt;keyword&gt;Insect Bites and Stings&lt;/keyword&gt;&lt;keyword&gt;Malaria/ transmission&lt;/keyword&gt;&lt;keyword&gt;Senegal&lt;/keyword&gt;&lt;/keywords&gt;&lt;dates&gt;&lt;year&gt;1998&lt;/year&gt;&lt;pub-dates&gt;&lt;date&gt;Aug&lt;/date&gt;&lt;/pub-dates&gt;&lt;/dates&gt;&lt;isbn&gt;1360-2276 (Print)&lt;/isbn&gt;&lt;accession-num&gt;9735937&lt;/accession-num&gt;&lt;urls&gt;&lt;/urls&gt;&lt;/record&gt;&lt;/Cite&gt;&lt;/EndNote&gt;</w:instrText>
      </w:r>
      <w:r w:rsidR="00AA2259" w:rsidRPr="00EF6C4E">
        <w:rPr>
          <w:rFonts w:ascii="Calibri" w:hAnsi="Calibri"/>
          <w:sz w:val="24"/>
          <w:lang w:val="en-US"/>
        </w:rPr>
        <w:fldChar w:fldCharType="separate"/>
      </w:r>
      <w:r w:rsidR="002441A6">
        <w:rPr>
          <w:rFonts w:ascii="Calibri" w:hAnsi="Calibri"/>
          <w:noProof/>
          <w:sz w:val="24"/>
          <w:lang w:val="en-US"/>
        </w:rPr>
        <w:t>[29]</w:t>
      </w:r>
      <w:r w:rsidR="00AA2259" w:rsidRPr="00EF6C4E">
        <w:rPr>
          <w:rFonts w:ascii="Calibri" w:hAnsi="Calibri"/>
          <w:sz w:val="24"/>
          <w:lang w:val="en-US"/>
        </w:rPr>
        <w:fldChar w:fldCharType="end"/>
      </w:r>
      <w:r w:rsidRPr="00EF6C4E">
        <w:rPr>
          <w:rFonts w:ascii="Calibri" w:hAnsi="Calibri"/>
          <w:sz w:val="24"/>
          <w:lang w:val="en-US"/>
        </w:rPr>
        <w:t xml:space="preserve"> (</w:t>
      </w:r>
      <w:r w:rsidR="00F0440C" w:rsidRPr="00EF6C4E">
        <w:rPr>
          <w:rFonts w:ascii="Calibri" w:hAnsi="Calibri"/>
          <w:sz w:val="24"/>
          <w:lang w:val="en-US"/>
        </w:rPr>
        <w:t xml:space="preserve">figure </w:t>
      </w:r>
      <w:r w:rsidR="00845607" w:rsidRPr="00EF6C4E">
        <w:rPr>
          <w:rFonts w:ascii="Calibri" w:hAnsi="Calibri"/>
          <w:sz w:val="24"/>
          <w:lang w:val="en-US"/>
        </w:rPr>
        <w:t>S14</w:t>
      </w:r>
      <w:r w:rsidRPr="00EF6C4E">
        <w:rPr>
          <w:rFonts w:ascii="Calibri" w:hAnsi="Calibri"/>
          <w:sz w:val="24"/>
          <w:lang w:val="en-US"/>
        </w:rPr>
        <w:t xml:space="preserve">). A plausible description of the EIR in the absence of data points was created by using the sin wave parameters </w:t>
      </w:r>
      <w:r w:rsidRPr="00EF6C4E">
        <w:rPr>
          <w:rFonts w:ascii="Calibri" w:hAnsi="Calibri"/>
          <w:sz w:val="24"/>
        </w:rPr>
        <w:t xml:space="preserve">a = -62.71, b= 62.87, c= 950, d= 4000 and using a delay function to simulate transmission in </w:t>
      </w:r>
      <w:r w:rsidR="005E2468" w:rsidRPr="00EF6C4E">
        <w:rPr>
          <w:rFonts w:ascii="Calibri" w:hAnsi="Calibri"/>
          <w:sz w:val="24"/>
        </w:rPr>
        <w:t xml:space="preserve">latter </w:t>
      </w:r>
      <w:r w:rsidRPr="00EF6C4E">
        <w:rPr>
          <w:rFonts w:ascii="Calibri" w:hAnsi="Calibri"/>
          <w:sz w:val="24"/>
        </w:rPr>
        <w:t xml:space="preserve">years. </w:t>
      </w:r>
    </w:p>
    <w:p w:rsidR="00B31982" w:rsidRPr="00EF6C4E" w:rsidRDefault="00B31982" w:rsidP="00B31982">
      <w:pPr>
        <w:spacing w:line="360" w:lineRule="auto"/>
        <w:rPr>
          <w:rFonts w:ascii="Calibri" w:hAnsi="Calibri"/>
          <w:sz w:val="24"/>
        </w:rPr>
      </w:pPr>
    </w:p>
    <w:p w:rsidR="00415958" w:rsidRPr="00EF6C4E" w:rsidRDefault="00415958" w:rsidP="00B31982">
      <w:pPr>
        <w:spacing w:line="360" w:lineRule="auto"/>
        <w:rPr>
          <w:rFonts w:ascii="Calibri" w:hAnsi="Calibri"/>
          <w:b/>
          <w:sz w:val="24"/>
        </w:rPr>
      </w:pPr>
      <w:r w:rsidRPr="00EF6C4E">
        <w:rPr>
          <w:rFonts w:ascii="Calibri" w:hAnsi="Calibri"/>
          <w:b/>
          <w:sz w:val="24"/>
        </w:rPr>
        <w:t xml:space="preserve">Figure </w:t>
      </w:r>
      <w:r w:rsidR="0068531B" w:rsidRPr="00EF6C4E">
        <w:rPr>
          <w:rFonts w:ascii="Calibri" w:hAnsi="Calibri"/>
          <w:b/>
          <w:sz w:val="24"/>
        </w:rPr>
        <w:t>S14</w:t>
      </w:r>
      <w:r w:rsidR="00B96760" w:rsidRPr="00EF6C4E">
        <w:rPr>
          <w:rFonts w:ascii="Calibri" w:hAnsi="Calibri"/>
          <w:b/>
          <w:sz w:val="24"/>
          <w:szCs w:val="22"/>
        </w:rPr>
        <w:t>.</w:t>
      </w:r>
      <w:r w:rsidRPr="00EF6C4E">
        <w:rPr>
          <w:rFonts w:ascii="Calibri" w:hAnsi="Calibri"/>
          <w:b/>
          <w:sz w:val="24"/>
        </w:rPr>
        <w:t xml:space="preserve"> Model approximation of entomological inoculation rate in Niakhar, Senegal</w:t>
      </w:r>
    </w:p>
    <w:p w:rsidR="00415958" w:rsidRPr="00EF6C4E" w:rsidRDefault="00AA2259" w:rsidP="00415958">
      <w:pPr>
        <w:rPr>
          <w:rFonts w:ascii="Calibri" w:hAnsi="Calibri"/>
          <w:sz w:val="24"/>
        </w:rPr>
      </w:pPr>
      <w:r>
        <w:rPr>
          <w:rFonts w:ascii="Calibri" w:hAnsi="Calibri"/>
          <w:noProof/>
          <w:sz w:val="24"/>
        </w:rPr>
        <w:pict>
          <v:shape id="_x0000_s1331" type="#_x0000_t75" style="position:absolute;margin-left:0;margin-top:0;width:402.35pt;height:229.55pt;z-index:-13" wrapcoords="121 353 121 21176 21399 21176 21399 353 121 353">
            <v:imagedata r:id="rId44" o:title=""/>
            <w10:wrap type="tight"/>
          </v:shape>
        </w:pict>
      </w: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b/>
          <w:sz w:val="24"/>
        </w:rPr>
      </w:pPr>
    </w:p>
    <w:p w:rsidR="00415958" w:rsidRPr="00EF6C4E" w:rsidRDefault="00415958" w:rsidP="00415958">
      <w:pPr>
        <w:rPr>
          <w:rFonts w:ascii="Calibri" w:hAnsi="Calibri"/>
          <w:sz w:val="24"/>
        </w:rPr>
      </w:pPr>
      <w:r w:rsidRPr="00EF6C4E">
        <w:rPr>
          <w:rFonts w:ascii="Calibri" w:hAnsi="Calibri"/>
          <w:sz w:val="24"/>
        </w:rPr>
        <w:t xml:space="preserve">Figure shows daily and total EIR for simulation of an extremely seasonal transmission setting with a total yearly EIR of 10. </w:t>
      </w:r>
    </w:p>
    <w:p w:rsidR="00415958" w:rsidRPr="00EF6C4E" w:rsidRDefault="00415958" w:rsidP="00415958">
      <w:pPr>
        <w:rPr>
          <w:rFonts w:ascii="Calibri" w:hAnsi="Calibri"/>
          <w:sz w:val="24"/>
        </w:rPr>
      </w:pPr>
    </w:p>
    <w:p w:rsidR="00415958" w:rsidRPr="00EF6C4E" w:rsidRDefault="00415958" w:rsidP="00415958">
      <w:pPr>
        <w:rPr>
          <w:rFonts w:ascii="Calibri" w:hAnsi="Calibri"/>
          <w:b/>
          <w:sz w:val="24"/>
        </w:rPr>
      </w:pPr>
    </w:p>
    <w:p w:rsidR="00415958" w:rsidRPr="00EF6C4E" w:rsidRDefault="00B31982" w:rsidP="00415958">
      <w:pPr>
        <w:spacing w:line="360" w:lineRule="auto"/>
        <w:rPr>
          <w:rFonts w:ascii="Calibri" w:hAnsi="Calibri"/>
          <w:sz w:val="24"/>
        </w:rPr>
      </w:pPr>
      <w:r w:rsidRPr="00EF6C4E">
        <w:rPr>
          <w:rFonts w:ascii="Calibri" w:hAnsi="Calibri"/>
          <w:b/>
          <w:sz w:val="24"/>
        </w:rPr>
        <w:br w:type="page"/>
      </w:r>
      <w:r w:rsidR="00415958" w:rsidRPr="00EF6C4E">
        <w:rPr>
          <w:rFonts w:ascii="Calibri" w:hAnsi="Calibri"/>
          <w:sz w:val="24"/>
        </w:rPr>
        <w:lastRenderedPageBreak/>
        <w:t xml:space="preserve">Giving a single dose of seasonal IPT to infants alone at the peak of transmission is </w:t>
      </w:r>
      <w:r w:rsidR="0032534E" w:rsidRPr="00EF6C4E">
        <w:rPr>
          <w:rFonts w:ascii="Calibri" w:hAnsi="Calibri"/>
          <w:sz w:val="24"/>
        </w:rPr>
        <w:t xml:space="preserve">superior to </w:t>
      </w:r>
      <w:r w:rsidR="00415958" w:rsidRPr="00EF6C4E">
        <w:rPr>
          <w:rFonts w:ascii="Calibri" w:hAnsi="Calibri"/>
          <w:sz w:val="24"/>
        </w:rPr>
        <w:t>4 doses of IPTi through the EPI all year round. Seasonal IPT given once in infancy and once in the second year of life would give protective efficacy almost three times greater than four doses in infancy.</w:t>
      </w:r>
    </w:p>
    <w:p w:rsidR="00415958" w:rsidRPr="00EF6C4E" w:rsidRDefault="00415958" w:rsidP="00415958">
      <w:pPr>
        <w:spacing w:line="360" w:lineRule="auto"/>
        <w:rPr>
          <w:rFonts w:ascii="Calibri" w:hAnsi="Calibri"/>
          <w:sz w:val="24"/>
        </w:rPr>
      </w:pPr>
    </w:p>
    <w:p w:rsidR="00415958" w:rsidRPr="00EF6C4E" w:rsidRDefault="00415958" w:rsidP="00415958">
      <w:pPr>
        <w:spacing w:line="360" w:lineRule="auto"/>
        <w:rPr>
          <w:rFonts w:ascii="Calibri" w:hAnsi="Calibri"/>
          <w:b/>
          <w:sz w:val="24"/>
        </w:rPr>
      </w:pPr>
      <w:r w:rsidRPr="00EF6C4E">
        <w:rPr>
          <w:rFonts w:ascii="Calibri" w:hAnsi="Calibri"/>
          <w:b/>
          <w:sz w:val="24"/>
        </w:rPr>
        <w:t>Optimal approach in extremely seasonal settings</w:t>
      </w:r>
    </w:p>
    <w:p w:rsidR="00415958" w:rsidRPr="00EF6C4E" w:rsidRDefault="00415958" w:rsidP="00415958">
      <w:pPr>
        <w:spacing w:line="360" w:lineRule="auto"/>
        <w:rPr>
          <w:rFonts w:ascii="Calibri" w:hAnsi="Calibri"/>
          <w:sz w:val="24"/>
        </w:rPr>
      </w:pPr>
      <w:r w:rsidRPr="00EF6C4E">
        <w:rPr>
          <w:rFonts w:ascii="Calibri" w:hAnsi="Calibri"/>
          <w:sz w:val="24"/>
        </w:rPr>
        <w:t>Due to the short transmission season, additional doses are not substantially more effective unless IPT can be given more regularly: 6 monthly doses would be similarly efficacious to 3 or 4 monthly doses (PE 81.6%, 67.1% 40.7% at 12, 15 and 24 months respectively). Six doses of bi-weekly IPT over the course of the transmission season (during infancy alone) would give protective efficacy of 95.0% in infancy, 78.8% by 15 months of age and 47.8% by two years of age.</w:t>
      </w:r>
    </w:p>
    <w:p w:rsidR="00415958" w:rsidRPr="00EF6C4E" w:rsidRDefault="00415958" w:rsidP="00415958">
      <w:pPr>
        <w:spacing w:line="360" w:lineRule="auto"/>
        <w:rPr>
          <w:rFonts w:ascii="Calibri" w:hAnsi="Calibri"/>
          <w:sz w:val="24"/>
        </w:rPr>
      </w:pPr>
    </w:p>
    <w:p w:rsidR="00415958" w:rsidRPr="00EF6C4E" w:rsidRDefault="00415958" w:rsidP="00415958">
      <w:pPr>
        <w:spacing w:line="360" w:lineRule="auto"/>
        <w:rPr>
          <w:rFonts w:ascii="Calibri" w:hAnsi="Calibri"/>
          <w:sz w:val="24"/>
        </w:rPr>
      </w:pPr>
      <w:r w:rsidRPr="00EF6C4E">
        <w:rPr>
          <w:rFonts w:ascii="Calibri" w:hAnsi="Calibri"/>
          <w:b/>
          <w:sz w:val="24"/>
        </w:rPr>
        <w:t xml:space="preserve">Table </w:t>
      </w:r>
      <w:r w:rsidR="0068531B" w:rsidRPr="00EF6C4E">
        <w:rPr>
          <w:rFonts w:ascii="Calibri" w:hAnsi="Calibri"/>
          <w:b/>
          <w:sz w:val="24"/>
        </w:rPr>
        <w:t>S7</w:t>
      </w:r>
      <w:r w:rsidR="00B96760" w:rsidRPr="00EF6C4E">
        <w:rPr>
          <w:rFonts w:ascii="Calibri" w:hAnsi="Calibri"/>
          <w:b/>
          <w:sz w:val="24"/>
          <w:szCs w:val="22"/>
        </w:rPr>
        <w:t>.</w:t>
      </w:r>
      <w:r w:rsidRPr="00EF6C4E">
        <w:rPr>
          <w:rFonts w:ascii="Calibri" w:hAnsi="Calibri"/>
          <w:b/>
          <w:sz w:val="24"/>
        </w:rPr>
        <w:t xml:space="preserve"> Protective efficacy of </w:t>
      </w:r>
      <w:r w:rsidR="00F0440C" w:rsidRPr="00EF6C4E">
        <w:rPr>
          <w:rFonts w:ascii="Calibri" w:hAnsi="Calibri"/>
          <w:b/>
          <w:sz w:val="24"/>
        </w:rPr>
        <w:t>IPTi</w:t>
      </w:r>
      <w:r w:rsidRPr="00EF6C4E">
        <w:rPr>
          <w:rFonts w:ascii="Calibri" w:hAnsi="Calibri"/>
          <w:b/>
          <w:sz w:val="24"/>
        </w:rPr>
        <w:t xml:space="preserve"> and sIPT in an extremely seasonal setting</w:t>
      </w:r>
    </w:p>
    <w:p w:rsidR="00415958" w:rsidRPr="00EF6C4E" w:rsidRDefault="00415958" w:rsidP="00415958">
      <w:pPr>
        <w:rPr>
          <w:rFonts w:ascii="Calibri" w:hAnsi="Calibri"/>
        </w:rPr>
      </w:pPr>
    </w:p>
    <w:tbl>
      <w:tblPr>
        <w:tblW w:w="0" w:type="auto"/>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08"/>
        <w:gridCol w:w="1711"/>
        <w:gridCol w:w="1302"/>
        <w:gridCol w:w="1533"/>
        <w:gridCol w:w="1418"/>
      </w:tblGrid>
      <w:tr w:rsidR="0032534E" w:rsidRPr="00EF6C4E" w:rsidTr="00EF6C4E">
        <w:tc>
          <w:tcPr>
            <w:tcW w:w="2008" w:type="dxa"/>
            <w:tcBorders>
              <w:top w:val="single" w:sz="4" w:space="0" w:color="auto"/>
              <w:bottom w:val="single" w:sz="4" w:space="0" w:color="auto"/>
            </w:tcBorders>
          </w:tcPr>
          <w:p w:rsidR="0032534E" w:rsidRPr="00EF6C4E" w:rsidRDefault="0032534E" w:rsidP="00415958">
            <w:pPr>
              <w:rPr>
                <w:rFonts w:ascii="Calibri" w:hAnsi="Calibri"/>
                <w:sz w:val="24"/>
              </w:rPr>
            </w:pPr>
          </w:p>
        </w:tc>
        <w:tc>
          <w:tcPr>
            <w:tcW w:w="3013" w:type="dxa"/>
            <w:gridSpan w:val="2"/>
            <w:tcBorders>
              <w:top w:val="single" w:sz="4" w:space="0" w:color="auto"/>
              <w:bottom w:val="single" w:sz="4" w:space="0" w:color="auto"/>
            </w:tcBorders>
          </w:tcPr>
          <w:p w:rsidR="0032534E" w:rsidRPr="00EF6C4E" w:rsidRDefault="002475B4" w:rsidP="002475B4">
            <w:pPr>
              <w:jc w:val="center"/>
              <w:rPr>
                <w:rFonts w:ascii="Calibri" w:hAnsi="Calibri"/>
                <w:sz w:val="24"/>
              </w:rPr>
            </w:pPr>
            <w:r w:rsidRPr="00EF6C4E">
              <w:rPr>
                <w:rFonts w:ascii="Calibri" w:hAnsi="Calibri"/>
                <w:sz w:val="24"/>
              </w:rPr>
              <w:t>EPI-</w:t>
            </w:r>
            <w:r w:rsidR="0032534E" w:rsidRPr="00EF6C4E">
              <w:rPr>
                <w:rFonts w:ascii="Calibri" w:hAnsi="Calibri"/>
                <w:sz w:val="24"/>
              </w:rPr>
              <w:t xml:space="preserve">IPTi </w:t>
            </w:r>
            <w:r w:rsidRPr="00EF6C4E">
              <w:rPr>
                <w:rFonts w:ascii="Calibri" w:hAnsi="Calibri"/>
                <w:sz w:val="24"/>
              </w:rPr>
              <w:t xml:space="preserve">vs. </w:t>
            </w:r>
            <w:r w:rsidR="0032534E" w:rsidRPr="00EF6C4E">
              <w:rPr>
                <w:rFonts w:ascii="Calibri" w:hAnsi="Calibri"/>
                <w:sz w:val="24"/>
              </w:rPr>
              <w:t xml:space="preserve">seasonal IPT </w:t>
            </w:r>
            <w:r w:rsidRPr="00EF6C4E">
              <w:rPr>
                <w:rFonts w:ascii="Calibri" w:hAnsi="Calibri"/>
                <w:sz w:val="24"/>
              </w:rPr>
              <w:t>in</w:t>
            </w:r>
            <w:r w:rsidR="0032534E" w:rsidRPr="00EF6C4E">
              <w:rPr>
                <w:rFonts w:ascii="Calibri" w:hAnsi="Calibri"/>
                <w:sz w:val="24"/>
              </w:rPr>
              <w:t xml:space="preserve"> infants </w:t>
            </w:r>
          </w:p>
        </w:tc>
        <w:tc>
          <w:tcPr>
            <w:tcW w:w="2951" w:type="dxa"/>
            <w:gridSpan w:val="2"/>
            <w:tcBorders>
              <w:top w:val="single" w:sz="4" w:space="0" w:color="auto"/>
              <w:bottom w:val="single" w:sz="4" w:space="0" w:color="auto"/>
            </w:tcBorders>
          </w:tcPr>
          <w:p w:rsidR="0032534E" w:rsidRPr="00EF6C4E" w:rsidRDefault="002475B4" w:rsidP="002475B4">
            <w:pPr>
              <w:jc w:val="center"/>
              <w:rPr>
                <w:rFonts w:ascii="Calibri" w:hAnsi="Calibri"/>
                <w:sz w:val="24"/>
              </w:rPr>
            </w:pPr>
            <w:r w:rsidRPr="00EF6C4E">
              <w:rPr>
                <w:rFonts w:ascii="Calibri" w:hAnsi="Calibri"/>
                <w:sz w:val="24"/>
              </w:rPr>
              <w:t xml:space="preserve">EPI-IPTi vs. </w:t>
            </w:r>
            <w:r w:rsidR="0032534E" w:rsidRPr="00EF6C4E">
              <w:rPr>
                <w:rFonts w:ascii="Calibri" w:hAnsi="Calibri"/>
                <w:sz w:val="24"/>
              </w:rPr>
              <w:t>sIPT in children</w:t>
            </w:r>
            <w:r w:rsidRPr="00EF6C4E">
              <w:rPr>
                <w:rFonts w:ascii="Calibri" w:hAnsi="Calibri"/>
                <w:sz w:val="24"/>
              </w:rPr>
              <w:t xml:space="preserve"> &lt;24 months</w:t>
            </w:r>
          </w:p>
        </w:tc>
      </w:tr>
      <w:tr w:rsidR="0032534E" w:rsidRPr="00EF6C4E" w:rsidTr="00EF6C4E">
        <w:tc>
          <w:tcPr>
            <w:tcW w:w="2008" w:type="dxa"/>
            <w:tcBorders>
              <w:top w:val="nil"/>
              <w:bottom w:val="single" w:sz="4" w:space="0" w:color="auto"/>
            </w:tcBorders>
          </w:tcPr>
          <w:p w:rsidR="0032534E" w:rsidRPr="00EF6C4E" w:rsidRDefault="0032534E" w:rsidP="00415958">
            <w:pPr>
              <w:rPr>
                <w:rFonts w:ascii="Calibri" w:hAnsi="Calibri"/>
                <w:sz w:val="24"/>
              </w:rPr>
            </w:pPr>
          </w:p>
        </w:tc>
        <w:tc>
          <w:tcPr>
            <w:tcW w:w="1711" w:type="dxa"/>
            <w:tcBorders>
              <w:top w:val="nil"/>
              <w:bottom w:val="single" w:sz="4" w:space="0" w:color="auto"/>
            </w:tcBorders>
          </w:tcPr>
          <w:p w:rsidR="0032534E" w:rsidRPr="00EF6C4E" w:rsidRDefault="002475B4" w:rsidP="002475B4">
            <w:pPr>
              <w:jc w:val="center"/>
              <w:rPr>
                <w:rFonts w:ascii="Calibri" w:hAnsi="Calibri"/>
                <w:sz w:val="24"/>
              </w:rPr>
            </w:pPr>
            <w:r w:rsidRPr="00EF6C4E">
              <w:rPr>
                <w:rFonts w:ascii="Calibri" w:hAnsi="Calibri"/>
                <w:sz w:val="24"/>
              </w:rPr>
              <w:t>Protective efficacy at 24 months</w:t>
            </w:r>
          </w:p>
        </w:tc>
        <w:tc>
          <w:tcPr>
            <w:tcW w:w="1302" w:type="dxa"/>
            <w:tcBorders>
              <w:top w:val="nil"/>
              <w:bottom w:val="single" w:sz="4" w:space="0" w:color="auto"/>
            </w:tcBorders>
          </w:tcPr>
          <w:p w:rsidR="0032534E" w:rsidRPr="00EF6C4E" w:rsidRDefault="0032534E" w:rsidP="00415958">
            <w:pPr>
              <w:jc w:val="center"/>
              <w:rPr>
                <w:rFonts w:ascii="Calibri" w:hAnsi="Calibri"/>
                <w:sz w:val="24"/>
              </w:rPr>
            </w:pPr>
            <w:r w:rsidRPr="00EF6C4E">
              <w:rPr>
                <w:rFonts w:ascii="Calibri" w:hAnsi="Calibri"/>
                <w:sz w:val="24"/>
              </w:rPr>
              <w:t>Relative PE</w:t>
            </w:r>
          </w:p>
        </w:tc>
        <w:tc>
          <w:tcPr>
            <w:tcW w:w="1533" w:type="dxa"/>
            <w:tcBorders>
              <w:top w:val="nil"/>
              <w:bottom w:val="single" w:sz="4" w:space="0" w:color="auto"/>
            </w:tcBorders>
          </w:tcPr>
          <w:p w:rsidR="0032534E" w:rsidRPr="00EF6C4E" w:rsidRDefault="002475B4" w:rsidP="00415958">
            <w:pPr>
              <w:jc w:val="center"/>
              <w:rPr>
                <w:rFonts w:ascii="Calibri" w:hAnsi="Calibri"/>
                <w:sz w:val="24"/>
              </w:rPr>
            </w:pPr>
            <w:r w:rsidRPr="00EF6C4E">
              <w:rPr>
                <w:rFonts w:ascii="Calibri" w:hAnsi="Calibri"/>
                <w:sz w:val="24"/>
              </w:rPr>
              <w:t>Protective efficacy at 24 months</w:t>
            </w:r>
          </w:p>
        </w:tc>
        <w:tc>
          <w:tcPr>
            <w:tcW w:w="1418" w:type="dxa"/>
            <w:tcBorders>
              <w:top w:val="nil"/>
              <w:bottom w:val="single" w:sz="4" w:space="0" w:color="auto"/>
            </w:tcBorders>
          </w:tcPr>
          <w:p w:rsidR="0032534E" w:rsidRPr="00EF6C4E" w:rsidRDefault="0032534E" w:rsidP="00415958">
            <w:pPr>
              <w:jc w:val="center"/>
              <w:rPr>
                <w:rFonts w:ascii="Calibri" w:hAnsi="Calibri"/>
                <w:sz w:val="24"/>
              </w:rPr>
            </w:pPr>
            <w:r w:rsidRPr="00EF6C4E">
              <w:rPr>
                <w:rFonts w:ascii="Calibri" w:hAnsi="Calibri"/>
                <w:sz w:val="24"/>
              </w:rPr>
              <w:t>Relative PE</w:t>
            </w:r>
          </w:p>
        </w:tc>
      </w:tr>
      <w:tr w:rsidR="0032534E" w:rsidRPr="00EF6C4E" w:rsidTr="00EF6C4E">
        <w:tc>
          <w:tcPr>
            <w:tcW w:w="2008" w:type="dxa"/>
            <w:tcBorders>
              <w:bottom w:val="nil"/>
            </w:tcBorders>
          </w:tcPr>
          <w:p w:rsidR="0032534E" w:rsidRPr="00EF6C4E" w:rsidRDefault="0032534E" w:rsidP="00415958">
            <w:pPr>
              <w:rPr>
                <w:rFonts w:ascii="Calibri" w:hAnsi="Calibri"/>
                <w:sz w:val="24"/>
              </w:rPr>
            </w:pPr>
            <w:r w:rsidRPr="00EF6C4E">
              <w:rPr>
                <w:rFonts w:ascii="Calibri" w:hAnsi="Calibri"/>
                <w:sz w:val="24"/>
              </w:rPr>
              <w:t>IPTi (in infancy)</w:t>
            </w:r>
          </w:p>
        </w:tc>
        <w:tc>
          <w:tcPr>
            <w:tcW w:w="1711" w:type="dxa"/>
            <w:tcBorders>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15.8%</w:t>
            </w:r>
          </w:p>
        </w:tc>
        <w:tc>
          <w:tcPr>
            <w:tcW w:w="1302" w:type="dxa"/>
            <w:tcBorders>
              <w:bottom w:val="nil"/>
            </w:tcBorders>
          </w:tcPr>
          <w:p w:rsidR="0032534E" w:rsidRPr="00EF6C4E" w:rsidRDefault="0032534E" w:rsidP="00415958">
            <w:pPr>
              <w:jc w:val="center"/>
              <w:rPr>
                <w:rFonts w:ascii="Calibri" w:hAnsi="Calibri"/>
                <w:sz w:val="24"/>
              </w:rPr>
            </w:pPr>
            <w:r w:rsidRPr="00EF6C4E">
              <w:rPr>
                <w:rFonts w:ascii="Calibri" w:hAnsi="Calibri"/>
                <w:sz w:val="24"/>
              </w:rPr>
              <w:t>-</w:t>
            </w:r>
          </w:p>
        </w:tc>
        <w:tc>
          <w:tcPr>
            <w:tcW w:w="1533" w:type="dxa"/>
            <w:tcBorders>
              <w:bottom w:val="nil"/>
            </w:tcBorders>
          </w:tcPr>
          <w:p w:rsidR="0032534E" w:rsidRPr="00EF6C4E" w:rsidRDefault="0032534E" w:rsidP="00415958">
            <w:pPr>
              <w:jc w:val="center"/>
              <w:rPr>
                <w:rFonts w:ascii="Calibri" w:hAnsi="Calibri"/>
                <w:sz w:val="24"/>
              </w:rPr>
            </w:pPr>
            <w:r w:rsidRPr="00EF6C4E">
              <w:rPr>
                <w:rFonts w:ascii="Calibri" w:hAnsi="Calibri"/>
                <w:sz w:val="24"/>
              </w:rPr>
              <w:t>15.8%</w:t>
            </w:r>
          </w:p>
        </w:tc>
        <w:tc>
          <w:tcPr>
            <w:tcW w:w="1418" w:type="dxa"/>
            <w:tcBorders>
              <w:bottom w:val="nil"/>
            </w:tcBorders>
          </w:tcPr>
          <w:p w:rsidR="0032534E" w:rsidRPr="00EF6C4E" w:rsidRDefault="0032534E" w:rsidP="00415958">
            <w:pPr>
              <w:jc w:val="center"/>
              <w:rPr>
                <w:rFonts w:ascii="Calibri" w:hAnsi="Calibri"/>
                <w:sz w:val="24"/>
              </w:rPr>
            </w:pPr>
            <w:r w:rsidRPr="00EF6C4E">
              <w:rPr>
                <w:rFonts w:ascii="Calibri" w:hAnsi="Calibri"/>
                <w:sz w:val="24"/>
              </w:rPr>
              <w:t>-</w:t>
            </w:r>
          </w:p>
        </w:tc>
      </w:tr>
      <w:tr w:rsidR="0032534E" w:rsidRPr="00EF6C4E" w:rsidTr="00EF6C4E">
        <w:tc>
          <w:tcPr>
            <w:tcW w:w="2008" w:type="dxa"/>
            <w:tcBorders>
              <w:top w:val="nil"/>
              <w:bottom w:val="nil"/>
            </w:tcBorders>
          </w:tcPr>
          <w:p w:rsidR="0032534E" w:rsidRPr="00EF6C4E" w:rsidRDefault="0032534E" w:rsidP="00415958">
            <w:pPr>
              <w:rPr>
                <w:rFonts w:ascii="Calibri" w:hAnsi="Calibri"/>
                <w:sz w:val="24"/>
              </w:rPr>
            </w:pPr>
            <w:r w:rsidRPr="00EF6C4E">
              <w:rPr>
                <w:rFonts w:ascii="Calibri" w:hAnsi="Calibri"/>
                <w:sz w:val="24"/>
              </w:rPr>
              <w:t>sIPT (1 dose)</w:t>
            </w:r>
          </w:p>
        </w:tc>
        <w:tc>
          <w:tcPr>
            <w:tcW w:w="1711"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22.3%</w:t>
            </w:r>
          </w:p>
        </w:tc>
        <w:tc>
          <w:tcPr>
            <w:tcW w:w="1302"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1.41</w:t>
            </w:r>
          </w:p>
        </w:tc>
        <w:tc>
          <w:tcPr>
            <w:tcW w:w="1533"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45.8%</w:t>
            </w:r>
          </w:p>
        </w:tc>
        <w:tc>
          <w:tcPr>
            <w:tcW w:w="1418"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2.90</w:t>
            </w:r>
          </w:p>
        </w:tc>
      </w:tr>
      <w:tr w:rsidR="0032534E" w:rsidRPr="00EF6C4E" w:rsidTr="00EF6C4E">
        <w:tc>
          <w:tcPr>
            <w:tcW w:w="2008" w:type="dxa"/>
            <w:tcBorders>
              <w:top w:val="nil"/>
              <w:bottom w:val="nil"/>
            </w:tcBorders>
          </w:tcPr>
          <w:p w:rsidR="0032534E" w:rsidRPr="00EF6C4E" w:rsidRDefault="0032534E" w:rsidP="00415958">
            <w:pPr>
              <w:rPr>
                <w:rFonts w:ascii="Calibri" w:hAnsi="Calibri"/>
                <w:sz w:val="24"/>
              </w:rPr>
            </w:pPr>
            <w:r w:rsidRPr="00EF6C4E">
              <w:rPr>
                <w:rFonts w:ascii="Calibri" w:hAnsi="Calibri"/>
                <w:sz w:val="24"/>
              </w:rPr>
              <w:t>sIPT (2 doses)</w:t>
            </w:r>
          </w:p>
        </w:tc>
        <w:tc>
          <w:tcPr>
            <w:tcW w:w="1711"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34.7%</w:t>
            </w:r>
          </w:p>
        </w:tc>
        <w:tc>
          <w:tcPr>
            <w:tcW w:w="1302"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2.20</w:t>
            </w:r>
          </w:p>
        </w:tc>
        <w:tc>
          <w:tcPr>
            <w:tcW w:w="1533"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70.9%</w:t>
            </w:r>
          </w:p>
        </w:tc>
        <w:tc>
          <w:tcPr>
            <w:tcW w:w="1418"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4.49</w:t>
            </w:r>
          </w:p>
        </w:tc>
      </w:tr>
      <w:tr w:rsidR="0032534E" w:rsidRPr="00EF6C4E" w:rsidTr="00EF6C4E">
        <w:tc>
          <w:tcPr>
            <w:tcW w:w="2008" w:type="dxa"/>
            <w:tcBorders>
              <w:top w:val="nil"/>
              <w:bottom w:val="nil"/>
            </w:tcBorders>
          </w:tcPr>
          <w:p w:rsidR="0032534E" w:rsidRPr="00EF6C4E" w:rsidRDefault="0032534E" w:rsidP="00415958">
            <w:pPr>
              <w:rPr>
                <w:rFonts w:ascii="Calibri" w:hAnsi="Calibri"/>
                <w:sz w:val="24"/>
              </w:rPr>
            </w:pPr>
            <w:r w:rsidRPr="00EF6C4E">
              <w:rPr>
                <w:rFonts w:ascii="Calibri" w:hAnsi="Calibri"/>
                <w:sz w:val="24"/>
              </w:rPr>
              <w:t>sIPT (3 doses)</w:t>
            </w:r>
          </w:p>
        </w:tc>
        <w:tc>
          <w:tcPr>
            <w:tcW w:w="1711"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39.9%</w:t>
            </w:r>
          </w:p>
        </w:tc>
        <w:tc>
          <w:tcPr>
            <w:tcW w:w="1302" w:type="dxa"/>
            <w:tcBorders>
              <w:top w:val="nil"/>
              <w:bottom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2.52</w:t>
            </w:r>
          </w:p>
        </w:tc>
        <w:tc>
          <w:tcPr>
            <w:tcW w:w="1533"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80.9%</w:t>
            </w:r>
          </w:p>
        </w:tc>
        <w:tc>
          <w:tcPr>
            <w:tcW w:w="1418" w:type="dxa"/>
            <w:tcBorders>
              <w:top w:val="nil"/>
              <w:bottom w:val="nil"/>
            </w:tcBorders>
          </w:tcPr>
          <w:p w:rsidR="0032534E" w:rsidRPr="00EF6C4E" w:rsidRDefault="0032534E" w:rsidP="00415958">
            <w:pPr>
              <w:jc w:val="center"/>
              <w:rPr>
                <w:rFonts w:ascii="Calibri" w:hAnsi="Calibri" w:cs="Arial"/>
                <w:sz w:val="24"/>
              </w:rPr>
            </w:pPr>
            <w:r w:rsidRPr="00EF6C4E">
              <w:rPr>
                <w:rFonts w:ascii="Calibri" w:hAnsi="Calibri" w:cs="Arial"/>
                <w:sz w:val="24"/>
              </w:rPr>
              <w:t>5.12</w:t>
            </w:r>
          </w:p>
        </w:tc>
      </w:tr>
      <w:tr w:rsidR="0032534E" w:rsidRPr="00EF6C4E" w:rsidTr="00EF6C4E">
        <w:tc>
          <w:tcPr>
            <w:tcW w:w="2008" w:type="dxa"/>
            <w:tcBorders>
              <w:top w:val="nil"/>
            </w:tcBorders>
          </w:tcPr>
          <w:p w:rsidR="0032534E" w:rsidRPr="00EF6C4E" w:rsidRDefault="0032534E" w:rsidP="00415958">
            <w:pPr>
              <w:rPr>
                <w:rFonts w:ascii="Calibri" w:hAnsi="Calibri"/>
                <w:sz w:val="24"/>
              </w:rPr>
            </w:pPr>
            <w:r w:rsidRPr="00EF6C4E">
              <w:rPr>
                <w:rFonts w:ascii="Calibri" w:hAnsi="Calibri"/>
                <w:sz w:val="24"/>
              </w:rPr>
              <w:t>sIPT (4 doses)</w:t>
            </w:r>
          </w:p>
        </w:tc>
        <w:tc>
          <w:tcPr>
            <w:tcW w:w="1711" w:type="dxa"/>
            <w:tcBorders>
              <w:top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40.5%</w:t>
            </w:r>
          </w:p>
        </w:tc>
        <w:tc>
          <w:tcPr>
            <w:tcW w:w="1302" w:type="dxa"/>
            <w:tcBorders>
              <w:top w:val="nil"/>
            </w:tcBorders>
            <w:vAlign w:val="bottom"/>
          </w:tcPr>
          <w:p w:rsidR="0032534E" w:rsidRPr="00EF6C4E" w:rsidRDefault="0032534E" w:rsidP="00415958">
            <w:pPr>
              <w:jc w:val="center"/>
              <w:rPr>
                <w:rFonts w:ascii="Calibri" w:hAnsi="Calibri" w:cs="Arial"/>
                <w:sz w:val="24"/>
              </w:rPr>
            </w:pPr>
            <w:r w:rsidRPr="00EF6C4E">
              <w:rPr>
                <w:rFonts w:ascii="Calibri" w:hAnsi="Calibri" w:cs="Arial"/>
                <w:sz w:val="24"/>
              </w:rPr>
              <w:t>2.55</w:t>
            </w:r>
          </w:p>
        </w:tc>
        <w:tc>
          <w:tcPr>
            <w:tcW w:w="1533" w:type="dxa"/>
            <w:tcBorders>
              <w:top w:val="nil"/>
            </w:tcBorders>
          </w:tcPr>
          <w:p w:rsidR="0032534E" w:rsidRPr="00EF6C4E" w:rsidRDefault="0032534E" w:rsidP="00415958">
            <w:pPr>
              <w:jc w:val="center"/>
              <w:rPr>
                <w:rFonts w:ascii="Calibri" w:hAnsi="Calibri" w:cs="Arial"/>
                <w:sz w:val="24"/>
              </w:rPr>
            </w:pPr>
            <w:r w:rsidRPr="00EF6C4E">
              <w:rPr>
                <w:rFonts w:ascii="Calibri" w:hAnsi="Calibri" w:cs="Arial"/>
                <w:sz w:val="24"/>
              </w:rPr>
              <w:t>81.9%</w:t>
            </w:r>
          </w:p>
        </w:tc>
        <w:tc>
          <w:tcPr>
            <w:tcW w:w="1418" w:type="dxa"/>
            <w:tcBorders>
              <w:top w:val="nil"/>
            </w:tcBorders>
          </w:tcPr>
          <w:p w:rsidR="0032534E" w:rsidRPr="00EF6C4E" w:rsidRDefault="0032534E" w:rsidP="00415958">
            <w:pPr>
              <w:jc w:val="center"/>
              <w:rPr>
                <w:rFonts w:ascii="Calibri" w:hAnsi="Calibri" w:cs="Arial"/>
                <w:sz w:val="24"/>
              </w:rPr>
            </w:pPr>
            <w:r w:rsidRPr="00EF6C4E">
              <w:rPr>
                <w:rFonts w:ascii="Calibri" w:hAnsi="Calibri" w:cs="Arial"/>
                <w:sz w:val="24"/>
              </w:rPr>
              <w:t>5.18</w:t>
            </w:r>
          </w:p>
        </w:tc>
      </w:tr>
    </w:tbl>
    <w:p w:rsidR="00415958" w:rsidRPr="00EF6C4E" w:rsidRDefault="00415958" w:rsidP="00415958">
      <w:pPr>
        <w:rPr>
          <w:rFonts w:ascii="Calibri" w:hAnsi="Calibri"/>
        </w:rPr>
      </w:pPr>
    </w:p>
    <w:p w:rsidR="00415958" w:rsidRPr="00EF6C4E" w:rsidRDefault="00415958" w:rsidP="00415958">
      <w:pPr>
        <w:rPr>
          <w:rFonts w:ascii="Calibri" w:hAnsi="Calibri"/>
          <w:sz w:val="24"/>
        </w:rPr>
      </w:pPr>
      <w:r w:rsidRPr="00EF6C4E">
        <w:rPr>
          <w:rFonts w:ascii="Calibri" w:hAnsi="Calibri"/>
          <w:sz w:val="24"/>
        </w:rPr>
        <w:t xml:space="preserve">The table shows protective efficacy of different number of doses of monthly seasonal IPT in comparison to four doses of </w:t>
      </w:r>
      <w:r w:rsidR="00F0440C" w:rsidRPr="00EF6C4E">
        <w:rPr>
          <w:rFonts w:ascii="Calibri" w:hAnsi="Calibri"/>
          <w:sz w:val="24"/>
        </w:rPr>
        <w:t>IPTi</w:t>
      </w:r>
      <w:r w:rsidRPr="00EF6C4E">
        <w:rPr>
          <w:rFonts w:ascii="Calibri" w:hAnsi="Calibri"/>
          <w:sz w:val="24"/>
        </w:rPr>
        <w:t xml:space="preserve"> in infancy</w:t>
      </w:r>
      <w:r w:rsidR="002475B4" w:rsidRPr="00EF6C4E">
        <w:rPr>
          <w:rFonts w:ascii="Calibri" w:hAnsi="Calibri"/>
          <w:sz w:val="24"/>
        </w:rPr>
        <w:t xml:space="preserve">; the relative protective efficacy compared to IPTi in infancy is indicated. </w:t>
      </w:r>
      <w:r w:rsidRPr="00EF6C4E">
        <w:rPr>
          <w:rFonts w:ascii="Calibri" w:hAnsi="Calibri"/>
          <w:sz w:val="24"/>
        </w:rPr>
        <w:t xml:space="preserve">The </w:t>
      </w:r>
      <w:r w:rsidR="002475B4" w:rsidRPr="00EF6C4E">
        <w:rPr>
          <w:rFonts w:ascii="Calibri" w:hAnsi="Calibri"/>
          <w:sz w:val="24"/>
        </w:rPr>
        <w:t xml:space="preserve">impact </w:t>
      </w:r>
      <w:r w:rsidRPr="00EF6C4E">
        <w:rPr>
          <w:rFonts w:ascii="Calibri" w:hAnsi="Calibri"/>
          <w:sz w:val="24"/>
        </w:rPr>
        <w:t>of extending the seasonal IPT schedule to also include one year old children is also shown</w:t>
      </w:r>
      <w:r w:rsidR="002475B4" w:rsidRPr="00EF6C4E">
        <w:rPr>
          <w:rFonts w:ascii="Calibri" w:hAnsi="Calibri"/>
          <w:sz w:val="24"/>
        </w:rPr>
        <w:t>.</w:t>
      </w:r>
      <w:r w:rsidRPr="00EF6C4E">
        <w:rPr>
          <w:rFonts w:ascii="Calibri" w:hAnsi="Calibri"/>
          <w:sz w:val="24"/>
        </w:rPr>
        <w:t xml:space="preserve"> </w:t>
      </w:r>
    </w:p>
    <w:p w:rsidR="00415958" w:rsidRPr="00EF6C4E" w:rsidRDefault="00415958" w:rsidP="00415958">
      <w:pPr>
        <w:spacing w:line="360" w:lineRule="auto"/>
        <w:rPr>
          <w:rFonts w:ascii="Calibri" w:hAnsi="Calibri"/>
          <w:b/>
          <w:sz w:val="24"/>
        </w:rPr>
      </w:pPr>
    </w:p>
    <w:p w:rsidR="00415958" w:rsidRPr="00EF6C4E" w:rsidRDefault="00415958" w:rsidP="00415958">
      <w:pPr>
        <w:spacing w:line="360" w:lineRule="auto"/>
        <w:rPr>
          <w:rFonts w:ascii="Calibri" w:hAnsi="Calibri"/>
          <w:b/>
          <w:sz w:val="24"/>
        </w:rPr>
      </w:pPr>
      <w:r w:rsidRPr="00EF6C4E">
        <w:rPr>
          <w:rFonts w:ascii="Calibri" w:hAnsi="Calibri"/>
          <w:b/>
          <w:sz w:val="24"/>
        </w:rPr>
        <w:t>Consistency with trials from extremely seasonal settings</w:t>
      </w:r>
    </w:p>
    <w:p w:rsidR="00415958" w:rsidRPr="00EF6C4E" w:rsidRDefault="00415958" w:rsidP="00415958">
      <w:pPr>
        <w:spacing w:line="360" w:lineRule="auto"/>
        <w:rPr>
          <w:rFonts w:ascii="Calibri" w:hAnsi="Calibri"/>
          <w:sz w:val="24"/>
        </w:rPr>
      </w:pPr>
      <w:r w:rsidRPr="00EF6C4E">
        <w:rPr>
          <w:rFonts w:ascii="Calibri" w:hAnsi="Calibri"/>
          <w:sz w:val="24"/>
        </w:rPr>
        <w:t xml:space="preserve">These predictions are consistent with results of seasonal IPT trials. Three monthly doses of IPT with SP-AS in Niakhar gave protective efficacy of 86% in 2002 </w:t>
      </w:r>
      <w:r w:rsidR="00AA2259" w:rsidRPr="00EF6C4E">
        <w:rPr>
          <w:rFonts w:ascii="Calibri" w:hAnsi="Calibri"/>
          <w:sz w:val="24"/>
        </w:rPr>
        <w:fldChar w:fldCharType="begin">
          <w:fldData xml:space="preserve">PEVuZE5vdGU+PENpdGU+PEF1dGhvcj5DaXNzZTwvQXV0aG9yPjxZZWFyPjIwMDY8L1llYXI+PFJl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==
</w:fldData>
        </w:fldChar>
      </w:r>
      <w:r w:rsidR="002441A6">
        <w:rPr>
          <w:rFonts w:ascii="Calibri" w:hAnsi="Calibri"/>
          <w:sz w:val="24"/>
        </w:rPr>
        <w:instrText xml:space="preserve"> ADDIN EN.CITE </w:instrText>
      </w:r>
      <w:r w:rsidR="00AA2259">
        <w:rPr>
          <w:rFonts w:ascii="Calibri" w:hAnsi="Calibri"/>
          <w:sz w:val="24"/>
        </w:rPr>
        <w:fldChar w:fldCharType="begin">
          <w:fldData xml:space="preserve">PEVuZE5vdGU+PENpdGU+PEF1dGhvcj5DaXNzZTwvQXV0aG9yPjxZZWFyPjIwMDY8L1llYXI+PFJl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==
</w:fldData>
        </w:fldChar>
      </w:r>
      <w:r w:rsidR="002441A6">
        <w:rPr>
          <w:rFonts w:ascii="Calibri" w:hAnsi="Calibri"/>
          <w:sz w:val="24"/>
        </w:rPr>
        <w:instrText xml:space="preserve"> ADDIN EN.CITE.DATA </w:instrText>
      </w:r>
      <w:r w:rsidR="00AA2259">
        <w:rPr>
          <w:rFonts w:ascii="Calibri" w:hAnsi="Calibri"/>
          <w:sz w:val="24"/>
        </w:rPr>
      </w:r>
      <w:r w:rsidR="00AA2259">
        <w:rPr>
          <w:rFonts w:ascii="Calibri" w:hAnsi="Calibri"/>
          <w:sz w:val="24"/>
        </w:rPr>
        <w:fldChar w:fldCharType="end"/>
      </w:r>
      <w:r w:rsidR="00AA2259" w:rsidRPr="00EF6C4E">
        <w:rPr>
          <w:rFonts w:ascii="Calibri" w:hAnsi="Calibri"/>
          <w:sz w:val="24"/>
        </w:rPr>
      </w:r>
      <w:r w:rsidR="00AA2259" w:rsidRPr="00EF6C4E">
        <w:rPr>
          <w:rFonts w:ascii="Calibri" w:hAnsi="Calibri"/>
          <w:sz w:val="24"/>
        </w:rPr>
        <w:fldChar w:fldCharType="separate"/>
      </w:r>
      <w:r w:rsidR="002441A6">
        <w:rPr>
          <w:rFonts w:ascii="Calibri" w:hAnsi="Calibri"/>
          <w:noProof/>
          <w:sz w:val="24"/>
        </w:rPr>
        <w:t>[30]</w:t>
      </w:r>
      <w:r w:rsidR="00AA2259" w:rsidRPr="00EF6C4E">
        <w:rPr>
          <w:rFonts w:ascii="Calibri" w:hAnsi="Calibri"/>
          <w:sz w:val="24"/>
        </w:rPr>
        <w:fldChar w:fldCharType="end"/>
      </w:r>
      <w:r w:rsidRPr="00EF6C4E">
        <w:rPr>
          <w:rFonts w:ascii="Calibri" w:hAnsi="Calibri"/>
          <w:sz w:val="24"/>
        </w:rPr>
        <w:t xml:space="preserve">, and three monthly doses of SP-AQ gave an estimated protective efficacy of 93% in the same region </w:t>
      </w:r>
      <w:r w:rsidRPr="00EF6C4E">
        <w:rPr>
          <w:rFonts w:ascii="Calibri" w:hAnsi="Calibri"/>
          <w:sz w:val="24"/>
        </w:rPr>
        <w:lastRenderedPageBreak/>
        <w:t xml:space="preserve">in 2004 </w:t>
      </w:r>
      <w:r w:rsidR="00AA2259" w:rsidRPr="00EF6C4E">
        <w:rPr>
          <w:rFonts w:ascii="Calibri" w:hAnsi="Calibri"/>
          <w:sz w:val="24"/>
        </w:rPr>
        <w:fldChar w:fldCharType="begin"/>
      </w:r>
      <w:r w:rsidR="002441A6">
        <w:rPr>
          <w:rFonts w:ascii="Calibri" w:hAnsi="Calibri"/>
          <w:sz w:val="24"/>
        </w:rPr>
        <w:instrText xml:space="preserve"> ADDIN EN.CITE &lt;EndNote&gt;&lt;Cite&gt;&lt;Author&gt;Sokhna&lt;/Author&gt;&lt;Year&gt;2008&lt;/Year&gt;&lt;RecNum&gt;523&lt;/RecNum&gt;&lt;record&gt;&lt;rec-number&gt;523&lt;/rec-number&gt;&lt;foreign-keys&gt;&lt;key app="EN" db-id="50vzxafd505dzseevvi5prdyd0vsefrtrrpx"&gt;523&lt;/key&gt;&lt;/foreign-keys&gt;&lt;ref-type name="Journal Article"&gt;17&lt;/ref-type&gt;&lt;contributors&gt;&lt;authors&gt;&lt;author&gt;Sokhna, Cheikh&lt;/author&gt;&lt;author&gt;Cisse, Badara&lt;/author&gt;&lt;author&gt;Ba, El Hadj&lt;/author&gt;&lt;author&gt;Milligan, Paul&lt;/author&gt;&lt;author&gt;Hallett, Rachel&lt;/author&gt;&lt;author&gt;Sutherland, Colin&lt;/author&gt;&lt;author&gt;Gaye, Oumar&lt;/author&gt;&lt;author&gt;Boulanger, Denis&lt;/author&gt;&lt;author&gt;Simondon, Kirsten&lt;/author&gt;&lt;author&gt;Simondon, Francois&lt;/author&gt;&lt;author&gt;Targett, Geoffrey&lt;/author&gt;&lt;author&gt;Lines, Jo&lt;/author&gt;&lt;author&gt;Greenwood, Brian&lt;/author&gt;&lt;author&gt;Trape, Jean-Francois&lt;/author&gt;&lt;/authors&gt;&lt;/contributors&gt;&lt;titles&gt;&lt;title&gt;A Trial of the Efficacy, Safety and Impact on Drug Resistance of Four Drug Regimens for Seasonal Intermittent Preventive Treatment for Malaria in Senegalese Children&lt;/title&gt;&lt;secondary-title&gt;PLoS ONE&lt;/secondary-title&gt;&lt;/titles&gt;&lt;periodical&gt;&lt;full-title&gt;PLoS ONE&lt;/full-title&gt;&lt;/periodical&gt;&lt;pages&gt;e1471&lt;/pages&gt;&lt;volume&gt;3&lt;/volume&gt;&lt;number&gt;1&lt;/number&gt;&lt;dates&gt;&lt;year&gt;2008&lt;/year&gt;&lt;/dates&gt;&lt;publisher&gt;Public Library of Science&lt;/publisher&gt;&lt;urls&gt;&lt;related-urls&gt;&lt;url&gt;http://dx.doi.org/10.1371%2Fjournal.pone.0001471 &lt;/url&gt;&lt;/related-urls&gt;&lt;/urls&gt;&lt;/record&gt;&lt;/Cite&gt;&lt;/EndNote&gt;</w:instrText>
      </w:r>
      <w:r w:rsidR="00AA2259" w:rsidRPr="00EF6C4E">
        <w:rPr>
          <w:rFonts w:ascii="Calibri" w:hAnsi="Calibri"/>
          <w:sz w:val="24"/>
        </w:rPr>
        <w:fldChar w:fldCharType="separate"/>
      </w:r>
      <w:r w:rsidR="002441A6">
        <w:rPr>
          <w:rFonts w:ascii="Calibri" w:hAnsi="Calibri"/>
          <w:noProof/>
          <w:sz w:val="24"/>
        </w:rPr>
        <w:t>[31]</w:t>
      </w:r>
      <w:r w:rsidR="00AA2259" w:rsidRPr="00EF6C4E">
        <w:rPr>
          <w:rFonts w:ascii="Calibri" w:hAnsi="Calibri"/>
          <w:sz w:val="24"/>
        </w:rPr>
        <w:fldChar w:fldCharType="end"/>
      </w:r>
      <w:r w:rsidRPr="00EF6C4E">
        <w:rPr>
          <w:rFonts w:ascii="Calibri" w:hAnsi="Calibri"/>
          <w:sz w:val="24"/>
        </w:rPr>
        <w:t xml:space="preserve">. Protective efficacy in these studies may be higher than that predicted by the model because malaria incidence (and thus the PE) was only measured during the transmission season rather than across the whole year. Additionally, SP may be more efficacious in Senegal than Ghana, meaning that the duration of protection of SP may be underestimated. </w:t>
      </w:r>
    </w:p>
    <w:p w:rsidR="00415958" w:rsidRPr="00EF6C4E" w:rsidRDefault="00415958" w:rsidP="00415958">
      <w:pPr>
        <w:spacing w:line="360" w:lineRule="auto"/>
        <w:rPr>
          <w:rFonts w:ascii="Calibri" w:hAnsi="Calibri"/>
          <w:sz w:val="24"/>
        </w:rPr>
      </w:pPr>
      <w:r w:rsidRPr="00EF6C4E">
        <w:rPr>
          <w:rFonts w:ascii="Calibri" w:hAnsi="Calibri"/>
          <w:sz w:val="24"/>
        </w:rPr>
        <w:t xml:space="preserve"> </w:t>
      </w:r>
    </w:p>
    <w:p w:rsidR="00415958" w:rsidRPr="00EF6C4E" w:rsidRDefault="00415958" w:rsidP="00415958">
      <w:pPr>
        <w:spacing w:line="360" w:lineRule="auto"/>
        <w:rPr>
          <w:rFonts w:ascii="Calibri" w:hAnsi="Calibri"/>
          <w:b/>
          <w:sz w:val="24"/>
        </w:rPr>
      </w:pPr>
    </w:p>
    <w:p w:rsidR="00415958" w:rsidRPr="00EF6C4E" w:rsidRDefault="00415958" w:rsidP="00415958">
      <w:pPr>
        <w:spacing w:line="360" w:lineRule="auto"/>
        <w:rPr>
          <w:rFonts w:ascii="Calibri" w:hAnsi="Calibri"/>
          <w:b/>
          <w:sz w:val="24"/>
          <w:lang w:val="en-US"/>
        </w:rPr>
      </w:pPr>
      <w:r w:rsidRPr="00EF6C4E">
        <w:rPr>
          <w:rFonts w:ascii="Calibri" w:hAnsi="Calibri"/>
          <w:b/>
          <w:sz w:val="24"/>
          <w:lang w:val="en-US"/>
        </w:rPr>
        <w:t xml:space="preserve"> </w:t>
      </w:r>
    </w:p>
    <w:p w:rsidR="00415958" w:rsidRPr="00EF6C4E" w:rsidRDefault="00415958" w:rsidP="00415958">
      <w:pPr>
        <w:spacing w:line="360" w:lineRule="auto"/>
        <w:rPr>
          <w:rFonts w:ascii="Calibri" w:hAnsi="Calibri"/>
          <w:sz w:val="24"/>
        </w:rPr>
      </w:pPr>
      <w:r w:rsidRPr="00EF6C4E">
        <w:rPr>
          <w:rFonts w:ascii="Calibri" w:hAnsi="Calibri"/>
          <w:sz w:val="24"/>
        </w:rPr>
        <w:t xml:space="preserve"> </w:t>
      </w:r>
    </w:p>
    <w:p w:rsidR="00415958" w:rsidRPr="00EF6C4E" w:rsidRDefault="00415958" w:rsidP="00415958">
      <w:pPr>
        <w:autoSpaceDE w:val="0"/>
        <w:autoSpaceDN w:val="0"/>
        <w:adjustRightInd w:val="0"/>
        <w:rPr>
          <w:rFonts w:ascii="Calibri" w:hAnsi="Calibri" w:cs="TimesNewRomanPSMT"/>
          <w:sz w:val="24"/>
          <w:szCs w:val="24"/>
        </w:rPr>
      </w:pPr>
    </w:p>
    <w:p w:rsidR="005E2935" w:rsidRDefault="00415958">
      <w:pPr>
        <w:rPr>
          <w:rFonts w:ascii="Calibri" w:hAnsi="Calibri"/>
          <w:b/>
          <w:sz w:val="24"/>
        </w:rPr>
      </w:pPr>
      <w:r w:rsidRPr="00EF6C4E">
        <w:rPr>
          <w:rFonts w:ascii="Calibri" w:hAnsi="Calibri"/>
        </w:rPr>
        <w:br w:type="page"/>
      </w:r>
      <w:r w:rsidRPr="00EF6C4E">
        <w:rPr>
          <w:rFonts w:ascii="Calibri" w:hAnsi="Calibri"/>
          <w:b/>
          <w:sz w:val="24"/>
        </w:rPr>
        <w:lastRenderedPageBreak/>
        <w:t>References</w:t>
      </w:r>
    </w:p>
    <w:p w:rsidR="005E2935" w:rsidRPr="00EF6C4E" w:rsidRDefault="005E2935">
      <w:pPr>
        <w:rPr>
          <w:rFonts w:ascii="Calibri" w:hAnsi="Calibri"/>
          <w:sz w:val="24"/>
        </w:rPr>
      </w:pPr>
    </w:p>
    <w:p w:rsidR="002441A6" w:rsidRPr="002441A6" w:rsidRDefault="00AA2259" w:rsidP="002441A6">
      <w:pPr>
        <w:ind w:left="720" w:hanging="720"/>
        <w:rPr>
          <w:rFonts w:cs="Arial"/>
          <w:noProof/>
        </w:rPr>
      </w:pPr>
      <w:r w:rsidRPr="00EF6C4E">
        <w:rPr>
          <w:rFonts w:ascii="Calibri" w:hAnsi="Calibri"/>
          <w:sz w:val="24"/>
        </w:rPr>
        <w:fldChar w:fldCharType="begin"/>
      </w:r>
      <w:r w:rsidR="005E2935" w:rsidRPr="00EF6C4E">
        <w:rPr>
          <w:rFonts w:ascii="Calibri" w:hAnsi="Calibri"/>
          <w:sz w:val="24"/>
        </w:rPr>
        <w:instrText xml:space="preserve"> ADDIN EN.REFLIST </w:instrText>
      </w:r>
      <w:r w:rsidRPr="00EF6C4E">
        <w:rPr>
          <w:rFonts w:ascii="Calibri" w:hAnsi="Calibri"/>
          <w:sz w:val="24"/>
        </w:rPr>
        <w:fldChar w:fldCharType="separate"/>
      </w:r>
      <w:r w:rsidR="002441A6" w:rsidRPr="002441A6">
        <w:rPr>
          <w:rFonts w:cs="Arial"/>
          <w:noProof/>
        </w:rPr>
        <w:t>1. Wearing HJ, Rohani P, Keeling MJ (2005) Appropriate models for the management of infectious diseases. PLoS Med 2: e174.</w:t>
      </w:r>
    </w:p>
    <w:p w:rsidR="002441A6" w:rsidRPr="002441A6" w:rsidRDefault="002441A6" w:rsidP="002441A6">
      <w:pPr>
        <w:ind w:left="720" w:hanging="720"/>
        <w:rPr>
          <w:rFonts w:cs="Arial"/>
          <w:noProof/>
        </w:rPr>
      </w:pPr>
      <w:r w:rsidRPr="002441A6">
        <w:rPr>
          <w:rFonts w:cs="Arial"/>
          <w:noProof/>
        </w:rPr>
        <w:t>2. Okell LC, Drakeley CJ, Bousema T, Whitty CJ, Ghani AC (2008) Modelling the impact of artemisinin combination therapy and long-acting treatments on malaria transmission intensity. PLoS Med 5: e226; discussion e226.</w:t>
      </w:r>
    </w:p>
    <w:p w:rsidR="002441A6" w:rsidRPr="002441A6" w:rsidRDefault="002441A6" w:rsidP="002441A6">
      <w:pPr>
        <w:ind w:left="720" w:hanging="720"/>
        <w:rPr>
          <w:rFonts w:cs="Arial"/>
          <w:noProof/>
        </w:rPr>
      </w:pPr>
      <w:r w:rsidRPr="002441A6">
        <w:rPr>
          <w:rFonts w:cs="Arial"/>
          <w:noProof/>
        </w:rPr>
        <w:t>3. Oduro AR, Anyorigiya T, Hodgson A, Ansah P, Anto F, et al. (2005) A randomized comparative study of chloroquine, amodiaquine and sulphadoxine-pyrimethamine for the treatment of uncomplicated malaria in Ghana. Trop Med Int Health 10: 279-284.</w:t>
      </w:r>
    </w:p>
    <w:p w:rsidR="002441A6" w:rsidRPr="002441A6" w:rsidRDefault="002441A6" w:rsidP="002441A6">
      <w:pPr>
        <w:ind w:left="720" w:hanging="720"/>
        <w:rPr>
          <w:rFonts w:cs="Arial"/>
          <w:noProof/>
        </w:rPr>
      </w:pPr>
      <w:r w:rsidRPr="002441A6">
        <w:rPr>
          <w:rFonts w:cs="Arial"/>
          <w:noProof/>
        </w:rPr>
        <w:t>4. White NJ (2008) How antimalarial drug resistance affects post treatment prophylaxis. Malar J 7: 9.</w:t>
      </w:r>
    </w:p>
    <w:p w:rsidR="002441A6" w:rsidRPr="002441A6" w:rsidRDefault="002441A6" w:rsidP="002441A6">
      <w:pPr>
        <w:ind w:left="720" w:hanging="720"/>
        <w:rPr>
          <w:rFonts w:cs="Arial"/>
          <w:noProof/>
        </w:rPr>
      </w:pPr>
      <w:r w:rsidRPr="002441A6">
        <w:rPr>
          <w:rFonts w:cs="Arial"/>
          <w:noProof/>
        </w:rPr>
        <w:t>5. Watkins WM, Mberu EK, Winstanley PA, Plowe CV (1997) The efficacy of antifolate antimalarial combinations in Africa: a predictive model based on pharmacodynamic and pharmacokinetic analyses. Parasitol Today 13: 459-464.</w:t>
      </w:r>
    </w:p>
    <w:p w:rsidR="002441A6" w:rsidRPr="002441A6" w:rsidRDefault="002441A6" w:rsidP="002441A6">
      <w:pPr>
        <w:ind w:left="720" w:hanging="720"/>
        <w:rPr>
          <w:rFonts w:cs="Arial"/>
          <w:noProof/>
        </w:rPr>
      </w:pPr>
      <w:r w:rsidRPr="002441A6">
        <w:rPr>
          <w:rFonts w:cs="Arial"/>
          <w:noProof/>
        </w:rPr>
        <w:t>6. White NJ (2005) Intermittent presumptive treatment for malaria. PLoS Med 2: e3.</w:t>
      </w:r>
    </w:p>
    <w:p w:rsidR="002441A6" w:rsidRPr="002441A6" w:rsidRDefault="002441A6" w:rsidP="002441A6">
      <w:pPr>
        <w:ind w:left="720" w:hanging="720"/>
        <w:rPr>
          <w:rFonts w:cs="Arial"/>
          <w:noProof/>
        </w:rPr>
      </w:pPr>
      <w:r w:rsidRPr="002441A6">
        <w:rPr>
          <w:rFonts w:cs="Arial"/>
          <w:noProof/>
        </w:rPr>
        <w:t>7. Cairns M, Carneiro I, Milligan P, Owusu-Agyei S, Awine T, et al. (2008) Duration of Protection against Malaria and Anaemia Provided by Intermittent Preventive Treatment in Infants in Navrongo, Ghana. PLoS ONE 3: e2227.</w:t>
      </w:r>
    </w:p>
    <w:p w:rsidR="002441A6" w:rsidRPr="002441A6" w:rsidRDefault="002441A6" w:rsidP="002441A6">
      <w:pPr>
        <w:ind w:left="720" w:hanging="720"/>
        <w:rPr>
          <w:rFonts w:cs="Arial"/>
          <w:noProof/>
        </w:rPr>
      </w:pPr>
      <w:r w:rsidRPr="002441A6">
        <w:rPr>
          <w:rFonts w:cs="Arial"/>
          <w:noProof/>
        </w:rPr>
        <w:t>8. Molineaux L, Gramiccia G (1980) The Garki Project. Geneva: World Health Organisation.</w:t>
      </w:r>
    </w:p>
    <w:p w:rsidR="002441A6" w:rsidRPr="002441A6" w:rsidRDefault="002441A6" w:rsidP="002441A6">
      <w:pPr>
        <w:ind w:left="720" w:hanging="720"/>
        <w:rPr>
          <w:rFonts w:cs="Arial"/>
          <w:noProof/>
        </w:rPr>
      </w:pPr>
      <w:r w:rsidRPr="002441A6">
        <w:rPr>
          <w:rFonts w:cs="Arial"/>
          <w:noProof/>
        </w:rPr>
        <w:t>9. Kitua AY, Smith T, Alonso PL, Masanja H, Urassa H, et al. (1996) Plasmodium falciparum malaria in the first year of life in an area of intense and perennial transmission. Trop Med Int Health 1: 475-484.</w:t>
      </w:r>
    </w:p>
    <w:p w:rsidR="002441A6" w:rsidRPr="002441A6" w:rsidRDefault="002441A6" w:rsidP="002441A6">
      <w:pPr>
        <w:ind w:left="720" w:hanging="720"/>
        <w:rPr>
          <w:rFonts w:cs="Arial"/>
          <w:noProof/>
        </w:rPr>
      </w:pPr>
      <w:r w:rsidRPr="002441A6">
        <w:rPr>
          <w:rFonts w:cs="Arial"/>
          <w:noProof/>
        </w:rPr>
        <w:t>10. Gosling RD, Ghani AC, Deen JL, von Seidlein L, Greenwood BM, et al. (2008) Can changes in malaria transmission intensity explain prolonged protection and contribute to high protective efficacy of intermittent preventive treatment for malaria in infants? Malar J 7: 54.</w:t>
      </w:r>
    </w:p>
    <w:p w:rsidR="002441A6" w:rsidRPr="002441A6" w:rsidRDefault="002441A6" w:rsidP="002441A6">
      <w:pPr>
        <w:ind w:left="720" w:hanging="720"/>
        <w:rPr>
          <w:rFonts w:cs="Arial"/>
          <w:noProof/>
        </w:rPr>
      </w:pPr>
      <w:r w:rsidRPr="002441A6">
        <w:rPr>
          <w:rFonts w:cs="Arial"/>
          <w:noProof/>
        </w:rPr>
        <w:t>11. Smith DL, Dushoff J, Snow RW, Hay SI (2005) The entomological inoculation rate and Plasmodium falciparum infection in African children. Nature 438: 492-495.</w:t>
      </w:r>
    </w:p>
    <w:p w:rsidR="002441A6" w:rsidRPr="002441A6" w:rsidRDefault="002441A6" w:rsidP="002441A6">
      <w:pPr>
        <w:ind w:left="720" w:hanging="720"/>
        <w:rPr>
          <w:rFonts w:cs="Arial"/>
          <w:noProof/>
        </w:rPr>
      </w:pPr>
      <w:r w:rsidRPr="002441A6">
        <w:rPr>
          <w:rFonts w:cs="Arial"/>
          <w:noProof/>
        </w:rPr>
        <w:t>12. Sinden RE, Gilles HM (2002) The malaria parasites. In: Warrell DA, Gilles HM, editors. Essential malariology. Fourth Edition ed. London: Arnold.</w:t>
      </w:r>
    </w:p>
    <w:p w:rsidR="002441A6" w:rsidRPr="002441A6" w:rsidRDefault="002441A6" w:rsidP="002441A6">
      <w:pPr>
        <w:ind w:left="720" w:hanging="720"/>
        <w:rPr>
          <w:rFonts w:cs="Arial"/>
          <w:noProof/>
        </w:rPr>
      </w:pPr>
      <w:r w:rsidRPr="002441A6">
        <w:rPr>
          <w:rFonts w:cs="Arial"/>
          <w:noProof/>
        </w:rPr>
        <w:t>13. Anto F, Tindana C, Asoala V, Awini E, Adjuik M, et al. (2004) Entomological inoculation rate in Kassena Nankana District, Ghana: Nov 2001 to October 2004 (unpublished data).</w:t>
      </w:r>
    </w:p>
    <w:p w:rsidR="002441A6" w:rsidRPr="002441A6" w:rsidRDefault="002441A6" w:rsidP="002441A6">
      <w:pPr>
        <w:ind w:left="720" w:hanging="720"/>
        <w:rPr>
          <w:rFonts w:cs="Arial"/>
          <w:noProof/>
        </w:rPr>
      </w:pPr>
      <w:r w:rsidRPr="002441A6">
        <w:rPr>
          <w:rFonts w:cs="Arial"/>
          <w:noProof/>
        </w:rPr>
        <w:t>14. White NJ (2004) Antimalarial drug resistance. Journal of Clinical Investigation 113: 1084-1092.</w:t>
      </w:r>
    </w:p>
    <w:p w:rsidR="002441A6" w:rsidRPr="002441A6" w:rsidRDefault="002441A6" w:rsidP="002441A6">
      <w:pPr>
        <w:ind w:left="720" w:hanging="720"/>
        <w:rPr>
          <w:rFonts w:cs="Arial"/>
          <w:noProof/>
        </w:rPr>
      </w:pPr>
      <w:r w:rsidRPr="002441A6">
        <w:rPr>
          <w:rFonts w:cs="Arial"/>
          <w:noProof/>
        </w:rPr>
        <w:t>15. Chandramohan D, Owusu-Agyei S, Carneiro I, Awine T, Amponsa-Achiano K, et al. (2005) Cluster randomised trial of intermittent preventive treatment for malaria in infants in area of high, seasonal transmission in Ghana. British Medical Journal 331: 727-733.</w:t>
      </w:r>
    </w:p>
    <w:p w:rsidR="002441A6" w:rsidRPr="002441A6" w:rsidRDefault="002441A6" w:rsidP="002441A6">
      <w:pPr>
        <w:ind w:left="720" w:hanging="720"/>
        <w:rPr>
          <w:rFonts w:cs="Arial"/>
          <w:noProof/>
        </w:rPr>
      </w:pPr>
      <w:r w:rsidRPr="002441A6">
        <w:rPr>
          <w:rFonts w:cs="Arial"/>
          <w:noProof/>
        </w:rPr>
        <w:t>16. Charlwood JD, Smith T, Lyimo E, Kitua AY, Masanja H, et al. (1998) Incidence of Plasmodium falciparum infection in infants in relation to exposure to sporozoite-infected anophelines. Am J Trop Med Hyg 59: 243-251.</w:t>
      </w:r>
    </w:p>
    <w:p w:rsidR="002441A6" w:rsidRPr="002441A6" w:rsidRDefault="002441A6" w:rsidP="002441A6">
      <w:pPr>
        <w:ind w:left="720" w:hanging="720"/>
        <w:rPr>
          <w:rFonts w:cs="Arial"/>
          <w:noProof/>
        </w:rPr>
      </w:pPr>
      <w:r w:rsidRPr="002441A6">
        <w:rPr>
          <w:rFonts w:cs="Arial"/>
          <w:noProof/>
        </w:rPr>
        <w:t>17. Smith T, Maire N, Dietz K, Killeen GF, Vounatsou P, et al. (2006) RELATIONSHIP BETWEEN THE ENTOMOLOGIC INOCULATION RATE AND THE FORCE OF INFECTION FOR PLASMODIUM FALCIPARUM MALARIA. Am J Trop Med Hyg 75: 11-18.</w:t>
      </w:r>
    </w:p>
    <w:p w:rsidR="002441A6" w:rsidRPr="002441A6" w:rsidRDefault="002441A6" w:rsidP="002441A6">
      <w:pPr>
        <w:ind w:left="720" w:hanging="720"/>
        <w:rPr>
          <w:rFonts w:cs="Arial"/>
          <w:noProof/>
        </w:rPr>
      </w:pPr>
      <w:r w:rsidRPr="002441A6">
        <w:rPr>
          <w:rFonts w:cs="Arial"/>
          <w:noProof/>
        </w:rPr>
        <w:t>18. Beier JC, Oster CN, Onyango FK, Bales JD, Sherwood JA, et al. (1994) Plasmodium falciparum incidence relative to entomologic inoculation rates at a site proposed for testing malaria vaccines in western Kenya. Am J Trop Med Hyg 50: 529-536.</w:t>
      </w:r>
    </w:p>
    <w:p w:rsidR="002441A6" w:rsidRPr="002441A6" w:rsidRDefault="002441A6" w:rsidP="002441A6">
      <w:pPr>
        <w:ind w:left="720" w:hanging="720"/>
        <w:rPr>
          <w:rFonts w:cs="Arial"/>
          <w:noProof/>
        </w:rPr>
      </w:pPr>
      <w:r w:rsidRPr="002441A6">
        <w:rPr>
          <w:rFonts w:cs="Arial"/>
          <w:noProof/>
        </w:rPr>
        <w:t>19. Dietz K, Molineaux L, Thomas A (1974) A malaria model tested in African savannah. Bulletin of the World Health Organisation 50: 347-357.</w:t>
      </w:r>
    </w:p>
    <w:p w:rsidR="002441A6" w:rsidRPr="002441A6" w:rsidRDefault="002441A6" w:rsidP="002441A6">
      <w:pPr>
        <w:ind w:left="720" w:hanging="720"/>
        <w:rPr>
          <w:rFonts w:cs="Arial"/>
          <w:noProof/>
        </w:rPr>
      </w:pPr>
      <w:r w:rsidRPr="002441A6">
        <w:rPr>
          <w:rFonts w:cs="Arial"/>
          <w:noProof/>
        </w:rPr>
        <w:t>20. Epstein JE, Rao S, Williams F, Freilich D, Luke T, et al. (2007) Safety and clinical outcome of experimental challenge of human volunteers with Plasmodium falciparum-infected mosquitoes: an update. J Infect Dis 196: 145-154.</w:t>
      </w:r>
    </w:p>
    <w:p w:rsidR="002441A6" w:rsidRPr="002441A6" w:rsidRDefault="002441A6" w:rsidP="002441A6">
      <w:pPr>
        <w:ind w:left="720" w:hanging="720"/>
        <w:rPr>
          <w:rFonts w:cs="Arial"/>
          <w:noProof/>
        </w:rPr>
      </w:pPr>
      <w:r w:rsidRPr="002441A6">
        <w:rPr>
          <w:rFonts w:cs="Arial"/>
          <w:noProof/>
        </w:rPr>
        <w:t>21. Smith T, Felger I, Kitua A, Tanner M, Beck HP (1999) Dynamics of multiple Plasmodium falciparum infections in infants in a highly endemic area of Tanzania. Trans R Soc Trop Med Hyg 93 Suppl 1: 35-39.</w:t>
      </w:r>
    </w:p>
    <w:p w:rsidR="002441A6" w:rsidRPr="002441A6" w:rsidRDefault="002441A6" w:rsidP="002441A6">
      <w:pPr>
        <w:ind w:left="720" w:hanging="720"/>
        <w:rPr>
          <w:rFonts w:cs="Arial"/>
          <w:noProof/>
        </w:rPr>
      </w:pPr>
      <w:r w:rsidRPr="002441A6">
        <w:rPr>
          <w:rFonts w:cs="Arial"/>
          <w:noProof/>
        </w:rPr>
        <w:t>22. Smith T, Felger I, Beck HP, Tanner M (1999) Consequences of multiple infection with Plasmodium falciparum in an area of high endemicity. Parassitologia 41: 247-250.</w:t>
      </w:r>
    </w:p>
    <w:p w:rsidR="002441A6" w:rsidRPr="002441A6" w:rsidRDefault="002441A6" w:rsidP="002441A6">
      <w:pPr>
        <w:ind w:left="720" w:hanging="720"/>
        <w:rPr>
          <w:rFonts w:cs="Arial"/>
          <w:noProof/>
        </w:rPr>
      </w:pPr>
      <w:r w:rsidRPr="002441A6">
        <w:rPr>
          <w:rFonts w:cs="Arial"/>
          <w:noProof/>
        </w:rPr>
        <w:lastRenderedPageBreak/>
        <w:t>23. Falk N, Maire N, Sama W, Owusu-Agyei S, Smith T, et al. (2006) Comparison of PCR-RFLP and Genescan-based genotyping for analyzing infection dynamics of Plasmodium falciparum. Am J Trop Med Hyg 74: 944-950.</w:t>
      </w:r>
    </w:p>
    <w:p w:rsidR="002441A6" w:rsidRPr="002441A6" w:rsidRDefault="002441A6" w:rsidP="002441A6">
      <w:pPr>
        <w:ind w:left="720" w:hanging="720"/>
        <w:rPr>
          <w:rFonts w:cs="Arial"/>
          <w:noProof/>
        </w:rPr>
      </w:pPr>
      <w:r w:rsidRPr="002441A6">
        <w:rPr>
          <w:rFonts w:cs="Arial"/>
          <w:noProof/>
        </w:rPr>
        <w:t>24. Smith T, Vounatsou P (2003) Estimation of infection and recovery rates for highly polymorphic parasites when detectability is imperfect, using hidden Markov models. Stat Med 22: 1709-1724.</w:t>
      </w:r>
    </w:p>
    <w:p w:rsidR="002441A6" w:rsidRPr="002441A6" w:rsidRDefault="002441A6" w:rsidP="002441A6">
      <w:pPr>
        <w:ind w:left="720" w:hanging="720"/>
        <w:rPr>
          <w:rFonts w:cs="Arial"/>
          <w:noProof/>
        </w:rPr>
      </w:pPr>
      <w:r w:rsidRPr="002441A6">
        <w:rPr>
          <w:rFonts w:cs="Arial"/>
          <w:noProof/>
        </w:rPr>
        <w:t>25. Baird JK, Owusu Agyei S, Utz GC, Koram K, Barcus MJ, et al. (2002) Seasonal malaria attack rates in infants and young children in northern Ghana. Am J Trop Med Hyg 66: 280-286.</w:t>
      </w:r>
    </w:p>
    <w:p w:rsidR="002441A6" w:rsidRPr="002441A6" w:rsidRDefault="002441A6" w:rsidP="002441A6">
      <w:pPr>
        <w:ind w:left="720" w:hanging="720"/>
        <w:rPr>
          <w:rFonts w:cs="Arial"/>
          <w:noProof/>
        </w:rPr>
      </w:pPr>
      <w:r w:rsidRPr="002441A6">
        <w:rPr>
          <w:rFonts w:cs="Arial"/>
          <w:noProof/>
        </w:rPr>
        <w:t>26. Bejon P, Warimwe G, Mackintosh CL, Mackinnon MJ, Kinyanjui SM, et al. (2009) Analysis of immunity to febrile malaria in children that distinguishes immunity from lack of exposure. Infect Immun 77: 1917-1923.</w:t>
      </w:r>
    </w:p>
    <w:p w:rsidR="002441A6" w:rsidRPr="002441A6" w:rsidRDefault="002441A6" w:rsidP="002441A6">
      <w:pPr>
        <w:ind w:left="720" w:hanging="720"/>
        <w:rPr>
          <w:rFonts w:cs="Arial"/>
          <w:noProof/>
        </w:rPr>
      </w:pPr>
      <w:r w:rsidRPr="002441A6">
        <w:rPr>
          <w:rFonts w:cs="Arial"/>
          <w:noProof/>
        </w:rPr>
        <w:t>27. Hviid L (2005) Naturally acquired immunity to Plasmodium falciparum malaria in Africa. Acta Tropica 95: 270-275.</w:t>
      </w:r>
    </w:p>
    <w:p w:rsidR="002441A6" w:rsidRPr="002441A6" w:rsidRDefault="002441A6" w:rsidP="002441A6">
      <w:pPr>
        <w:ind w:left="720" w:hanging="720"/>
        <w:rPr>
          <w:rFonts w:cs="Arial"/>
          <w:noProof/>
        </w:rPr>
      </w:pPr>
      <w:r w:rsidRPr="002441A6">
        <w:rPr>
          <w:rFonts w:cs="Arial"/>
          <w:noProof/>
        </w:rPr>
        <w:t>28. Chandramohan D, Webster J, Smith L, Awine T, Owusu-Agyei S, et al. (2007) Is the Expanded Programme on Immunisation the most appropriate delivery system for intermittent preventive treatment of malaria in West Africa? Trop Med Int Health 12: pp 1-8.</w:t>
      </w:r>
    </w:p>
    <w:p w:rsidR="002441A6" w:rsidRPr="002441A6" w:rsidRDefault="002441A6" w:rsidP="002441A6">
      <w:pPr>
        <w:ind w:left="720" w:hanging="720"/>
        <w:rPr>
          <w:rFonts w:cs="Arial"/>
          <w:noProof/>
        </w:rPr>
      </w:pPr>
      <w:r w:rsidRPr="002441A6">
        <w:rPr>
          <w:rFonts w:cs="Arial"/>
          <w:noProof/>
        </w:rPr>
        <w:t>29. Robert V, Dieng H, Lochouran L, Traore SF, Trape JF, et al. (1998) [Malaria transmission in the rural zone of Niakhar, Senegal]. Trop Med Int Health 3: 667-677.</w:t>
      </w:r>
    </w:p>
    <w:p w:rsidR="002441A6" w:rsidRPr="002441A6" w:rsidRDefault="002441A6" w:rsidP="002441A6">
      <w:pPr>
        <w:ind w:left="720" w:hanging="720"/>
        <w:rPr>
          <w:rFonts w:cs="Arial"/>
          <w:noProof/>
        </w:rPr>
      </w:pPr>
      <w:r w:rsidRPr="002441A6">
        <w:rPr>
          <w:rFonts w:cs="Arial"/>
          <w:noProof/>
        </w:rPr>
        <w:t>30. Cisse B, Sokhna C, Boulanger D, Milet J, Ba EH, et al. (2006) Seasonal intermittent preventive treatment with artesunate and sulfadoxine-pyrimethamine for prevention of malaria in Senegalese children: a randomised, placebo-controlled, double-blind trial. Lancet 367: 659-667.</w:t>
      </w:r>
    </w:p>
    <w:p w:rsidR="002441A6" w:rsidRPr="002441A6" w:rsidRDefault="002441A6" w:rsidP="002441A6">
      <w:pPr>
        <w:ind w:left="720" w:hanging="720"/>
        <w:rPr>
          <w:rFonts w:cs="Arial"/>
          <w:noProof/>
        </w:rPr>
      </w:pPr>
      <w:r w:rsidRPr="002441A6">
        <w:rPr>
          <w:rFonts w:cs="Arial"/>
          <w:noProof/>
        </w:rPr>
        <w:t>31. Sokhna C, Cisse B, Ba EH, Milligan P, Hallett R, et al. (2008) A Trial of the Efficacy, Safety and Impact on Drug Resistance of Four Drug Regimens for Seasonal Intermittent Preventive Treatment for Malaria in Senegalese Children. PLoS ONE 3: e1471.</w:t>
      </w:r>
    </w:p>
    <w:p w:rsidR="002441A6" w:rsidRDefault="002441A6" w:rsidP="002441A6">
      <w:pPr>
        <w:ind w:left="720" w:hanging="720"/>
        <w:rPr>
          <w:rFonts w:ascii="Calibri" w:hAnsi="Calibri" w:cs="Arial"/>
          <w:noProof/>
          <w:sz w:val="24"/>
        </w:rPr>
      </w:pPr>
    </w:p>
    <w:p w:rsidR="00115C2D" w:rsidRPr="00EF6C4E" w:rsidRDefault="00AA2259" w:rsidP="005E2935">
      <w:pPr>
        <w:ind w:left="720" w:hanging="720"/>
        <w:rPr>
          <w:rFonts w:ascii="Calibri" w:hAnsi="Calibri"/>
          <w:sz w:val="24"/>
        </w:rPr>
      </w:pPr>
      <w:r w:rsidRPr="00EF6C4E">
        <w:rPr>
          <w:rFonts w:ascii="Calibri" w:hAnsi="Calibri"/>
          <w:sz w:val="24"/>
        </w:rPr>
        <w:fldChar w:fldCharType="end"/>
      </w:r>
    </w:p>
    <w:sectPr w:rsidR="00115C2D" w:rsidRPr="00EF6C4E" w:rsidSect="0068531B">
      <w:pgSz w:w="12242" w:h="15842" w:code="1"/>
      <w:pgMar w:top="1418" w:right="1758" w:bottom="1418" w:left="175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75C" w:rsidRDefault="0053375C">
      <w:r>
        <w:separator/>
      </w:r>
    </w:p>
  </w:endnote>
  <w:endnote w:type="continuationSeparator" w:id="0">
    <w:p w:rsidR="0053375C" w:rsidRDefault="0053375C">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DEJML+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dvPSSAB-R">
    <w:panose1 w:val="00000000000000000000"/>
    <w:charset w:val="00"/>
    <w:family w:val="roman"/>
    <w:notTrueType/>
    <w:pitch w:val="default"/>
    <w:sig w:usb0="00000003" w:usb1="00000000" w:usb2="00000000" w:usb3="00000000" w:csb0="00000001" w:csb1="00000000"/>
  </w:font>
  <w:font w:name="TimesTen-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75C" w:rsidRDefault="0053375C">
      <w:r>
        <w:separator/>
      </w:r>
    </w:p>
  </w:footnote>
  <w:footnote w:type="continuationSeparator" w:id="0">
    <w:p w:rsidR="0053375C" w:rsidRDefault="0053375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20D17"/>
    <w:multiLevelType w:val="hybridMultilevel"/>
    <w:tmpl w:val="C4E878DE"/>
    <w:lvl w:ilvl="0" w:tplc="202ED88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2D3AE1"/>
    <w:multiLevelType w:val="hybridMultilevel"/>
    <w:tmpl w:val="FBA20EF2"/>
    <w:lvl w:ilvl="0" w:tplc="4300B2DC">
      <w:start w:val="1"/>
      <w:numFmt w:val="bullet"/>
      <w:lvlText w:val="-"/>
      <w:lvlJc w:val="left"/>
      <w:pPr>
        <w:tabs>
          <w:tab w:val="num" w:pos="1800"/>
        </w:tabs>
        <w:ind w:left="1800" w:hanging="360"/>
      </w:pPr>
      <w:rPr>
        <w:rFonts w:ascii="Arial" w:hAnsi="Aria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0E0B61D1"/>
    <w:multiLevelType w:val="hybridMultilevel"/>
    <w:tmpl w:val="A694E66A"/>
    <w:lvl w:ilvl="0" w:tplc="14427910">
      <w:start w:val="1"/>
      <w:numFmt w:val="bullet"/>
      <w:lvlText w:val="•"/>
      <w:lvlJc w:val="left"/>
      <w:pPr>
        <w:tabs>
          <w:tab w:val="num" w:pos="720"/>
        </w:tabs>
        <w:ind w:left="720" w:hanging="360"/>
      </w:pPr>
      <w:rPr>
        <w:rFonts w:ascii="Times New Roman" w:hAnsi="Times New Roman" w:hint="default"/>
      </w:rPr>
    </w:lvl>
    <w:lvl w:ilvl="1" w:tplc="BA12CEF4" w:tentative="1">
      <w:start w:val="1"/>
      <w:numFmt w:val="bullet"/>
      <w:lvlText w:val="•"/>
      <w:lvlJc w:val="left"/>
      <w:pPr>
        <w:tabs>
          <w:tab w:val="num" w:pos="1440"/>
        </w:tabs>
        <w:ind w:left="1440" w:hanging="360"/>
      </w:pPr>
      <w:rPr>
        <w:rFonts w:ascii="Times New Roman" w:hAnsi="Times New Roman" w:hint="default"/>
      </w:rPr>
    </w:lvl>
    <w:lvl w:ilvl="2" w:tplc="26AA9650" w:tentative="1">
      <w:start w:val="1"/>
      <w:numFmt w:val="bullet"/>
      <w:lvlText w:val="•"/>
      <w:lvlJc w:val="left"/>
      <w:pPr>
        <w:tabs>
          <w:tab w:val="num" w:pos="2160"/>
        </w:tabs>
        <w:ind w:left="2160" w:hanging="360"/>
      </w:pPr>
      <w:rPr>
        <w:rFonts w:ascii="Times New Roman" w:hAnsi="Times New Roman" w:hint="default"/>
      </w:rPr>
    </w:lvl>
    <w:lvl w:ilvl="3" w:tplc="E81E70F0" w:tentative="1">
      <w:start w:val="1"/>
      <w:numFmt w:val="bullet"/>
      <w:lvlText w:val="•"/>
      <w:lvlJc w:val="left"/>
      <w:pPr>
        <w:tabs>
          <w:tab w:val="num" w:pos="2880"/>
        </w:tabs>
        <w:ind w:left="2880" w:hanging="360"/>
      </w:pPr>
      <w:rPr>
        <w:rFonts w:ascii="Times New Roman" w:hAnsi="Times New Roman" w:hint="default"/>
      </w:rPr>
    </w:lvl>
    <w:lvl w:ilvl="4" w:tplc="02049DFE" w:tentative="1">
      <w:start w:val="1"/>
      <w:numFmt w:val="bullet"/>
      <w:lvlText w:val="•"/>
      <w:lvlJc w:val="left"/>
      <w:pPr>
        <w:tabs>
          <w:tab w:val="num" w:pos="3600"/>
        </w:tabs>
        <w:ind w:left="3600" w:hanging="360"/>
      </w:pPr>
      <w:rPr>
        <w:rFonts w:ascii="Times New Roman" w:hAnsi="Times New Roman" w:hint="default"/>
      </w:rPr>
    </w:lvl>
    <w:lvl w:ilvl="5" w:tplc="9C04CCDE" w:tentative="1">
      <w:start w:val="1"/>
      <w:numFmt w:val="bullet"/>
      <w:lvlText w:val="•"/>
      <w:lvlJc w:val="left"/>
      <w:pPr>
        <w:tabs>
          <w:tab w:val="num" w:pos="4320"/>
        </w:tabs>
        <w:ind w:left="4320" w:hanging="360"/>
      </w:pPr>
      <w:rPr>
        <w:rFonts w:ascii="Times New Roman" w:hAnsi="Times New Roman" w:hint="default"/>
      </w:rPr>
    </w:lvl>
    <w:lvl w:ilvl="6" w:tplc="FB94EDCC" w:tentative="1">
      <w:start w:val="1"/>
      <w:numFmt w:val="bullet"/>
      <w:lvlText w:val="•"/>
      <w:lvlJc w:val="left"/>
      <w:pPr>
        <w:tabs>
          <w:tab w:val="num" w:pos="5040"/>
        </w:tabs>
        <w:ind w:left="5040" w:hanging="360"/>
      </w:pPr>
      <w:rPr>
        <w:rFonts w:ascii="Times New Roman" w:hAnsi="Times New Roman" w:hint="default"/>
      </w:rPr>
    </w:lvl>
    <w:lvl w:ilvl="7" w:tplc="540833A4" w:tentative="1">
      <w:start w:val="1"/>
      <w:numFmt w:val="bullet"/>
      <w:lvlText w:val="•"/>
      <w:lvlJc w:val="left"/>
      <w:pPr>
        <w:tabs>
          <w:tab w:val="num" w:pos="5760"/>
        </w:tabs>
        <w:ind w:left="5760" w:hanging="360"/>
      </w:pPr>
      <w:rPr>
        <w:rFonts w:ascii="Times New Roman" w:hAnsi="Times New Roman" w:hint="default"/>
      </w:rPr>
    </w:lvl>
    <w:lvl w:ilvl="8" w:tplc="694E5EB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F8517B4"/>
    <w:multiLevelType w:val="hybridMultilevel"/>
    <w:tmpl w:val="3544C1C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A4A303C"/>
    <w:multiLevelType w:val="hybridMultilevel"/>
    <w:tmpl w:val="473058EA"/>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A4E57BB"/>
    <w:multiLevelType w:val="hybridMultilevel"/>
    <w:tmpl w:val="C6B008BA"/>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F723BA"/>
    <w:multiLevelType w:val="hybridMultilevel"/>
    <w:tmpl w:val="B1964C16"/>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645E89"/>
    <w:multiLevelType w:val="hybridMultilevel"/>
    <w:tmpl w:val="AE324EBE"/>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1C3C39"/>
    <w:multiLevelType w:val="hybridMultilevel"/>
    <w:tmpl w:val="43E6474E"/>
    <w:lvl w:ilvl="0" w:tplc="4300B2D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21E59F3"/>
    <w:multiLevelType w:val="hybridMultilevel"/>
    <w:tmpl w:val="0B8694D0"/>
    <w:lvl w:ilvl="0" w:tplc="6592F57C">
      <w:start w:val="1"/>
      <w:numFmt w:val="bullet"/>
      <w:lvlText w:val="•"/>
      <w:lvlJc w:val="left"/>
      <w:pPr>
        <w:tabs>
          <w:tab w:val="num" w:pos="720"/>
        </w:tabs>
        <w:ind w:left="720" w:hanging="360"/>
      </w:pPr>
      <w:rPr>
        <w:rFonts w:ascii="Times New Roman" w:hAnsi="Times New Roman" w:hint="default"/>
      </w:rPr>
    </w:lvl>
    <w:lvl w:ilvl="1" w:tplc="61D246FE" w:tentative="1">
      <w:start w:val="1"/>
      <w:numFmt w:val="bullet"/>
      <w:lvlText w:val="•"/>
      <w:lvlJc w:val="left"/>
      <w:pPr>
        <w:tabs>
          <w:tab w:val="num" w:pos="1440"/>
        </w:tabs>
        <w:ind w:left="1440" w:hanging="360"/>
      </w:pPr>
      <w:rPr>
        <w:rFonts w:ascii="Times New Roman" w:hAnsi="Times New Roman" w:hint="default"/>
      </w:rPr>
    </w:lvl>
    <w:lvl w:ilvl="2" w:tplc="E8DCE06C" w:tentative="1">
      <w:start w:val="1"/>
      <w:numFmt w:val="bullet"/>
      <w:lvlText w:val="•"/>
      <w:lvlJc w:val="left"/>
      <w:pPr>
        <w:tabs>
          <w:tab w:val="num" w:pos="2160"/>
        </w:tabs>
        <w:ind w:left="2160" w:hanging="360"/>
      </w:pPr>
      <w:rPr>
        <w:rFonts w:ascii="Times New Roman" w:hAnsi="Times New Roman" w:hint="default"/>
      </w:rPr>
    </w:lvl>
    <w:lvl w:ilvl="3" w:tplc="53DA5AEA" w:tentative="1">
      <w:start w:val="1"/>
      <w:numFmt w:val="bullet"/>
      <w:lvlText w:val="•"/>
      <w:lvlJc w:val="left"/>
      <w:pPr>
        <w:tabs>
          <w:tab w:val="num" w:pos="2880"/>
        </w:tabs>
        <w:ind w:left="2880" w:hanging="360"/>
      </w:pPr>
      <w:rPr>
        <w:rFonts w:ascii="Times New Roman" w:hAnsi="Times New Roman" w:hint="default"/>
      </w:rPr>
    </w:lvl>
    <w:lvl w:ilvl="4" w:tplc="2AD24452" w:tentative="1">
      <w:start w:val="1"/>
      <w:numFmt w:val="bullet"/>
      <w:lvlText w:val="•"/>
      <w:lvlJc w:val="left"/>
      <w:pPr>
        <w:tabs>
          <w:tab w:val="num" w:pos="3600"/>
        </w:tabs>
        <w:ind w:left="3600" w:hanging="360"/>
      </w:pPr>
      <w:rPr>
        <w:rFonts w:ascii="Times New Roman" w:hAnsi="Times New Roman" w:hint="default"/>
      </w:rPr>
    </w:lvl>
    <w:lvl w:ilvl="5" w:tplc="7474E5E0" w:tentative="1">
      <w:start w:val="1"/>
      <w:numFmt w:val="bullet"/>
      <w:lvlText w:val="•"/>
      <w:lvlJc w:val="left"/>
      <w:pPr>
        <w:tabs>
          <w:tab w:val="num" w:pos="4320"/>
        </w:tabs>
        <w:ind w:left="4320" w:hanging="360"/>
      </w:pPr>
      <w:rPr>
        <w:rFonts w:ascii="Times New Roman" w:hAnsi="Times New Roman" w:hint="default"/>
      </w:rPr>
    </w:lvl>
    <w:lvl w:ilvl="6" w:tplc="65DE6AE2" w:tentative="1">
      <w:start w:val="1"/>
      <w:numFmt w:val="bullet"/>
      <w:lvlText w:val="•"/>
      <w:lvlJc w:val="left"/>
      <w:pPr>
        <w:tabs>
          <w:tab w:val="num" w:pos="5040"/>
        </w:tabs>
        <w:ind w:left="5040" w:hanging="360"/>
      </w:pPr>
      <w:rPr>
        <w:rFonts w:ascii="Times New Roman" w:hAnsi="Times New Roman" w:hint="default"/>
      </w:rPr>
    </w:lvl>
    <w:lvl w:ilvl="7" w:tplc="DDAEF130" w:tentative="1">
      <w:start w:val="1"/>
      <w:numFmt w:val="bullet"/>
      <w:lvlText w:val="•"/>
      <w:lvlJc w:val="left"/>
      <w:pPr>
        <w:tabs>
          <w:tab w:val="num" w:pos="5760"/>
        </w:tabs>
        <w:ind w:left="5760" w:hanging="360"/>
      </w:pPr>
      <w:rPr>
        <w:rFonts w:ascii="Times New Roman" w:hAnsi="Times New Roman" w:hint="default"/>
      </w:rPr>
    </w:lvl>
    <w:lvl w:ilvl="8" w:tplc="3F228D5A" w:tentative="1">
      <w:start w:val="1"/>
      <w:numFmt w:val="bullet"/>
      <w:lvlText w:val="•"/>
      <w:lvlJc w:val="left"/>
      <w:pPr>
        <w:tabs>
          <w:tab w:val="num" w:pos="6480"/>
        </w:tabs>
        <w:ind w:left="6480" w:hanging="360"/>
      </w:pPr>
      <w:rPr>
        <w:rFonts w:ascii="Times New Roman" w:hAnsi="Times New Roman" w:hint="default"/>
      </w:rPr>
    </w:lvl>
  </w:abstractNum>
  <w:abstractNum w:abstractNumId="10">
    <w:nsid w:val="34EB5824"/>
    <w:multiLevelType w:val="hybridMultilevel"/>
    <w:tmpl w:val="44CCCF56"/>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D0160D"/>
    <w:multiLevelType w:val="hybridMultilevel"/>
    <w:tmpl w:val="5532DD5A"/>
    <w:lvl w:ilvl="0" w:tplc="4300B2D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F526B8E"/>
    <w:multiLevelType w:val="hybridMultilevel"/>
    <w:tmpl w:val="FBDA669C"/>
    <w:lvl w:ilvl="0" w:tplc="075C9220">
      <w:start w:val="1"/>
      <w:numFmt w:val="bullet"/>
      <w:lvlText w:val="•"/>
      <w:lvlJc w:val="left"/>
      <w:pPr>
        <w:tabs>
          <w:tab w:val="num" w:pos="720"/>
        </w:tabs>
        <w:ind w:left="720" w:hanging="360"/>
      </w:pPr>
      <w:rPr>
        <w:rFonts w:ascii="Times New Roman" w:hAnsi="Times New Roman" w:hint="default"/>
      </w:rPr>
    </w:lvl>
    <w:lvl w:ilvl="1" w:tplc="60A4F156" w:tentative="1">
      <w:start w:val="1"/>
      <w:numFmt w:val="bullet"/>
      <w:lvlText w:val="•"/>
      <w:lvlJc w:val="left"/>
      <w:pPr>
        <w:tabs>
          <w:tab w:val="num" w:pos="1440"/>
        </w:tabs>
        <w:ind w:left="1440" w:hanging="360"/>
      </w:pPr>
      <w:rPr>
        <w:rFonts w:ascii="Times New Roman" w:hAnsi="Times New Roman" w:hint="default"/>
      </w:rPr>
    </w:lvl>
    <w:lvl w:ilvl="2" w:tplc="38B27D3E">
      <w:start w:val="166"/>
      <w:numFmt w:val="bullet"/>
      <w:lvlText w:val="•"/>
      <w:lvlJc w:val="left"/>
      <w:pPr>
        <w:tabs>
          <w:tab w:val="num" w:pos="2160"/>
        </w:tabs>
        <w:ind w:left="2160" w:hanging="360"/>
      </w:pPr>
      <w:rPr>
        <w:rFonts w:ascii="Times New Roman" w:hAnsi="Times New Roman" w:hint="default"/>
      </w:rPr>
    </w:lvl>
    <w:lvl w:ilvl="3" w:tplc="13A02490" w:tentative="1">
      <w:start w:val="1"/>
      <w:numFmt w:val="bullet"/>
      <w:lvlText w:val="•"/>
      <w:lvlJc w:val="left"/>
      <w:pPr>
        <w:tabs>
          <w:tab w:val="num" w:pos="2880"/>
        </w:tabs>
        <w:ind w:left="2880" w:hanging="360"/>
      </w:pPr>
      <w:rPr>
        <w:rFonts w:ascii="Times New Roman" w:hAnsi="Times New Roman" w:hint="default"/>
      </w:rPr>
    </w:lvl>
    <w:lvl w:ilvl="4" w:tplc="2A22AE06" w:tentative="1">
      <w:start w:val="1"/>
      <w:numFmt w:val="bullet"/>
      <w:lvlText w:val="•"/>
      <w:lvlJc w:val="left"/>
      <w:pPr>
        <w:tabs>
          <w:tab w:val="num" w:pos="3600"/>
        </w:tabs>
        <w:ind w:left="3600" w:hanging="360"/>
      </w:pPr>
      <w:rPr>
        <w:rFonts w:ascii="Times New Roman" w:hAnsi="Times New Roman" w:hint="default"/>
      </w:rPr>
    </w:lvl>
    <w:lvl w:ilvl="5" w:tplc="9D2666C4" w:tentative="1">
      <w:start w:val="1"/>
      <w:numFmt w:val="bullet"/>
      <w:lvlText w:val="•"/>
      <w:lvlJc w:val="left"/>
      <w:pPr>
        <w:tabs>
          <w:tab w:val="num" w:pos="4320"/>
        </w:tabs>
        <w:ind w:left="4320" w:hanging="360"/>
      </w:pPr>
      <w:rPr>
        <w:rFonts w:ascii="Times New Roman" w:hAnsi="Times New Roman" w:hint="default"/>
      </w:rPr>
    </w:lvl>
    <w:lvl w:ilvl="6" w:tplc="E64EC066" w:tentative="1">
      <w:start w:val="1"/>
      <w:numFmt w:val="bullet"/>
      <w:lvlText w:val="•"/>
      <w:lvlJc w:val="left"/>
      <w:pPr>
        <w:tabs>
          <w:tab w:val="num" w:pos="5040"/>
        </w:tabs>
        <w:ind w:left="5040" w:hanging="360"/>
      </w:pPr>
      <w:rPr>
        <w:rFonts w:ascii="Times New Roman" w:hAnsi="Times New Roman" w:hint="default"/>
      </w:rPr>
    </w:lvl>
    <w:lvl w:ilvl="7" w:tplc="BD363DAE" w:tentative="1">
      <w:start w:val="1"/>
      <w:numFmt w:val="bullet"/>
      <w:lvlText w:val="•"/>
      <w:lvlJc w:val="left"/>
      <w:pPr>
        <w:tabs>
          <w:tab w:val="num" w:pos="5760"/>
        </w:tabs>
        <w:ind w:left="5760" w:hanging="360"/>
      </w:pPr>
      <w:rPr>
        <w:rFonts w:ascii="Times New Roman" w:hAnsi="Times New Roman" w:hint="default"/>
      </w:rPr>
    </w:lvl>
    <w:lvl w:ilvl="8" w:tplc="9EF6EDEA" w:tentative="1">
      <w:start w:val="1"/>
      <w:numFmt w:val="bullet"/>
      <w:lvlText w:val="•"/>
      <w:lvlJc w:val="left"/>
      <w:pPr>
        <w:tabs>
          <w:tab w:val="num" w:pos="6480"/>
        </w:tabs>
        <w:ind w:left="6480" w:hanging="360"/>
      </w:pPr>
      <w:rPr>
        <w:rFonts w:ascii="Times New Roman" w:hAnsi="Times New Roman" w:hint="default"/>
      </w:rPr>
    </w:lvl>
  </w:abstractNum>
  <w:abstractNum w:abstractNumId="13">
    <w:nsid w:val="43E9000C"/>
    <w:multiLevelType w:val="hybridMultilevel"/>
    <w:tmpl w:val="CEF2C1D8"/>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47123570"/>
    <w:multiLevelType w:val="multilevel"/>
    <w:tmpl w:val="43E6474E"/>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474C64A2"/>
    <w:multiLevelType w:val="hybridMultilevel"/>
    <w:tmpl w:val="D976FEE2"/>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C4E7E48"/>
    <w:multiLevelType w:val="hybridMultilevel"/>
    <w:tmpl w:val="E7BE23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538F5E29"/>
    <w:multiLevelType w:val="hybridMultilevel"/>
    <w:tmpl w:val="3ED4B618"/>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6427305"/>
    <w:multiLevelType w:val="hybridMultilevel"/>
    <w:tmpl w:val="57F85FA8"/>
    <w:lvl w:ilvl="0" w:tplc="4300B2D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4300B2DC">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577C7E32"/>
    <w:multiLevelType w:val="hybridMultilevel"/>
    <w:tmpl w:val="1D9094DA"/>
    <w:lvl w:ilvl="0" w:tplc="4300B2DC">
      <w:start w:val="1"/>
      <w:numFmt w:val="bullet"/>
      <w:lvlText w:val="-"/>
      <w:lvlJc w:val="left"/>
      <w:pPr>
        <w:tabs>
          <w:tab w:val="num" w:pos="720"/>
        </w:tabs>
        <w:ind w:left="720" w:hanging="360"/>
      </w:pPr>
      <w:rPr>
        <w:rFonts w:ascii="Arial" w:hAnsi="Arial" w:hint="default"/>
      </w:rPr>
    </w:lvl>
    <w:lvl w:ilvl="1" w:tplc="04090001">
      <w:start w:val="1"/>
      <w:numFmt w:val="bullet"/>
      <w:lvlText w:val=""/>
      <w:lvlJc w:val="left"/>
      <w:pPr>
        <w:tabs>
          <w:tab w:val="num" w:pos="1440"/>
        </w:tabs>
        <w:ind w:left="1440" w:hanging="360"/>
      </w:pPr>
      <w:rPr>
        <w:rFonts w:ascii="Symbol" w:hAnsi="Symbol" w:hint="default"/>
      </w:rPr>
    </w:lvl>
    <w:lvl w:ilvl="2" w:tplc="4300B2DC">
      <w:start w:val="1"/>
      <w:numFmt w:val="bullet"/>
      <w:lvlText w:val="-"/>
      <w:lvlJc w:val="left"/>
      <w:pPr>
        <w:tabs>
          <w:tab w:val="num" w:pos="2160"/>
        </w:tabs>
        <w:ind w:left="2160" w:hanging="360"/>
      </w:pPr>
      <w:rPr>
        <w:rFonts w:ascii="Arial" w:hAnsi="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8A73C5A"/>
    <w:multiLevelType w:val="hybridMultilevel"/>
    <w:tmpl w:val="F4A4E468"/>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96300B9"/>
    <w:multiLevelType w:val="hybridMultilevel"/>
    <w:tmpl w:val="E1C6F2BC"/>
    <w:lvl w:ilvl="0" w:tplc="AEFCAC6E">
      <w:start w:val="1"/>
      <w:numFmt w:val="bullet"/>
      <w:lvlText w:val="•"/>
      <w:lvlJc w:val="left"/>
      <w:pPr>
        <w:tabs>
          <w:tab w:val="num" w:pos="720"/>
        </w:tabs>
        <w:ind w:left="720" w:hanging="360"/>
      </w:pPr>
      <w:rPr>
        <w:rFonts w:ascii="Times New Roman" w:hAnsi="Times New Roman" w:hint="default"/>
      </w:rPr>
    </w:lvl>
    <w:lvl w:ilvl="1" w:tplc="8BBE86FA" w:tentative="1">
      <w:start w:val="1"/>
      <w:numFmt w:val="bullet"/>
      <w:lvlText w:val="•"/>
      <w:lvlJc w:val="left"/>
      <w:pPr>
        <w:tabs>
          <w:tab w:val="num" w:pos="1440"/>
        </w:tabs>
        <w:ind w:left="1440" w:hanging="360"/>
      </w:pPr>
      <w:rPr>
        <w:rFonts w:ascii="Times New Roman" w:hAnsi="Times New Roman" w:hint="default"/>
      </w:rPr>
    </w:lvl>
    <w:lvl w:ilvl="2" w:tplc="ADB6A25E">
      <w:start w:val="166"/>
      <w:numFmt w:val="bullet"/>
      <w:lvlText w:val="•"/>
      <w:lvlJc w:val="left"/>
      <w:pPr>
        <w:tabs>
          <w:tab w:val="num" w:pos="2160"/>
        </w:tabs>
        <w:ind w:left="2160" w:hanging="360"/>
      </w:pPr>
      <w:rPr>
        <w:rFonts w:ascii="Times New Roman" w:hAnsi="Times New Roman" w:hint="default"/>
      </w:rPr>
    </w:lvl>
    <w:lvl w:ilvl="3" w:tplc="7CEE4952" w:tentative="1">
      <w:start w:val="1"/>
      <w:numFmt w:val="bullet"/>
      <w:lvlText w:val="•"/>
      <w:lvlJc w:val="left"/>
      <w:pPr>
        <w:tabs>
          <w:tab w:val="num" w:pos="2880"/>
        </w:tabs>
        <w:ind w:left="2880" w:hanging="360"/>
      </w:pPr>
      <w:rPr>
        <w:rFonts w:ascii="Times New Roman" w:hAnsi="Times New Roman" w:hint="default"/>
      </w:rPr>
    </w:lvl>
    <w:lvl w:ilvl="4" w:tplc="505076DA" w:tentative="1">
      <w:start w:val="1"/>
      <w:numFmt w:val="bullet"/>
      <w:lvlText w:val="•"/>
      <w:lvlJc w:val="left"/>
      <w:pPr>
        <w:tabs>
          <w:tab w:val="num" w:pos="3600"/>
        </w:tabs>
        <w:ind w:left="3600" w:hanging="360"/>
      </w:pPr>
      <w:rPr>
        <w:rFonts w:ascii="Times New Roman" w:hAnsi="Times New Roman" w:hint="default"/>
      </w:rPr>
    </w:lvl>
    <w:lvl w:ilvl="5" w:tplc="FDEA9178" w:tentative="1">
      <w:start w:val="1"/>
      <w:numFmt w:val="bullet"/>
      <w:lvlText w:val="•"/>
      <w:lvlJc w:val="left"/>
      <w:pPr>
        <w:tabs>
          <w:tab w:val="num" w:pos="4320"/>
        </w:tabs>
        <w:ind w:left="4320" w:hanging="360"/>
      </w:pPr>
      <w:rPr>
        <w:rFonts w:ascii="Times New Roman" w:hAnsi="Times New Roman" w:hint="default"/>
      </w:rPr>
    </w:lvl>
    <w:lvl w:ilvl="6" w:tplc="4D90FE22" w:tentative="1">
      <w:start w:val="1"/>
      <w:numFmt w:val="bullet"/>
      <w:lvlText w:val="•"/>
      <w:lvlJc w:val="left"/>
      <w:pPr>
        <w:tabs>
          <w:tab w:val="num" w:pos="5040"/>
        </w:tabs>
        <w:ind w:left="5040" w:hanging="360"/>
      </w:pPr>
      <w:rPr>
        <w:rFonts w:ascii="Times New Roman" w:hAnsi="Times New Roman" w:hint="default"/>
      </w:rPr>
    </w:lvl>
    <w:lvl w:ilvl="7" w:tplc="EFECBB2C" w:tentative="1">
      <w:start w:val="1"/>
      <w:numFmt w:val="bullet"/>
      <w:lvlText w:val="•"/>
      <w:lvlJc w:val="left"/>
      <w:pPr>
        <w:tabs>
          <w:tab w:val="num" w:pos="5760"/>
        </w:tabs>
        <w:ind w:left="5760" w:hanging="360"/>
      </w:pPr>
      <w:rPr>
        <w:rFonts w:ascii="Times New Roman" w:hAnsi="Times New Roman" w:hint="default"/>
      </w:rPr>
    </w:lvl>
    <w:lvl w:ilvl="8" w:tplc="0AC8F6CC" w:tentative="1">
      <w:start w:val="1"/>
      <w:numFmt w:val="bullet"/>
      <w:lvlText w:val="•"/>
      <w:lvlJc w:val="left"/>
      <w:pPr>
        <w:tabs>
          <w:tab w:val="num" w:pos="6480"/>
        </w:tabs>
        <w:ind w:left="6480" w:hanging="360"/>
      </w:pPr>
      <w:rPr>
        <w:rFonts w:ascii="Times New Roman" w:hAnsi="Times New Roman" w:hint="default"/>
      </w:rPr>
    </w:lvl>
  </w:abstractNum>
  <w:abstractNum w:abstractNumId="22">
    <w:nsid w:val="642D54C0"/>
    <w:multiLevelType w:val="hybridMultilevel"/>
    <w:tmpl w:val="CC58D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69A5F6B"/>
    <w:multiLevelType w:val="multilevel"/>
    <w:tmpl w:val="57F85FA8"/>
    <w:lvl w:ilvl="0">
      <w:start w:val="1"/>
      <w:numFmt w:val="bullet"/>
      <w:lvlText w:val="-"/>
      <w:lvlJc w:val="left"/>
      <w:pPr>
        <w:tabs>
          <w:tab w:val="num" w:pos="720"/>
        </w:tabs>
        <w:ind w:left="72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nsid w:val="6B835985"/>
    <w:multiLevelType w:val="hybridMultilevel"/>
    <w:tmpl w:val="3670C3D2"/>
    <w:lvl w:ilvl="0" w:tplc="EE82A9D6">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6BF74354"/>
    <w:multiLevelType w:val="hybridMultilevel"/>
    <w:tmpl w:val="107832DC"/>
    <w:lvl w:ilvl="0" w:tplc="9E7C6ADC">
      <w:start w:val="1"/>
      <w:numFmt w:val="upp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nsid w:val="718A1863"/>
    <w:multiLevelType w:val="hybridMultilevel"/>
    <w:tmpl w:val="8A7C571E"/>
    <w:lvl w:ilvl="0" w:tplc="4300B2DC">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7EB711CA"/>
    <w:multiLevelType w:val="hybridMultilevel"/>
    <w:tmpl w:val="DD02214C"/>
    <w:lvl w:ilvl="0" w:tplc="4300B2DC">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0"/>
  </w:num>
  <w:num w:numId="3">
    <w:abstractNumId w:val="13"/>
  </w:num>
  <w:num w:numId="4">
    <w:abstractNumId w:val="27"/>
  </w:num>
  <w:num w:numId="5">
    <w:abstractNumId w:val="1"/>
  </w:num>
  <w:num w:numId="6">
    <w:abstractNumId w:val="20"/>
  </w:num>
  <w:num w:numId="7">
    <w:abstractNumId w:val="26"/>
  </w:num>
  <w:num w:numId="8">
    <w:abstractNumId w:val="15"/>
  </w:num>
  <w:num w:numId="9">
    <w:abstractNumId w:val="18"/>
  </w:num>
  <w:num w:numId="10">
    <w:abstractNumId w:val="8"/>
  </w:num>
  <w:num w:numId="11">
    <w:abstractNumId w:val="23"/>
  </w:num>
  <w:num w:numId="12">
    <w:abstractNumId w:val="19"/>
  </w:num>
  <w:num w:numId="13">
    <w:abstractNumId w:val="14"/>
  </w:num>
  <w:num w:numId="14">
    <w:abstractNumId w:val="11"/>
  </w:num>
  <w:num w:numId="15">
    <w:abstractNumId w:val="7"/>
  </w:num>
  <w:num w:numId="16">
    <w:abstractNumId w:val="16"/>
  </w:num>
  <w:num w:numId="17">
    <w:abstractNumId w:val="25"/>
  </w:num>
  <w:num w:numId="18">
    <w:abstractNumId w:val="9"/>
  </w:num>
  <w:num w:numId="19">
    <w:abstractNumId w:val="21"/>
  </w:num>
  <w:num w:numId="20">
    <w:abstractNumId w:val="12"/>
  </w:num>
  <w:num w:numId="21">
    <w:abstractNumId w:val="2"/>
  </w:num>
  <w:num w:numId="22">
    <w:abstractNumId w:val="17"/>
  </w:num>
  <w:num w:numId="23">
    <w:abstractNumId w:val="6"/>
  </w:num>
  <w:num w:numId="24">
    <w:abstractNumId w:val="24"/>
  </w:num>
  <w:num w:numId="25">
    <w:abstractNumId w:val="3"/>
  </w:num>
  <w:num w:numId="26">
    <w:abstractNumId w:val="0"/>
  </w:num>
  <w:num w:numId="27">
    <w:abstractNumId w:val="4"/>
  </w:num>
  <w:num w:numId="28">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59"/>
  <w:displayBackgroundShape/>
  <w:stylePaneFormatFilter w:val="3F01"/>
  <w:doNotTrackMoves/>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EN.InstantFormat" w:val="&lt;ENInstantFormat&gt;&lt;Enabled&gt;0&lt;/Enabled&gt;&lt;ScanUnformatted&gt;1&lt;/ScanUnformatted&gt;&lt;ScanChanges&gt;1&lt;/ScanChanges&gt;&lt;/ENInstantFormat&gt;"/>
    <w:docVar w:name="EN.Layout" w:val="&lt;ENLayout&gt;&lt;Style&gt;PLo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1_MASTER_LIBRARY-Saved.enl&lt;/item&gt;&lt;/Libraries&gt;&lt;/ENLibraries&gt;"/>
  </w:docVars>
  <w:rsids>
    <w:rsidRoot w:val="00415958"/>
    <w:rsid w:val="00006677"/>
    <w:rsid w:val="00016211"/>
    <w:rsid w:val="00060ACE"/>
    <w:rsid w:val="00074EA9"/>
    <w:rsid w:val="00083C90"/>
    <w:rsid w:val="000D1EEF"/>
    <w:rsid w:val="000D4C0E"/>
    <w:rsid w:val="00115C2D"/>
    <w:rsid w:val="00115E36"/>
    <w:rsid w:val="0012183D"/>
    <w:rsid w:val="001C415C"/>
    <w:rsid w:val="001E02B2"/>
    <w:rsid w:val="002242CA"/>
    <w:rsid w:val="002414E1"/>
    <w:rsid w:val="002441A6"/>
    <w:rsid w:val="002475B4"/>
    <w:rsid w:val="002522CF"/>
    <w:rsid w:val="00255CF5"/>
    <w:rsid w:val="00261608"/>
    <w:rsid w:val="00284AF2"/>
    <w:rsid w:val="002B1747"/>
    <w:rsid w:val="002D0EC8"/>
    <w:rsid w:val="002E4A68"/>
    <w:rsid w:val="002E6D17"/>
    <w:rsid w:val="00323F88"/>
    <w:rsid w:val="0032534E"/>
    <w:rsid w:val="00334F37"/>
    <w:rsid w:val="0036002A"/>
    <w:rsid w:val="003D27D5"/>
    <w:rsid w:val="003E2AC3"/>
    <w:rsid w:val="003E68FD"/>
    <w:rsid w:val="0040225E"/>
    <w:rsid w:val="004065B4"/>
    <w:rsid w:val="00415958"/>
    <w:rsid w:val="00425ED3"/>
    <w:rsid w:val="004A69F5"/>
    <w:rsid w:val="004B6AAF"/>
    <w:rsid w:val="004E07E1"/>
    <w:rsid w:val="004F107F"/>
    <w:rsid w:val="00503858"/>
    <w:rsid w:val="005043FE"/>
    <w:rsid w:val="0053375C"/>
    <w:rsid w:val="00541FFC"/>
    <w:rsid w:val="0056221E"/>
    <w:rsid w:val="005A49AD"/>
    <w:rsid w:val="005A51C0"/>
    <w:rsid w:val="005A6507"/>
    <w:rsid w:val="005B4378"/>
    <w:rsid w:val="005C1295"/>
    <w:rsid w:val="005C20FF"/>
    <w:rsid w:val="005D3645"/>
    <w:rsid w:val="005E17B8"/>
    <w:rsid w:val="005E2468"/>
    <w:rsid w:val="005E2935"/>
    <w:rsid w:val="005E2DFF"/>
    <w:rsid w:val="005E701F"/>
    <w:rsid w:val="005F7DF1"/>
    <w:rsid w:val="0060220E"/>
    <w:rsid w:val="00626EC5"/>
    <w:rsid w:val="00673285"/>
    <w:rsid w:val="0068531B"/>
    <w:rsid w:val="00737414"/>
    <w:rsid w:val="00764ABC"/>
    <w:rsid w:val="007C2997"/>
    <w:rsid w:val="007C4091"/>
    <w:rsid w:val="00845607"/>
    <w:rsid w:val="00853CA0"/>
    <w:rsid w:val="00896728"/>
    <w:rsid w:val="008A2AB3"/>
    <w:rsid w:val="008A3851"/>
    <w:rsid w:val="008E0427"/>
    <w:rsid w:val="008E2B05"/>
    <w:rsid w:val="008F6645"/>
    <w:rsid w:val="00903DE4"/>
    <w:rsid w:val="00935C31"/>
    <w:rsid w:val="009C15FB"/>
    <w:rsid w:val="009D7852"/>
    <w:rsid w:val="009F364D"/>
    <w:rsid w:val="009F42D3"/>
    <w:rsid w:val="00A265AA"/>
    <w:rsid w:val="00A4168A"/>
    <w:rsid w:val="00A45367"/>
    <w:rsid w:val="00A46E3D"/>
    <w:rsid w:val="00A65E4E"/>
    <w:rsid w:val="00A81F7E"/>
    <w:rsid w:val="00A833A8"/>
    <w:rsid w:val="00AA2259"/>
    <w:rsid w:val="00AA31D4"/>
    <w:rsid w:val="00AC61F2"/>
    <w:rsid w:val="00AD2B46"/>
    <w:rsid w:val="00AE0396"/>
    <w:rsid w:val="00AF24A5"/>
    <w:rsid w:val="00B10A0D"/>
    <w:rsid w:val="00B14E37"/>
    <w:rsid w:val="00B31982"/>
    <w:rsid w:val="00B8544E"/>
    <w:rsid w:val="00B96760"/>
    <w:rsid w:val="00BC01EC"/>
    <w:rsid w:val="00C576AA"/>
    <w:rsid w:val="00C70558"/>
    <w:rsid w:val="00C949D6"/>
    <w:rsid w:val="00C94F0A"/>
    <w:rsid w:val="00CE413C"/>
    <w:rsid w:val="00CF07E8"/>
    <w:rsid w:val="00CF0BDC"/>
    <w:rsid w:val="00D4707C"/>
    <w:rsid w:val="00D62105"/>
    <w:rsid w:val="00DB598F"/>
    <w:rsid w:val="00DC094B"/>
    <w:rsid w:val="00E17A9F"/>
    <w:rsid w:val="00E23A6E"/>
    <w:rsid w:val="00E43379"/>
    <w:rsid w:val="00E53E9A"/>
    <w:rsid w:val="00E70029"/>
    <w:rsid w:val="00EF6C4E"/>
    <w:rsid w:val="00F0108F"/>
    <w:rsid w:val="00F0440C"/>
    <w:rsid w:val="00F36D18"/>
    <w:rsid w:val="00FA6AD3"/>
    <w:rsid w:val="00FB24C5"/>
    <w:rsid w:val="00FC291C"/>
    <w:rsid w:val="00FF2D28"/>
    <w:rsid w:val="00FF637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colormru v:ext="edit" colors="#ffffbd,#ffffb9"/>
      <o:colormenu v:ext="edit" fillcolor="none"/>
    </o:shapedefaults>
    <o:shapelayout v:ext="edit">
      <o:idmap v:ext="edit" data="1"/>
      <o:rules v:ext="edit">
        <o:r id="V:Rule73" type="connector" idref="#_x0000_s1058"/>
        <o:r id="V:Rule74" type="connector" idref="#_x0000_s1178">
          <o:proxy start="" idref="#_x0000_s1174" connectloc="1"/>
          <o:proxy end="" idref="#_x0000_s1162" connectloc="3"/>
        </o:r>
        <o:r id="V:Rule75" type="connector" idref="#_x0000_s1127">
          <o:proxy start="" idref="#_x0000_s1120" connectloc="1"/>
        </o:r>
        <o:r id="V:Rule76" type="connector" idref="#_x0000_s1036"/>
        <o:r id="V:Rule77" type="connector" idref="#_x0000_s1179">
          <o:proxy start="" idref="#_x0000_s1174" connectloc="1"/>
          <o:proxy end="" idref="#_x0000_s1161" connectloc="0"/>
        </o:r>
        <o:r id="V:Rule78" type="connector" idref="#_x0000_s1126">
          <o:proxy end="" idref="#_x0000_s1120" connectloc="2"/>
        </o:r>
        <o:r id="V:Rule79" type="connector" idref="#_x0000_s1114"/>
        <o:r id="V:Rule80" type="connector" idref="#_x0000_s1083"/>
        <o:r id="V:Rule81" type="connector" idref="#_x0000_s1243">
          <o:proxy start="" idref="#_x0000_s1242" connectloc="1"/>
          <o:proxy end="" idref="#_x0000_s1236" connectloc="3"/>
        </o:r>
        <o:r id="V:Rule82" type="connector" idref="#_x0000_s1147">
          <o:proxy start="" idref="#_x0000_s1112" connectloc="0"/>
          <o:proxy end="" idref="#_x0000_s1102" connectloc="1"/>
        </o:r>
        <o:r id="V:Rule83" type="connector" idref="#_x0000_s1057"/>
        <o:r id="V:Rule84" type="connector" idref="#_x0000_s1194">
          <o:proxy start="" idref="#_x0000_s1193" connectloc="1"/>
          <o:proxy end="" idref="#_x0000_s1192" connectloc="3"/>
        </o:r>
        <o:r id="V:Rule85" type="connector" idref="#_x0000_s1240">
          <o:proxy start="" idref="#_x0000_s1236" connectloc="0"/>
          <o:proxy end="" idref="#_x0000_s1233" connectloc="0"/>
        </o:r>
        <o:r id="V:Rule86" type="connector" idref="#_x0000_s1167">
          <o:proxy start="" idref="#_x0000_s1160" connectloc="3"/>
          <o:proxy end="" idref="#_x0000_s1162" connectloc="1"/>
        </o:r>
        <o:r id="V:Rule87" type="connector" idref="#_x0000_s1086"/>
        <o:r id="V:Rule88" type="connector" idref="#_x0000_s1124"/>
        <o:r id="V:Rule89" type="connector" idref="#_x0000_s1037"/>
        <o:r id="V:Rule90" type="connector" idref="#_x0000_s1111">
          <o:proxy start="" idref="#_x0000_s1104" connectloc="2"/>
          <o:proxy end="" idref="#_x0000_s1102" connectloc="2"/>
        </o:r>
        <o:r id="V:Rule91" type="connector" idref="#_x0000_s1166">
          <o:proxy start="" idref="#_x0000_s1160" connectloc="3"/>
          <o:proxy end="" idref="#_x0000_s1161" connectloc="1"/>
        </o:r>
        <o:r id="V:Rule92" type="connector" idref="#_x0000_s1239">
          <o:proxy start="" idref="#_x0000_s1234" connectloc="3"/>
          <o:proxy end="" idref="#_x0000_s1236" connectloc="1"/>
        </o:r>
        <o:r id="V:Rule93" type="connector" idref="#_x0000_s1051"/>
        <o:r id="V:Rule94" type="connector" idref="#_x0000_s1050">
          <o:proxy start="" idref="#_x0000_s1041" connectloc="3"/>
          <o:proxy end="" idref="#_x0000_s1043" connectloc="1"/>
        </o:r>
        <o:r id="V:Rule95" type="connector" idref="#_x0000_s1060"/>
        <o:r id="V:Rule96" type="connector" idref="#_x0000_s1196">
          <o:proxy start="" idref="#_x0000_s1191" connectloc="1"/>
          <o:proxy end="" idref="#_x0000_s1190" connectloc="3"/>
        </o:r>
        <o:r id="V:Rule97" type="connector" idref="#_x0000_s1089">
          <o:proxy start="" idref="#_x0000_s1078" connectloc="0"/>
          <o:proxy end="" idref="#_x0000_s1087" connectloc="1"/>
        </o:r>
        <o:r id="V:Rule98" type="connector" idref="#_x0000_s1100">
          <o:proxy start="" idref="#_x0000_s1081" connectloc="1"/>
          <o:proxy end="" idref="#_x0000_s1079" connectloc="0"/>
        </o:r>
        <o:r id="V:Rule99" type="connector" idref="#_x0000_s1245">
          <o:proxy start="" idref="#_x0000_s1242" connectloc="1"/>
          <o:proxy end="" idref="#_x0000_s1235" connectloc="0"/>
        </o:r>
        <o:r id="V:Rule100" type="connector" idref="#_x0000_s1059"/>
        <o:r id="V:Rule101" type="connector" idref="#_x0000_s1068"/>
        <o:r id="V:Rule102" type="connector" idref="#_x0000_s1137"/>
        <o:r id="V:Rule103" type="connector" idref="#_x0000_s1088">
          <o:proxy start="" idref="#_x0000_s1077" connectloc="0"/>
          <o:proxy end="" idref="#_x0000_s1087" connectloc="1"/>
        </o:r>
        <o:r id="V:Rule104" type="connector" idref="#_x0000_s1128">
          <o:proxy start="" idref="#_x0000_s1120" connectloc="1"/>
        </o:r>
        <o:r id="V:Rule105" type="connector" idref="#_x0000_s1108"/>
        <o:r id="V:Rule106" type="connector" idref="#_x0000_s1055">
          <o:proxy end="" idref="#_x0000_s1045" connectloc="2"/>
        </o:r>
        <o:r id="V:Rule107" type="connector" idref="#_x0000_s1238">
          <o:proxy start="" idref="#_x0000_s1234" connectloc="3"/>
          <o:proxy end="" idref="#_x0000_s1235" connectloc="1"/>
        </o:r>
        <o:r id="V:Rule108" type="connector" idref="#_x0000_s1092">
          <o:proxy start="" idref="#_x0000_s1081" connectloc="1"/>
          <o:proxy end="" idref="#_x0000_s1087" connectloc="1"/>
        </o:r>
        <o:r id="V:Rule109" type="connector" idref="#_x0000_s1067"/>
        <o:r id="V:Rule110" type="connector" idref="#_x0000_s1101">
          <o:proxy start="" idref="#_x0000_s1081" connectloc="1"/>
          <o:proxy end="" idref="#_x0000_s1080" connectloc="3"/>
        </o:r>
        <o:r id="V:Rule111" type="connector" idref="#_x0000_s1241">
          <o:proxy start="" idref="#_x0000_s1235" connectloc="2"/>
          <o:proxy end="" idref="#_x0000_s1233" connectloc="2"/>
        </o:r>
        <o:r id="V:Rule112" type="connector" idref="#_x0000_s1197">
          <o:proxy start="" idref="#_x0000_s1192" connectloc="1"/>
          <o:proxy end="" idref="#_x0000_s1191" connectloc="3"/>
        </o:r>
        <o:r id="V:Rule113" type="connector" idref="#_x0000_s1177"/>
        <o:r id="V:Rule114" type="connector" idref="#_x0000_s1173">
          <o:proxy start="" idref="#_x0000_s1171" connectloc="2"/>
          <o:proxy end="" idref="#_x0000_s1159" connectloc="2"/>
        </o:r>
        <o:r id="V:Rule115" type="connector" idref="#_x0000_s1085"/>
        <o:r id="V:Rule116" type="connector" idref="#_x0000_s1031"/>
        <o:r id="V:Rule117" type="connector" idref="#_x0000_s1090">
          <o:proxy start="" idref="#_x0000_s1080" connectloc="0"/>
          <o:proxy end="" idref="#_x0000_s1087" connectloc="1"/>
        </o:r>
        <o:r id="V:Rule118" type="connector" idref="#_x0000_s1056"/>
        <o:r id="V:Rule119" type="connector" idref="#_x0000_s1115"/>
        <o:r id="V:Rule120" type="connector" idref="#_x0000_s1091">
          <o:proxy start="" idref="#_x0000_s1079" connectloc="0"/>
          <o:proxy end="" idref="#_x0000_s1087" connectloc="1"/>
        </o:r>
        <o:r id="V:Rule121" type="connector" idref="#_x0000_s1175"/>
        <o:r id="V:Rule122" type="connector" idref="#_x0000_s1138"/>
        <o:r id="V:Rule123" type="connector" idref="#_x0000_s1123"/>
        <o:r id="V:Rule124" type="connector" idref="#_x0000_s1113"/>
        <o:r id="V:Rule125" type="connector" idref="#_x0000_s1099">
          <o:proxy start="" idref="#_x0000_s1079" connectloc="3"/>
          <o:proxy end="" idref="#_x0000_s1081" connectloc="2"/>
        </o:r>
        <o:r id="V:Rule126" type="connector" idref="#_x0000_s1195">
          <o:proxy start="" idref="#_x0000_s1190" connectloc="2"/>
          <o:proxy end="" idref="#_x0000_s1159" connectloc="0"/>
        </o:r>
        <o:r id="V:Rule127" type="connector" idref="#_x0000_s1110"/>
        <o:r id="V:Rule128" type="connector" idref="#_x0000_s1122"/>
        <o:r id="V:Rule129" type="connector" idref="#_x0000_s1139">
          <o:proxy end="" idref="#_x0000_s1133" connectloc="2"/>
        </o:r>
        <o:r id="V:Rule130" type="connector" idref="#_x0000_s1136"/>
        <o:r id="V:Rule131" type="connector" idref="#_x0000_s1069"/>
        <o:r id="V:Rule132" type="connector" idref="#_x0000_s1109"/>
        <o:r id="V:Rule133" type="connector" idref="#_x0000_s1084"/>
        <o:r id="V:Rule134" type="connector" idref="#_x0000_s1066"/>
        <o:r id="V:Rule135" type="connector" idref="#_x0000_s1065"/>
        <o:r id="V:Rule136" type="connector" idref="#_x0000_s1140">
          <o:proxy start="" idref="#_x0000_s1133" connectloc="1"/>
        </o:r>
        <o:r id="V:Rule137" type="connector" idref="#_x0000_s1061"/>
        <o:r id="V:Rule138" type="connector" idref="#_x0000_s1141">
          <o:proxy start="" idref="#_x0000_s1133" connectloc="1"/>
        </o:r>
        <o:r id="V:Rule139" type="connector" idref="#_x0000_s1176">
          <o:proxy start="" idref="#_x0000_s1169" connectloc="0"/>
        </o:r>
        <o:r id="V:Rule140" type="connector" idref="#_x0000_s1146">
          <o:proxy start="" idref="#_x0000_s1087" connectloc="0"/>
          <o:proxy end="" idref="#_x0000_s1077" connectloc="1"/>
        </o:r>
        <o:r id="V:Rule141" type="connector" idref="#_x0000_s1135"/>
        <o:r id="V:Rule142" type="connector" idref="#_x0000_s1168">
          <o:proxy start="" idref="#_x0000_s1162" connectloc="0"/>
          <o:proxy end="" idref="#_x0000_s1193" connectloc="2"/>
        </o:r>
        <o:r id="V:Rule143" type="connector" idref="#_x0000_s1244"/>
        <o:r id="V:Rule144" type="connector" idref="#_x0000_s112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5958"/>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1595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15958"/>
    <w:rPr>
      <w:rFonts w:ascii="Tahoma" w:hAnsi="Tahoma" w:cs="Tahoma"/>
      <w:sz w:val="16"/>
      <w:szCs w:val="16"/>
    </w:rPr>
  </w:style>
  <w:style w:type="numbering" w:customStyle="1" w:styleId="NoList1">
    <w:name w:val="No List1"/>
    <w:next w:val="NoList"/>
    <w:semiHidden/>
    <w:rsid w:val="00415958"/>
  </w:style>
  <w:style w:type="paragraph" w:styleId="Footer">
    <w:name w:val="footer"/>
    <w:basedOn w:val="Normal"/>
    <w:link w:val="FooterChar"/>
    <w:rsid w:val="00415958"/>
    <w:pPr>
      <w:tabs>
        <w:tab w:val="center" w:pos="4320"/>
        <w:tab w:val="right" w:pos="8640"/>
      </w:tabs>
    </w:pPr>
    <w:rPr>
      <w:sz w:val="24"/>
    </w:rPr>
  </w:style>
  <w:style w:type="character" w:styleId="PageNumber">
    <w:name w:val="page number"/>
    <w:basedOn w:val="DefaultParagraphFont"/>
    <w:rsid w:val="00415958"/>
  </w:style>
  <w:style w:type="character" w:styleId="CommentReference">
    <w:name w:val="annotation reference"/>
    <w:basedOn w:val="DefaultParagraphFont"/>
    <w:semiHidden/>
    <w:rsid w:val="00415958"/>
    <w:rPr>
      <w:sz w:val="16"/>
      <w:szCs w:val="16"/>
    </w:rPr>
  </w:style>
  <w:style w:type="paragraph" w:styleId="CommentText">
    <w:name w:val="annotation text"/>
    <w:basedOn w:val="Normal"/>
    <w:semiHidden/>
    <w:rsid w:val="00415958"/>
  </w:style>
  <w:style w:type="paragraph" w:styleId="CommentSubject">
    <w:name w:val="annotation subject"/>
    <w:basedOn w:val="CommentText"/>
    <w:next w:val="CommentText"/>
    <w:semiHidden/>
    <w:rsid w:val="00415958"/>
    <w:rPr>
      <w:b/>
      <w:bCs/>
    </w:rPr>
  </w:style>
  <w:style w:type="paragraph" w:styleId="Header">
    <w:name w:val="header"/>
    <w:basedOn w:val="Normal"/>
    <w:link w:val="HeaderChar"/>
    <w:rsid w:val="00415958"/>
    <w:pPr>
      <w:tabs>
        <w:tab w:val="center" w:pos="4320"/>
        <w:tab w:val="right" w:pos="8640"/>
      </w:tabs>
    </w:pPr>
  </w:style>
  <w:style w:type="character" w:styleId="Hyperlink">
    <w:name w:val="Hyperlink"/>
    <w:basedOn w:val="DefaultParagraphFont"/>
    <w:rsid w:val="00415958"/>
    <w:rPr>
      <w:color w:val="0000FF"/>
      <w:u w:val="single"/>
    </w:rPr>
  </w:style>
  <w:style w:type="character" w:customStyle="1" w:styleId="body3">
    <w:name w:val="body3"/>
    <w:basedOn w:val="DefaultParagraphFont"/>
    <w:rsid w:val="00415958"/>
  </w:style>
  <w:style w:type="paragraph" w:styleId="Title">
    <w:name w:val="Title"/>
    <w:basedOn w:val="Normal"/>
    <w:next w:val="Normal"/>
    <w:qFormat/>
    <w:rsid w:val="00415958"/>
    <w:pPr>
      <w:autoSpaceDE w:val="0"/>
      <w:autoSpaceDN w:val="0"/>
      <w:adjustRightInd w:val="0"/>
    </w:pPr>
    <w:rPr>
      <w:rFonts w:ascii="LDEJML+Arial,Bold" w:hAnsi="LDEJML+Arial,Bold"/>
      <w:sz w:val="24"/>
      <w:szCs w:val="24"/>
      <w:lang w:eastAsia="en-GB"/>
    </w:rPr>
  </w:style>
  <w:style w:type="numbering" w:customStyle="1" w:styleId="NoList2">
    <w:name w:val="No List2"/>
    <w:next w:val="NoList"/>
    <w:semiHidden/>
    <w:unhideWhenUsed/>
    <w:rsid w:val="00415958"/>
  </w:style>
  <w:style w:type="paragraph" w:customStyle="1" w:styleId="MTDisplayEquation">
    <w:name w:val="MTDisplayEquation"/>
    <w:basedOn w:val="Normal"/>
    <w:next w:val="Normal"/>
    <w:link w:val="MTDisplayEquationChar"/>
    <w:rsid w:val="00415958"/>
    <w:pPr>
      <w:tabs>
        <w:tab w:val="center" w:pos="4320"/>
        <w:tab w:val="right" w:pos="8640"/>
      </w:tabs>
    </w:pPr>
    <w:rPr>
      <w:sz w:val="24"/>
    </w:rPr>
  </w:style>
  <w:style w:type="character" w:customStyle="1" w:styleId="MTDisplayEquationChar">
    <w:name w:val="MTDisplayEquation Char"/>
    <w:basedOn w:val="DefaultParagraphFont"/>
    <w:link w:val="MTDisplayEquation"/>
    <w:rsid w:val="00415958"/>
    <w:rPr>
      <w:rFonts w:ascii="Arial" w:hAnsi="Arial"/>
      <w:sz w:val="24"/>
      <w:lang w:val="en-GB" w:eastAsia="en-US" w:bidi="ar-SA"/>
    </w:rPr>
  </w:style>
  <w:style w:type="character" w:customStyle="1" w:styleId="HeaderChar">
    <w:name w:val="Header Char"/>
    <w:basedOn w:val="DefaultParagraphFont"/>
    <w:link w:val="Header"/>
    <w:rsid w:val="00415958"/>
    <w:rPr>
      <w:rFonts w:ascii="Arial" w:hAnsi="Arial"/>
      <w:lang w:val="en-GB" w:eastAsia="en-US" w:bidi="ar-SA"/>
    </w:rPr>
  </w:style>
  <w:style w:type="character" w:customStyle="1" w:styleId="FooterChar">
    <w:name w:val="Footer Char"/>
    <w:basedOn w:val="DefaultParagraphFont"/>
    <w:link w:val="Footer"/>
    <w:rsid w:val="00415958"/>
    <w:rPr>
      <w:rFonts w:ascii="Arial" w:hAnsi="Arial"/>
      <w:sz w:val="24"/>
      <w:lang w:val="en-GB" w:eastAsia="en-US" w:bidi="ar-SA"/>
    </w:rPr>
  </w:style>
  <w:style w:type="paragraph" w:styleId="Revision">
    <w:name w:val="Revision"/>
    <w:hidden/>
    <w:semiHidden/>
    <w:rsid w:val="00415958"/>
    <w:rPr>
      <w:rFonts w:ascii="Arial" w:hAnsi="Arial"/>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2.bin"/><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8.emf"/><Relationship Id="rId3" Type="http://schemas.openxmlformats.org/officeDocument/2006/relationships/settings" Target="settings.xml"/><Relationship Id="rId21" Type="http://schemas.openxmlformats.org/officeDocument/2006/relationships/image" Target="media/image11.wmf"/><Relationship Id="rId34" Type="http://schemas.openxmlformats.org/officeDocument/2006/relationships/image" Target="media/image23.emf"/><Relationship Id="rId42" Type="http://schemas.openxmlformats.org/officeDocument/2006/relationships/image" Target="media/image31.emf"/><Relationship Id="rId7" Type="http://schemas.openxmlformats.org/officeDocument/2006/relationships/image" Target="media/image1.wmf"/><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5.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4.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wmf"/><Relationship Id="rId28" Type="http://schemas.openxmlformats.org/officeDocument/2006/relationships/image" Target="media/image18.emf"/><Relationship Id="rId36" Type="http://schemas.openxmlformats.org/officeDocument/2006/relationships/image" Target="media/image25.emf"/><Relationship Id="rId10" Type="http://schemas.openxmlformats.org/officeDocument/2006/relationships/oleObject" Target="embeddings/oleObject1.bin"/><Relationship Id="rId19" Type="http://schemas.openxmlformats.org/officeDocument/2006/relationships/image" Target="media/image9.wmf"/><Relationship Id="rId31" Type="http://schemas.openxmlformats.org/officeDocument/2006/relationships/oleObject" Target="embeddings/Microsoft_Office_Excel_97-2003_Worksheet1.xls"/><Relationship Id="rId44" Type="http://schemas.openxmlformats.org/officeDocument/2006/relationships/image" Target="media/image33.e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2.w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4.emf"/><Relationship Id="rId43"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46</Pages>
  <Words>16155</Words>
  <Characters>92088</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Determination of the optimal intermittent preventive treatment strategy for specific settings using mathematical modelling</vt:lpstr>
    </vt:vector>
  </TitlesOfParts>
  <Company>BHASVIC</Company>
  <LinksUpToDate>false</LinksUpToDate>
  <CharactersWithSpaces>108027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Determination of the optimal intermittent preventive treatment strategy for specific settings using mathematical modelling</dc:title>
  <dc:creator>Matt Cairns</dc:creator>
  <cp:lastModifiedBy>Matt</cp:lastModifiedBy>
  <cp:revision>2</cp:revision>
  <cp:lastPrinted>2011-03-15T13:44:00Z</cp:lastPrinted>
  <dcterms:created xsi:type="dcterms:W3CDTF">2011-03-27T11:33:00Z</dcterms:created>
  <dcterms:modified xsi:type="dcterms:W3CDTF">2011-03-27T11:33:00Z</dcterms:modified>
</cp:coreProperties>
</file>