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AE" w:rsidRPr="003B24D4" w:rsidRDefault="00370EAE" w:rsidP="00370EAE">
      <w:pPr>
        <w:spacing w:after="0" w:line="240" w:lineRule="auto"/>
        <w:rPr>
          <w:rFonts w:eastAsia="Times New Roman"/>
          <w:color w:val="000000"/>
          <w:lang w:val="en-US"/>
        </w:rPr>
      </w:pPr>
      <w:r>
        <w:rPr>
          <w:rFonts w:eastAsia="Times New Roman" w:cs="Arial"/>
          <w:b/>
          <w:bCs/>
          <w:lang w:val="en-US" w:eastAsia="fr-FR"/>
        </w:rPr>
        <w:t>Supplementary Information S</w:t>
      </w:r>
      <w:r w:rsidRPr="003B24D4">
        <w:rPr>
          <w:rFonts w:eastAsia="Times New Roman" w:cs="Arial"/>
          <w:b/>
          <w:bCs/>
          <w:lang w:eastAsia="fr-FR"/>
        </w:rPr>
        <w:t xml:space="preserve">2. </w:t>
      </w:r>
      <w:r w:rsidRPr="003B24D4">
        <w:rPr>
          <w:rFonts w:eastAsia="Times New Roman" w:cs="Arial"/>
          <w:b/>
          <w:bCs/>
          <w:lang w:eastAsia="fr-FR"/>
        </w:rPr>
        <w:t xml:space="preserve">Status overview: Surveillance, outbreak detection and predictive modelling </w:t>
      </w:r>
    </w:p>
    <w:p w:rsidR="00370EAE" w:rsidRPr="003B24D4" w:rsidRDefault="00370EAE" w:rsidP="00370EAE">
      <w:pPr>
        <w:spacing w:line="240" w:lineRule="auto"/>
        <w:rPr>
          <w:rFonts w:eastAsia="Times New Roman"/>
          <w:lang w:val="en-US" w:eastAsia="fr-FR"/>
        </w:rPr>
      </w:pPr>
      <w:r w:rsidRPr="003B24D4">
        <w:rPr>
          <w:rFonts w:eastAsia="Times New Roman"/>
          <w:lang w:eastAsia="fr-FR"/>
        </w:rPr>
        <w:t>T</w:t>
      </w:r>
      <w:r w:rsidRPr="003B24D4">
        <w:rPr>
          <w:rFonts w:eastAsia="Times New Roman"/>
          <w:lang w:val="en-US" w:eastAsia="fr-FR"/>
        </w:rPr>
        <w:t>he WHO’s Global Influenza Surveillance Network (FluNet) collects and processes laboratory data from 94 countries</w:t>
      </w:r>
      <w:r w:rsidRPr="003B24D4">
        <w:rPr>
          <w:rFonts w:eastAsia="Times New Roman"/>
          <w:i/>
          <w:lang w:val="en-US" w:eastAsia="fr-FR"/>
        </w:rPr>
        <w:t xml:space="preserve"> </w:t>
      </w:r>
      <w:r w:rsidRPr="003B24D4">
        <w:rPr>
          <w:rFonts w:eastAsia="Times New Roman"/>
          <w:lang w:val="en-US" w:eastAsia="fr-FR"/>
        </w:rPr>
        <w:t>[3]. In 2009  the  network  consist</w:t>
      </w:r>
      <w:r>
        <w:rPr>
          <w:rFonts w:eastAsia="Times New Roman"/>
          <w:lang w:val="en-US" w:eastAsia="fr-FR"/>
        </w:rPr>
        <w:t>ed</w:t>
      </w:r>
      <w:r w:rsidRPr="003B24D4">
        <w:rPr>
          <w:rFonts w:eastAsia="Times New Roman"/>
          <w:lang w:val="en-US" w:eastAsia="fr-FR"/>
        </w:rPr>
        <w:t xml:space="preserve"> of  122  laboratories  that collect  specimens  from  patients in  their country with  influenza-like  illness  (ILI) . For  virus  isolation,  the  laboratories  perform  preliminary  analyses  of  isolates  including  virus  type  and  subtype (http://gamapserver.who.int/GlobalAtlas/home.asp). The  network provides  virologic  data  that informs  trivalent  vaccine  strain  selection twice a year  and  that  is used to rapidly  detect  influenza  A  subtypes  that  may  have  pandemic  potential.  National level  surveillance based on laboratory data focuses  on  measuring  disease  progress  to  inform  prevention  policy  development,  while  local  level surveillance informs  patient  treatment  and  local outbreak  response. However, laboratory-based surveillance systems do not have the capacity to follow the progress of local level disease outbreaks, alert health service agencies regarding response, and educate the general public [4]. One </w:t>
      </w:r>
      <w:r>
        <w:rPr>
          <w:rFonts w:eastAsia="Times New Roman"/>
          <w:lang w:val="en-US" w:eastAsia="fr-FR"/>
        </w:rPr>
        <w:t>main reason for the</w:t>
      </w:r>
      <w:r w:rsidRPr="003B24D4">
        <w:rPr>
          <w:rFonts w:eastAsia="Times New Roman"/>
          <w:lang w:val="en-US" w:eastAsia="fr-FR"/>
        </w:rPr>
        <w:t xml:space="preserve"> inadequacy is the low level of microbiologically verified cases. To compensate for this limitation, syndromic surveillance systems have been developed</w:t>
      </w:r>
      <w:r w:rsidRPr="003B24D4" w:rsidDel="00FE6E16">
        <w:rPr>
          <w:rFonts w:eastAsia="Times New Roman"/>
          <w:lang w:val="en-US" w:eastAsia="fr-FR"/>
        </w:rPr>
        <w:t xml:space="preserve"> </w:t>
      </w:r>
      <w:r w:rsidRPr="003B24D4">
        <w:rPr>
          <w:rFonts w:eastAsia="Times New Roman"/>
          <w:lang w:val="en-US" w:eastAsia="fr-FR"/>
        </w:rPr>
        <w:t xml:space="preserve">to monitor data from secondary sources, such as national telenursing services [5] or the Internet [6]. Efforts to develop algorithms for early detection of outbreaks based on analysis of data from multiple sources are in progress [7,8]. </w:t>
      </w:r>
    </w:p>
    <w:p w:rsidR="00370EAE" w:rsidRPr="003B24D4" w:rsidRDefault="00370EAE" w:rsidP="00370EAE">
      <w:pPr>
        <w:overflowPunct w:val="0"/>
        <w:autoSpaceDE w:val="0"/>
        <w:autoSpaceDN w:val="0"/>
        <w:adjustRightInd w:val="0"/>
        <w:spacing w:after="0" w:line="240" w:lineRule="auto"/>
        <w:textAlignment w:val="baseline"/>
        <w:rPr>
          <w:rFonts w:eastAsia="Times New Roman"/>
          <w:lang w:val="en-US" w:eastAsia="fr-FR"/>
        </w:rPr>
      </w:pPr>
    </w:p>
    <w:p w:rsidR="00370EAE" w:rsidRPr="003B24D4" w:rsidRDefault="00370EAE" w:rsidP="00370EAE">
      <w:pPr>
        <w:overflowPunct w:val="0"/>
        <w:autoSpaceDE w:val="0"/>
        <w:autoSpaceDN w:val="0"/>
        <w:adjustRightInd w:val="0"/>
        <w:spacing w:after="0" w:line="240" w:lineRule="auto"/>
        <w:textAlignment w:val="baseline"/>
        <w:rPr>
          <w:rFonts w:eastAsia="Times New Roman"/>
          <w:lang w:val="en-US" w:eastAsia="fr-FR"/>
        </w:rPr>
      </w:pPr>
      <w:r>
        <w:rPr>
          <w:rFonts w:eastAsia="Times New Roman"/>
          <w:noProof/>
          <w:lang w:val="sv-SE" w:eastAsia="sv-SE"/>
        </w:rPr>
        <w:drawing>
          <wp:inline distT="0" distB="0" distL="0" distR="0">
            <wp:extent cx="5753100" cy="1409700"/>
            <wp:effectExtent l="19050" t="0" r="0" b="0"/>
            <wp:docPr id="1" name="Bild 1" descr="Buck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ckFig3"/>
                    <pic:cNvPicPr>
                      <a:picLocks noChangeAspect="1" noChangeArrowheads="1"/>
                    </pic:cNvPicPr>
                  </pic:nvPicPr>
                  <pic:blipFill>
                    <a:blip r:embed="rId5" cstate="print"/>
                    <a:srcRect/>
                    <a:stretch>
                      <a:fillRect/>
                    </a:stretch>
                  </pic:blipFill>
                  <pic:spPr bwMode="auto">
                    <a:xfrm>
                      <a:off x="0" y="0"/>
                      <a:ext cx="5753100" cy="1409700"/>
                    </a:xfrm>
                    <a:prstGeom prst="rect">
                      <a:avLst/>
                    </a:prstGeom>
                    <a:noFill/>
                    <a:ln w="9525">
                      <a:noFill/>
                      <a:miter lim="800000"/>
                      <a:headEnd/>
                      <a:tailEnd/>
                    </a:ln>
                  </pic:spPr>
                </pic:pic>
              </a:graphicData>
            </a:graphic>
          </wp:inline>
        </w:drawing>
      </w:r>
    </w:p>
    <w:p w:rsidR="00370EAE" w:rsidRPr="003B24D4" w:rsidRDefault="00370EAE" w:rsidP="00370EAE">
      <w:pPr>
        <w:overflowPunct w:val="0"/>
        <w:autoSpaceDE w:val="0"/>
        <w:autoSpaceDN w:val="0"/>
        <w:adjustRightInd w:val="0"/>
        <w:spacing w:after="0" w:line="240" w:lineRule="auto"/>
        <w:textAlignment w:val="baseline"/>
        <w:rPr>
          <w:rFonts w:eastAsia="Times New Roman"/>
          <w:lang w:val="en-US" w:eastAsia="fr-FR"/>
        </w:rPr>
      </w:pPr>
      <w:r w:rsidRPr="003B24D4">
        <w:rPr>
          <w:rFonts w:eastAsia="Times New Roman"/>
          <w:b/>
          <w:lang w:val="en-US" w:eastAsia="fr-FR"/>
        </w:rPr>
        <w:t>Figure A1.</w:t>
      </w:r>
      <w:r w:rsidRPr="003B24D4">
        <w:rPr>
          <w:rFonts w:eastAsia="Times New Roman"/>
          <w:lang w:val="en-US" w:eastAsia="fr-FR"/>
        </w:rPr>
        <w:t xml:space="preserve"> Display of associations between outbreak factors and features of outbreak detection systems [9].</w:t>
      </w:r>
    </w:p>
    <w:p w:rsidR="00370EAE" w:rsidRPr="003B24D4" w:rsidRDefault="00370EAE" w:rsidP="00370EAE">
      <w:pPr>
        <w:overflowPunct w:val="0"/>
        <w:autoSpaceDE w:val="0"/>
        <w:autoSpaceDN w:val="0"/>
        <w:adjustRightInd w:val="0"/>
        <w:spacing w:after="0" w:line="240" w:lineRule="auto"/>
        <w:textAlignment w:val="baseline"/>
        <w:rPr>
          <w:rFonts w:eastAsia="Times New Roman"/>
          <w:lang w:val="en-US" w:eastAsia="fr-FR"/>
        </w:rPr>
      </w:pPr>
    </w:p>
    <w:p w:rsidR="00370EAE" w:rsidRPr="003B24D4" w:rsidRDefault="00370EAE" w:rsidP="00370EAE">
      <w:pPr>
        <w:spacing w:line="240" w:lineRule="auto"/>
      </w:pPr>
      <w:r w:rsidRPr="003B24D4">
        <w:t xml:space="preserve">In general terms, an outbreak of an infectious disease is easier to detect when the incidence and variation of baseline cases is low relative to the outbreak cases </w:t>
      </w:r>
      <w:r w:rsidRPr="003B24D4">
        <w:rPr>
          <w:rFonts w:eastAsia="Times New Roman"/>
          <w:lang w:val="en-US" w:eastAsia="fr-FR"/>
        </w:rPr>
        <w:t>(Figure 1).</w:t>
      </w:r>
      <w:r w:rsidRPr="003B24D4">
        <w:t xml:space="preserve"> Outbreaks with a magnitude of less than 10-30 % of baseline have been difficult to detect when operating at high specificity [9]. Also the shape of the outbreak curve influences outbreak detection. Deviations that increase in magnitude quickly over time tend to be detected more rapidly than slowly rising curves. A second set of factors that influence detection are related to the surveillance system. These factors include the data sources, the sampling strategy of the system, the detection algorithm, and the threshold at which an algorithm operates [10]. Systems that monitor a larger proportion of the population at risk are more likely to detect an outbreak. The case detection method, including case definitions and the procedures used to infer whether or not an individual meets case definitions, is therefore important. For instance, outbreaks may fail to be detected if surveillance is only performed at healthcare facilities, because not all symptomatic individuals contact a medical professional. Once cases are identified, a temporal or space–time algorithm is used to analyze the data. Both the historical limits method [11] and the seasonally adjusted cumulative sum (CUSUM) method [12] require five years of baseline data. In comparison, the C1, C2 and C3 family of algorithms used in the Early Aberration Reporting System (EARS) developed by the CDC are closely related to statistical process control methods [13]. These algorithms require less than three years of reference data, and make an alerting decision day by day in a time series by comparing a test statistic to a historical mean calculated from the seven previous days in the baseline data. The performance of these methods has been evaluated with regard to their use in public health surveillance, and it has been found that </w:t>
      </w:r>
      <w:r w:rsidRPr="003B24D4">
        <w:lastRenderedPageBreak/>
        <w:t>historical methods do not have a large advantage when compared to non-historical methods [14]. Generally, algorithms that consider multiple days of data at each decision-point tend to outperform algorithms that only consider data from the current day [15].</w:t>
      </w:r>
    </w:p>
    <w:p w:rsidR="00370EAE" w:rsidRPr="003B24D4" w:rsidRDefault="00370EAE" w:rsidP="00370EAE">
      <w:pPr>
        <w:overflowPunct w:val="0"/>
        <w:autoSpaceDE w:val="0"/>
        <w:autoSpaceDN w:val="0"/>
        <w:adjustRightInd w:val="0"/>
        <w:spacing w:after="0" w:line="240" w:lineRule="auto"/>
        <w:textAlignment w:val="baseline"/>
        <w:rPr>
          <w:rFonts w:eastAsia="Times New Roman"/>
          <w:lang w:val="en-US" w:eastAsia="fr-FR"/>
        </w:rPr>
      </w:pPr>
      <w:r w:rsidRPr="003B24D4">
        <w:rPr>
          <w:rFonts w:eastAsia="Times New Roman"/>
          <w:lang w:val="en-US" w:eastAsia="fr-FR"/>
        </w:rPr>
        <w:t>Beyond surveillance and outbreak detection, computer-based simulations have been used to predict the progress of an outbreak. For instance, containing a pandemic at its hypothesized source through combinations of prophylactic anti-viral medication and social distancing measures has been determined to be feasible [16, 17]. These simulations have required complex models and careful collection of data from multiple sources. However, the validity of these predictions has been weakened by later changes in preconditions, e.g. the development of resistance to second-generation antiviral pharmaceuticals such as Oseltamivir [18]. Similarly, B</w:t>
      </w:r>
      <w:r w:rsidRPr="003B24D4">
        <w:rPr>
          <w:rFonts w:eastAsia="Times New Roman"/>
          <w:lang w:val="en-US"/>
        </w:rPr>
        <w:t>ayesian estimation using a basic disease model and tracing information from a subset of cases can theoretically allow close to real-time analysis of whether or not an epidemic can be controlled by different interventions [19</w:t>
      </w:r>
      <w:r>
        <w:rPr>
          <w:rFonts w:eastAsia="Times New Roman"/>
          <w:lang w:val="en-US"/>
        </w:rPr>
        <w:t>]. T</w:t>
      </w:r>
      <w:r w:rsidRPr="003B24D4">
        <w:rPr>
          <w:rFonts w:eastAsia="Times New Roman"/>
          <w:lang w:val="en-US"/>
        </w:rPr>
        <w:t xml:space="preserve">his method assumes that no new cases are introduced to the community, and that all cases are known (asymptomatic persons and underreporting are excluded). Moreover, </w:t>
      </w:r>
      <w:r w:rsidRPr="003B24D4">
        <w:rPr>
          <w:rFonts w:eastAsia="Times New Roman"/>
          <w:lang w:eastAsia="fr-FR"/>
        </w:rPr>
        <w:t xml:space="preserve">within the spread of a global pandemic, complex local level processes occur that are seldom modelled in current monitoring and forecasting systems. For example, behavior patterns in populations or groups may rapidly change in a pandemic [20]. This can distort the reliability of low level forecasting [21]. </w:t>
      </w:r>
      <w:r w:rsidRPr="003B24D4">
        <w:rPr>
          <w:rFonts w:eastAsia="Times New Roman"/>
          <w:lang w:val="en-US"/>
        </w:rPr>
        <w:t xml:space="preserve">Historical reconstructive simulations have demonstrated that individuals reduce their contact rates in reaction to high levels of mortality during a pandemic [22, 23], and that only the early introduction of social distancing has reduced total mortality [24]. In short, a shortage of real-time outbreak data and a lack of validated methods make </w:t>
      </w:r>
      <w:r w:rsidRPr="003B24D4">
        <w:rPr>
          <w:rFonts w:eastAsia="Times New Roman"/>
          <w:lang w:eastAsia="fr-FR"/>
        </w:rPr>
        <w:t xml:space="preserve">pandemic predictions challenging (Figure A2). </w:t>
      </w:r>
    </w:p>
    <w:p w:rsidR="00370EAE" w:rsidRPr="003B24D4" w:rsidRDefault="00370EAE" w:rsidP="00370EAE">
      <w:pPr>
        <w:spacing w:after="0" w:line="240" w:lineRule="auto"/>
        <w:rPr>
          <w:rFonts w:eastAsia="Times New Roman"/>
          <w:b/>
          <w:bCs/>
          <w:lang w:val="en-US"/>
        </w:rPr>
      </w:pPr>
      <w:r w:rsidRPr="003B24D4">
        <w:rPr>
          <w:rFonts w:eastAsia="Times New Roman"/>
          <w:lang w:val="en-US" w:eastAsia="fr-FR"/>
        </w:rPr>
        <w:object w:dxaOrig="11715" w:dyaOrig="6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68.5pt">
            <v:imagedata r:id="rId6" o:title=""/>
          </v:shape>
        </w:object>
      </w:r>
    </w:p>
    <w:p w:rsidR="00370EAE" w:rsidRPr="003B24D4" w:rsidRDefault="00370EAE" w:rsidP="00370EAE">
      <w:pPr>
        <w:spacing w:after="0" w:line="240" w:lineRule="auto"/>
        <w:rPr>
          <w:rFonts w:eastAsia="Times New Roman"/>
          <w:bCs/>
          <w:lang w:val="en-US"/>
        </w:rPr>
      </w:pPr>
      <w:r w:rsidRPr="003B24D4">
        <w:rPr>
          <w:rFonts w:eastAsia="Times New Roman"/>
          <w:b/>
          <w:bCs/>
          <w:lang w:val="en-US"/>
        </w:rPr>
        <w:t xml:space="preserve">Figure A2. </w:t>
      </w:r>
      <w:r w:rsidRPr="003B24D4">
        <w:rPr>
          <w:rFonts w:eastAsia="Times New Roman"/>
          <w:bCs/>
          <w:lang w:val="en-US"/>
        </w:rPr>
        <w:t xml:space="preserve">Outline of </w:t>
      </w:r>
      <w:r>
        <w:rPr>
          <w:rFonts w:eastAsia="Times New Roman"/>
          <w:bCs/>
          <w:lang w:val="en-US"/>
        </w:rPr>
        <w:t>the dynamic theory development during</w:t>
      </w:r>
      <w:r w:rsidRPr="003B24D4">
        <w:rPr>
          <w:rFonts w:eastAsia="Times New Roman"/>
          <w:bCs/>
          <w:lang w:val="en-US"/>
        </w:rPr>
        <w:t xml:space="preserve"> emerging infectious disease outbreaks.</w:t>
      </w:r>
    </w:p>
    <w:p w:rsidR="00370EAE" w:rsidRPr="003B24D4" w:rsidRDefault="00370EAE" w:rsidP="00370EAE">
      <w:pPr>
        <w:keepNext/>
        <w:overflowPunct w:val="0"/>
        <w:autoSpaceDE w:val="0"/>
        <w:autoSpaceDN w:val="0"/>
        <w:adjustRightInd w:val="0"/>
        <w:spacing w:before="240" w:after="60" w:line="240" w:lineRule="auto"/>
        <w:textAlignment w:val="baseline"/>
        <w:outlineLvl w:val="6"/>
        <w:rPr>
          <w:rFonts w:eastAsia="Times New Roman"/>
          <w:b/>
          <w:bCs/>
          <w:lang w:eastAsia="fr-FR"/>
        </w:rPr>
      </w:pPr>
      <w:r w:rsidRPr="003B24D4">
        <w:rPr>
          <w:rFonts w:eastAsia="Times New Roman"/>
          <w:b/>
          <w:bCs/>
          <w:lang w:eastAsia="fr-FR"/>
        </w:rPr>
        <w:t>References</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1.</w:t>
      </w:r>
      <w:r w:rsidRPr="003B24D4">
        <w:rPr>
          <w:lang w:eastAsia="en-GB"/>
        </w:rPr>
        <w:tab/>
        <w:t xml:space="preserve">Mounier-Jack S, Jas R, Coker R: </w:t>
      </w:r>
      <w:r w:rsidRPr="003B24D4">
        <w:rPr>
          <w:bCs/>
          <w:lang w:eastAsia="en-GB"/>
        </w:rPr>
        <w:t>Progress and shortcomings in European national strategic plans for pandemic influenza</w:t>
      </w:r>
      <w:r w:rsidRPr="003B24D4">
        <w:rPr>
          <w:lang w:eastAsia="en-GB"/>
        </w:rPr>
        <w:t xml:space="preserve">. </w:t>
      </w:r>
      <w:r w:rsidRPr="003B24D4">
        <w:rPr>
          <w:iCs/>
          <w:lang w:eastAsia="en-GB"/>
        </w:rPr>
        <w:t xml:space="preserve">Bulletin of the World Health Organization </w:t>
      </w:r>
      <w:r w:rsidRPr="003B24D4">
        <w:rPr>
          <w:lang w:eastAsia="en-GB"/>
        </w:rPr>
        <w:t xml:space="preserve">2007, </w:t>
      </w:r>
      <w:r w:rsidRPr="003B24D4">
        <w:rPr>
          <w:bCs/>
          <w:lang w:eastAsia="en-GB"/>
        </w:rPr>
        <w:t>85</w:t>
      </w:r>
      <w:r w:rsidRPr="003B24D4">
        <w:rPr>
          <w:lang w:eastAsia="en-GB"/>
        </w:rPr>
        <w:t>(12):923-929.</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2.</w:t>
      </w:r>
      <w:r w:rsidRPr="003B24D4">
        <w:rPr>
          <w:lang w:eastAsia="en-GB"/>
        </w:rPr>
        <w:tab/>
        <w:t xml:space="preserve">Mendel P, Meredith LS, Schoenbaum M, Sherbourne CD, Wells KB: </w:t>
      </w:r>
      <w:r w:rsidRPr="003B24D4">
        <w:rPr>
          <w:bCs/>
          <w:lang w:eastAsia="en-GB"/>
        </w:rPr>
        <w:t>Interventions in organizational and community context: a framework for building evidence on dissemination and implementation in health services research</w:t>
      </w:r>
      <w:r w:rsidRPr="003B24D4">
        <w:rPr>
          <w:lang w:eastAsia="en-GB"/>
        </w:rPr>
        <w:t xml:space="preserve">. </w:t>
      </w:r>
      <w:r w:rsidRPr="003B24D4">
        <w:rPr>
          <w:iCs/>
          <w:lang w:eastAsia="en-GB"/>
        </w:rPr>
        <w:t xml:space="preserve">Administration and policy in mental health </w:t>
      </w:r>
      <w:r w:rsidRPr="003B24D4">
        <w:rPr>
          <w:lang w:eastAsia="en-GB"/>
        </w:rPr>
        <w:t xml:space="preserve">2008, </w:t>
      </w:r>
      <w:r w:rsidRPr="003B24D4">
        <w:rPr>
          <w:bCs/>
          <w:lang w:eastAsia="en-GB"/>
        </w:rPr>
        <w:t>35</w:t>
      </w:r>
      <w:r w:rsidRPr="003B24D4">
        <w:rPr>
          <w:lang w:eastAsia="en-GB"/>
        </w:rPr>
        <w:t>(1-2):21-37.</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lastRenderedPageBreak/>
        <w:t>3.</w:t>
      </w:r>
      <w:r w:rsidRPr="003B24D4">
        <w:rPr>
          <w:lang w:eastAsia="en-GB"/>
        </w:rPr>
        <w:tab/>
        <w:t xml:space="preserve">Brammer L, Budd A, Cox N: </w:t>
      </w:r>
      <w:r w:rsidRPr="003B24D4">
        <w:rPr>
          <w:bCs/>
          <w:lang w:eastAsia="en-GB"/>
        </w:rPr>
        <w:t>Seasonal and pandemic influenza surveillance considerations for constructing multicomponent systems.</w:t>
      </w:r>
      <w:r w:rsidRPr="003B24D4">
        <w:rPr>
          <w:lang w:eastAsia="en-GB"/>
        </w:rPr>
        <w:t xml:space="preserve"> </w:t>
      </w:r>
      <w:r w:rsidRPr="003B24D4">
        <w:rPr>
          <w:iCs/>
          <w:lang w:eastAsia="en-GB"/>
        </w:rPr>
        <w:t xml:space="preserve">Influenza Respir Vir </w:t>
      </w:r>
      <w:r w:rsidRPr="003B24D4">
        <w:rPr>
          <w:lang w:eastAsia="en-GB"/>
        </w:rPr>
        <w:t xml:space="preserve">2009, </w:t>
      </w:r>
      <w:r w:rsidRPr="003B24D4">
        <w:rPr>
          <w:bCs/>
          <w:lang w:eastAsia="en-GB"/>
        </w:rPr>
        <w:t>3</w:t>
      </w:r>
      <w:r w:rsidRPr="003B24D4">
        <w:rPr>
          <w:lang w:eastAsia="en-GB"/>
        </w:rPr>
        <w:t>:51-58.</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4.</w:t>
      </w:r>
      <w:r w:rsidRPr="003B24D4">
        <w:rPr>
          <w:lang w:eastAsia="en-GB"/>
        </w:rPr>
        <w:tab/>
      </w:r>
      <w:r w:rsidRPr="003B24D4">
        <w:t xml:space="preserve">Ortiz JR, Sotomayor V, Uez OC, Oliva O, Bettels D, McCarron M, Bresee JS, Mounts AW. Strategy to enhance influenza surveillance worldwide. Emerg Infect Dis. 2009 Aug;15(8):1271-8. </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5.</w:t>
      </w:r>
      <w:r w:rsidRPr="003B24D4">
        <w:rPr>
          <w:lang w:eastAsia="en-GB"/>
        </w:rPr>
        <w:tab/>
        <w:t xml:space="preserve">Doroshenko A, Cooper D, Smith G, Gerard E, Chinemana F, Verlander N, Nicoll A: </w:t>
      </w:r>
      <w:r w:rsidRPr="003B24D4">
        <w:rPr>
          <w:bCs/>
          <w:lang w:eastAsia="en-GB"/>
        </w:rPr>
        <w:t>Evaluation of syndromic surveillance based on National Health Service Direct derived data--England and Wales</w:t>
      </w:r>
      <w:r w:rsidRPr="003B24D4">
        <w:rPr>
          <w:lang w:eastAsia="en-GB"/>
        </w:rPr>
        <w:t xml:space="preserve">. </w:t>
      </w:r>
      <w:r w:rsidRPr="003B24D4">
        <w:rPr>
          <w:iCs/>
          <w:lang w:eastAsia="en-GB"/>
        </w:rPr>
        <w:t xml:space="preserve">MMWR Morb Mortal Wkly Rep </w:t>
      </w:r>
      <w:r w:rsidRPr="003B24D4">
        <w:rPr>
          <w:lang w:eastAsia="en-GB"/>
        </w:rPr>
        <w:t xml:space="preserve">2005, </w:t>
      </w:r>
      <w:r w:rsidRPr="003B24D4">
        <w:rPr>
          <w:bCs/>
          <w:lang w:eastAsia="en-GB"/>
        </w:rPr>
        <w:t>54 Suppl</w:t>
      </w:r>
      <w:r w:rsidRPr="003B24D4">
        <w:rPr>
          <w:lang w:eastAsia="en-GB"/>
        </w:rPr>
        <w:t>:117-122.</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6.</w:t>
      </w:r>
      <w:r w:rsidRPr="003B24D4">
        <w:rPr>
          <w:lang w:eastAsia="en-GB"/>
        </w:rPr>
        <w:tab/>
        <w:t xml:space="preserve">Ginsberg J, Mohebbi MH, Patel RS, Brammer L, Smolinski MS, Brilliant L: </w:t>
      </w:r>
      <w:r w:rsidRPr="003B24D4">
        <w:rPr>
          <w:bCs/>
          <w:lang w:eastAsia="en-GB"/>
        </w:rPr>
        <w:t>Detecting influenza epidemics using search engine query data</w:t>
      </w:r>
      <w:r w:rsidRPr="003B24D4">
        <w:rPr>
          <w:lang w:eastAsia="en-GB"/>
        </w:rPr>
        <w:t xml:space="preserve">. </w:t>
      </w:r>
      <w:r w:rsidRPr="003B24D4">
        <w:rPr>
          <w:iCs/>
          <w:lang w:eastAsia="en-GB"/>
        </w:rPr>
        <w:t xml:space="preserve">Nature </w:t>
      </w:r>
      <w:r w:rsidRPr="003B24D4">
        <w:rPr>
          <w:lang w:eastAsia="en-GB"/>
        </w:rPr>
        <w:t xml:space="preserve">2009, </w:t>
      </w:r>
      <w:r w:rsidRPr="003B24D4">
        <w:rPr>
          <w:bCs/>
          <w:lang w:eastAsia="en-GB"/>
        </w:rPr>
        <w:t>457</w:t>
      </w:r>
      <w:r w:rsidRPr="003B24D4">
        <w:rPr>
          <w:lang w:eastAsia="en-GB"/>
        </w:rPr>
        <w:t>(7232):1012-1014.</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7.</w:t>
      </w:r>
      <w:r w:rsidRPr="003B24D4">
        <w:rPr>
          <w:lang w:eastAsia="en-GB"/>
        </w:rPr>
        <w:tab/>
        <w:t xml:space="preserve">Buckeridge DL, Burkom H, Campbell M, Hogan WR, Moore AW: </w:t>
      </w:r>
      <w:r w:rsidRPr="003B24D4">
        <w:rPr>
          <w:bCs/>
          <w:lang w:eastAsia="en-GB"/>
        </w:rPr>
        <w:t>Algorithms for rapid outbreak detection: a research synthesis</w:t>
      </w:r>
      <w:r w:rsidRPr="003B24D4">
        <w:rPr>
          <w:lang w:eastAsia="en-GB"/>
        </w:rPr>
        <w:t xml:space="preserve">. </w:t>
      </w:r>
      <w:r w:rsidRPr="003B24D4">
        <w:rPr>
          <w:iCs/>
          <w:lang w:eastAsia="en-GB"/>
        </w:rPr>
        <w:t xml:space="preserve">J Biomed  Inform </w:t>
      </w:r>
      <w:r w:rsidRPr="003B24D4">
        <w:rPr>
          <w:lang w:eastAsia="en-GB"/>
        </w:rPr>
        <w:t xml:space="preserve">2005, </w:t>
      </w:r>
      <w:r w:rsidRPr="003B24D4">
        <w:rPr>
          <w:bCs/>
          <w:lang w:eastAsia="en-GB"/>
        </w:rPr>
        <w:t>38</w:t>
      </w:r>
      <w:r w:rsidRPr="003B24D4">
        <w:rPr>
          <w:lang w:eastAsia="en-GB"/>
        </w:rPr>
        <w:t>(2):99-113.</w:t>
      </w:r>
    </w:p>
    <w:p w:rsidR="00370EAE" w:rsidRPr="003B24D4" w:rsidRDefault="00370EAE" w:rsidP="00370EAE">
      <w:pPr>
        <w:autoSpaceDE w:val="0"/>
        <w:autoSpaceDN w:val="0"/>
        <w:adjustRightInd w:val="0"/>
        <w:spacing w:after="0" w:line="240" w:lineRule="auto"/>
        <w:ind w:hanging="720"/>
      </w:pPr>
      <w:r w:rsidRPr="003B24D4">
        <w:rPr>
          <w:lang w:eastAsia="en-GB"/>
        </w:rPr>
        <w:t>8.</w:t>
      </w:r>
      <w:r w:rsidRPr="003B24D4">
        <w:rPr>
          <w:lang w:eastAsia="en-GB"/>
        </w:rPr>
        <w:tab/>
        <w:t xml:space="preserve">Buckeridge DL, Okhmatovskaia A, Tu S, O'Connor M, Nyulas C, Musen MA: </w:t>
      </w:r>
      <w:r w:rsidRPr="003B24D4">
        <w:rPr>
          <w:bCs/>
          <w:lang w:eastAsia="en-GB"/>
        </w:rPr>
        <w:t>Understanding detection performance in public health surveillance: modeling aberrancy-detection algorithms</w:t>
      </w:r>
      <w:r w:rsidRPr="003B24D4">
        <w:rPr>
          <w:lang w:eastAsia="en-GB"/>
        </w:rPr>
        <w:t xml:space="preserve">. </w:t>
      </w:r>
      <w:r w:rsidRPr="003B24D4">
        <w:rPr>
          <w:iCs/>
          <w:lang w:eastAsia="en-GB"/>
        </w:rPr>
        <w:t xml:space="preserve">J Am Med Inform Assoc </w:t>
      </w:r>
      <w:r w:rsidRPr="003B24D4">
        <w:rPr>
          <w:lang w:eastAsia="en-GB"/>
        </w:rPr>
        <w:t xml:space="preserve">2008, </w:t>
      </w:r>
      <w:r w:rsidRPr="003B24D4">
        <w:rPr>
          <w:bCs/>
          <w:lang w:eastAsia="en-GB"/>
        </w:rPr>
        <w:t>15</w:t>
      </w:r>
      <w:r w:rsidRPr="003B24D4">
        <w:rPr>
          <w:lang w:eastAsia="en-GB"/>
        </w:rPr>
        <w:t>(6):760-769.</w:t>
      </w:r>
      <w:r w:rsidRPr="003B24D4">
        <w:t xml:space="preserve"> </w:t>
      </w:r>
    </w:p>
    <w:p w:rsidR="00370EAE" w:rsidRPr="003B24D4" w:rsidRDefault="00370EAE" w:rsidP="00370EAE">
      <w:pPr>
        <w:autoSpaceDE w:val="0"/>
        <w:autoSpaceDN w:val="0"/>
        <w:adjustRightInd w:val="0"/>
        <w:spacing w:after="0" w:line="240" w:lineRule="auto"/>
        <w:ind w:hanging="720"/>
      </w:pPr>
      <w:r w:rsidRPr="003B24D4">
        <w:t>9.</w:t>
      </w:r>
      <w:r w:rsidRPr="003B24D4">
        <w:tab/>
        <w:t xml:space="preserve">Buckeridge DL. Outbreak detection through automated surveillance: a review of </w:t>
      </w:r>
      <w:r w:rsidRPr="003B24D4">
        <w:rPr>
          <w:lang w:eastAsia="en-GB"/>
        </w:rPr>
        <w:t xml:space="preserve"> </w:t>
      </w:r>
      <w:r w:rsidRPr="003B24D4">
        <w:rPr>
          <w:rFonts w:eastAsia="Times New Roman"/>
          <w:lang w:val="en-US"/>
        </w:rPr>
        <w:t>the determinants of detection. J Biomed Inform. 2007 Aug;40(4):370-9.</w:t>
      </w:r>
    </w:p>
    <w:p w:rsidR="00370EAE" w:rsidRPr="003B24D4" w:rsidRDefault="00370EAE" w:rsidP="00370EAE">
      <w:pPr>
        <w:autoSpaceDE w:val="0"/>
        <w:autoSpaceDN w:val="0"/>
        <w:adjustRightInd w:val="0"/>
        <w:spacing w:after="0" w:line="240" w:lineRule="auto"/>
        <w:ind w:hanging="720"/>
        <w:rPr>
          <w:rFonts w:eastAsia="Times New Roman"/>
          <w:lang w:val="en-US"/>
        </w:rPr>
      </w:pPr>
      <w:r w:rsidRPr="003B24D4">
        <w:t>10.</w:t>
      </w:r>
      <w:r w:rsidRPr="003B24D4">
        <w:tab/>
      </w:r>
      <w:r w:rsidRPr="003B24D4">
        <w:rPr>
          <w:rFonts w:eastAsia="Times New Roman" w:cs="Courier New"/>
          <w:lang w:val="en-US"/>
        </w:rPr>
        <w:t xml:space="preserve">Bravata DM, McDonald KM, Smith WM, Rydzak C, Szeto H, Buckeridge DL, Haberland C, Owens DK. Systematic review: surveillance systems for early detection of </w:t>
      </w:r>
      <w:r w:rsidRPr="003B24D4">
        <w:rPr>
          <w:rFonts w:eastAsia="Times New Roman"/>
          <w:lang w:val="en-US"/>
        </w:rPr>
        <w:t>bioterrorism-related diseases. Ann Intern Med. 2004 Jun 1;140(11):910-2.</w:t>
      </w:r>
    </w:p>
    <w:p w:rsidR="00370EAE" w:rsidRPr="003B24D4" w:rsidRDefault="00370EAE" w:rsidP="00370EAE">
      <w:pPr>
        <w:autoSpaceDE w:val="0"/>
        <w:autoSpaceDN w:val="0"/>
        <w:adjustRightInd w:val="0"/>
        <w:spacing w:after="0" w:line="240" w:lineRule="auto"/>
        <w:ind w:hanging="720"/>
        <w:rPr>
          <w:lang w:val="sv-SE"/>
        </w:rPr>
      </w:pPr>
      <w:r w:rsidRPr="003B24D4">
        <w:rPr>
          <w:rFonts w:eastAsia="Times New Roman"/>
          <w:lang w:val="en-US"/>
        </w:rPr>
        <w:t>11.</w:t>
      </w:r>
      <w:r w:rsidRPr="003B24D4">
        <w:rPr>
          <w:rFonts w:eastAsia="Times New Roman"/>
          <w:lang w:val="en-US"/>
        </w:rPr>
        <w:tab/>
      </w:r>
      <w:r w:rsidRPr="003B24D4">
        <w:rPr>
          <w:rFonts w:eastAsia="Times New Roman" w:cs="Courier New"/>
          <w:lang w:val="en-US"/>
        </w:rPr>
        <w:t xml:space="preserve">Stroup DF, Williamson GD, Herndon JL, Karon JM. Detection of aberrations in the occurrence of notifiable diseases surveillance data. </w:t>
      </w:r>
      <w:r w:rsidRPr="003B24D4">
        <w:rPr>
          <w:rFonts w:eastAsia="Times New Roman" w:cs="Courier New"/>
          <w:lang w:val="sv-SE"/>
        </w:rPr>
        <w:t xml:space="preserve">Stat Med. 1989 </w:t>
      </w:r>
      <w:r w:rsidRPr="003B24D4">
        <w:rPr>
          <w:rFonts w:eastAsia="Times New Roman"/>
          <w:lang w:val="sv-SE"/>
        </w:rPr>
        <w:t>Mar;8(3):323-9;</w:t>
      </w:r>
    </w:p>
    <w:p w:rsidR="00370EAE" w:rsidRPr="003B24D4" w:rsidRDefault="00370EAE" w:rsidP="00370EAE">
      <w:pPr>
        <w:autoSpaceDE w:val="0"/>
        <w:autoSpaceDN w:val="0"/>
        <w:adjustRightInd w:val="0"/>
        <w:spacing w:after="0" w:line="240" w:lineRule="auto"/>
        <w:ind w:hanging="720"/>
      </w:pPr>
      <w:r w:rsidRPr="003B24D4">
        <w:rPr>
          <w:lang w:val="sv-SE"/>
        </w:rPr>
        <w:t>12.</w:t>
      </w:r>
      <w:r w:rsidRPr="003B24D4">
        <w:rPr>
          <w:lang w:val="sv-SE"/>
        </w:rPr>
        <w:tab/>
        <w:t xml:space="preserve">Hutwagner LC, Maloney EK, Bean NH, Slutsker L, Martin SM. </w:t>
      </w:r>
      <w:r w:rsidRPr="003B24D4">
        <w:t>Using laboratory-based surveillance data for prevention: an algorithm for detecting Salmonella outbreaks. Emerg Infect Dis. 1997 Jul-Sep;3(3):395-400.</w:t>
      </w:r>
    </w:p>
    <w:p w:rsidR="00370EAE" w:rsidRPr="003B24D4" w:rsidRDefault="00370EAE" w:rsidP="00370EAE">
      <w:pPr>
        <w:autoSpaceDE w:val="0"/>
        <w:autoSpaceDN w:val="0"/>
        <w:adjustRightInd w:val="0"/>
        <w:spacing w:after="0" w:line="240" w:lineRule="auto"/>
        <w:ind w:hanging="720"/>
      </w:pPr>
      <w:r w:rsidRPr="003B24D4">
        <w:t>13.</w:t>
      </w:r>
      <w:r w:rsidRPr="003B24D4">
        <w:tab/>
        <w:t xml:space="preserve">Montgomery DC. Introduction to statistical quality control. </w:t>
      </w:r>
      <w:r w:rsidRPr="003B24D4">
        <w:rPr>
          <w:rFonts w:cs="Arial"/>
        </w:rPr>
        <w:t>5th Edition</w:t>
      </w:r>
      <w:r w:rsidRPr="003B24D4">
        <w:t xml:space="preserve">. New York: </w:t>
      </w:r>
      <w:r w:rsidRPr="003B24D4">
        <w:rPr>
          <w:rFonts w:cs="Arial"/>
        </w:rPr>
        <w:t>John Wiley &amp; Sons, 2005</w:t>
      </w:r>
      <w:r w:rsidRPr="003B24D4">
        <w:t xml:space="preserve">. </w:t>
      </w:r>
    </w:p>
    <w:p w:rsidR="00370EAE" w:rsidRPr="003B24D4" w:rsidRDefault="00370EAE" w:rsidP="00370EAE">
      <w:pPr>
        <w:autoSpaceDE w:val="0"/>
        <w:autoSpaceDN w:val="0"/>
        <w:adjustRightInd w:val="0"/>
        <w:spacing w:after="0" w:line="240" w:lineRule="auto"/>
        <w:ind w:hanging="720"/>
      </w:pPr>
      <w:r w:rsidRPr="003B24D4">
        <w:rPr>
          <w:lang w:val="de-DE"/>
        </w:rPr>
        <w:t>14.</w:t>
      </w:r>
      <w:r w:rsidRPr="003B24D4">
        <w:rPr>
          <w:lang w:val="de-DE"/>
        </w:rPr>
        <w:tab/>
        <w:t xml:space="preserve">Hutwagner L, Browne T, Seeman GM, Fleischauer AT. </w:t>
      </w:r>
      <w:r w:rsidRPr="003B24D4">
        <w:t>Comparing aberration detection methods with simulated data. Emerg Infect Dis. 2005 Feb;11(2):314-6.</w:t>
      </w:r>
    </w:p>
    <w:p w:rsidR="00370EAE" w:rsidRPr="003B24D4" w:rsidRDefault="00370EAE" w:rsidP="00370EAE">
      <w:pPr>
        <w:autoSpaceDE w:val="0"/>
        <w:autoSpaceDN w:val="0"/>
        <w:adjustRightInd w:val="0"/>
        <w:spacing w:after="0" w:line="240" w:lineRule="auto"/>
        <w:ind w:hanging="720"/>
      </w:pPr>
      <w:r w:rsidRPr="003B24D4">
        <w:t xml:space="preserve">15. </w:t>
      </w:r>
      <w:r w:rsidRPr="003B24D4">
        <w:tab/>
      </w:r>
      <w:r w:rsidRPr="003B24D4">
        <w:rPr>
          <w:rFonts w:eastAsia="Times New Roman" w:cs="Courier New"/>
          <w:color w:val="000000"/>
          <w:lang w:val="en-US"/>
        </w:rPr>
        <w:t xml:space="preserve">Izadi M, Buckeridge D, Okhmatovskaia A, Tu SW, O‘Connor MJ, Nyulas C, Musen MA. A Bayesian Network Model for Analysis of Detection Performance in Surveillance Systems. AMIA Annual Symp Proc 2009;Nov 14:276-80. </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16.</w:t>
      </w:r>
      <w:r w:rsidRPr="003B24D4">
        <w:rPr>
          <w:lang w:eastAsia="en-GB"/>
        </w:rPr>
        <w:tab/>
        <w:t xml:space="preserve">Longini IM, Jr., Nizam A, Xu S, Ungchusak K, Hanshaoworakul W, Cummings DA, Halloran ME: </w:t>
      </w:r>
      <w:r w:rsidRPr="003B24D4">
        <w:rPr>
          <w:bCs/>
          <w:lang w:eastAsia="en-GB"/>
        </w:rPr>
        <w:t>Containing pandemic influenza at the source</w:t>
      </w:r>
      <w:r w:rsidRPr="003B24D4">
        <w:rPr>
          <w:lang w:eastAsia="en-GB"/>
        </w:rPr>
        <w:t xml:space="preserve">. </w:t>
      </w:r>
      <w:r w:rsidRPr="003B24D4">
        <w:rPr>
          <w:iCs/>
          <w:lang w:eastAsia="en-GB"/>
        </w:rPr>
        <w:t xml:space="preserve">Science (New York, NY </w:t>
      </w:r>
      <w:r w:rsidRPr="003B24D4">
        <w:rPr>
          <w:lang w:eastAsia="en-GB"/>
        </w:rPr>
        <w:t xml:space="preserve">2005, </w:t>
      </w:r>
      <w:r w:rsidRPr="003B24D4">
        <w:rPr>
          <w:bCs/>
          <w:lang w:eastAsia="en-GB"/>
        </w:rPr>
        <w:t>309</w:t>
      </w:r>
      <w:r w:rsidRPr="003B24D4">
        <w:rPr>
          <w:lang w:eastAsia="en-GB"/>
        </w:rPr>
        <w:t>(5737):1083-1087.</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17.</w:t>
      </w:r>
      <w:r w:rsidRPr="003B24D4">
        <w:rPr>
          <w:lang w:eastAsia="en-GB"/>
        </w:rPr>
        <w:tab/>
        <w:t xml:space="preserve">Ferguson NM, Cummings DA, Cauchemez S, Fraser C, Riley S, Meeyai A, Iamsirithaworn S, Burke DS: </w:t>
      </w:r>
      <w:r w:rsidRPr="003B24D4">
        <w:rPr>
          <w:bCs/>
          <w:lang w:eastAsia="en-GB"/>
        </w:rPr>
        <w:t>Strategies for containing an emerging influenza pandemic in Southeast Asia</w:t>
      </w:r>
      <w:r w:rsidRPr="003B24D4">
        <w:rPr>
          <w:lang w:eastAsia="en-GB"/>
        </w:rPr>
        <w:t xml:space="preserve">. </w:t>
      </w:r>
      <w:r w:rsidRPr="003B24D4">
        <w:rPr>
          <w:iCs/>
          <w:lang w:eastAsia="en-GB"/>
        </w:rPr>
        <w:t xml:space="preserve">Nature </w:t>
      </w:r>
      <w:r w:rsidRPr="003B24D4">
        <w:rPr>
          <w:lang w:eastAsia="en-GB"/>
        </w:rPr>
        <w:t xml:space="preserve">2005, </w:t>
      </w:r>
      <w:r w:rsidRPr="003B24D4">
        <w:rPr>
          <w:bCs/>
          <w:lang w:eastAsia="en-GB"/>
        </w:rPr>
        <w:t>437</w:t>
      </w:r>
      <w:r w:rsidRPr="003B24D4">
        <w:rPr>
          <w:lang w:eastAsia="en-GB"/>
        </w:rPr>
        <w:t>(7056):209-214.</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18.</w:t>
      </w:r>
      <w:r w:rsidRPr="003B24D4">
        <w:rPr>
          <w:lang w:eastAsia="en-GB"/>
        </w:rPr>
        <w:tab/>
        <w:t xml:space="preserve">Schirmer P, Holodniy M: </w:t>
      </w:r>
      <w:r w:rsidRPr="003B24D4">
        <w:rPr>
          <w:bCs/>
          <w:lang w:eastAsia="en-GB"/>
        </w:rPr>
        <w:t>Oseltamivir for treatment and prophylaxis of influenza infection</w:t>
      </w:r>
      <w:r w:rsidRPr="003B24D4">
        <w:rPr>
          <w:lang w:eastAsia="en-GB"/>
        </w:rPr>
        <w:t xml:space="preserve">. </w:t>
      </w:r>
      <w:r w:rsidRPr="003B24D4">
        <w:rPr>
          <w:iCs/>
          <w:lang w:eastAsia="en-GB"/>
        </w:rPr>
        <w:t xml:space="preserve">Expert opinion on drug safety </w:t>
      </w:r>
      <w:r w:rsidRPr="003B24D4">
        <w:rPr>
          <w:lang w:eastAsia="en-GB"/>
        </w:rPr>
        <w:t>2009.</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19.</w:t>
      </w:r>
      <w:r w:rsidRPr="003B24D4">
        <w:rPr>
          <w:lang w:eastAsia="en-GB"/>
        </w:rPr>
        <w:tab/>
        <w:t xml:space="preserve">Cauchemez S, Valleron AJ, Boelle PY, Flahault A, Ferguson NM: </w:t>
      </w:r>
      <w:r w:rsidRPr="003B24D4">
        <w:rPr>
          <w:bCs/>
          <w:lang w:eastAsia="en-GB"/>
        </w:rPr>
        <w:t>Estimating the impact of school closure on influenza transmission from Sentinel data</w:t>
      </w:r>
      <w:r w:rsidRPr="003B24D4">
        <w:rPr>
          <w:lang w:eastAsia="en-GB"/>
        </w:rPr>
        <w:t xml:space="preserve">. </w:t>
      </w:r>
      <w:r w:rsidRPr="003B24D4">
        <w:rPr>
          <w:iCs/>
          <w:lang w:eastAsia="en-GB"/>
        </w:rPr>
        <w:t xml:space="preserve">Nature </w:t>
      </w:r>
      <w:r w:rsidRPr="003B24D4">
        <w:rPr>
          <w:lang w:eastAsia="en-GB"/>
        </w:rPr>
        <w:t xml:space="preserve">2008, </w:t>
      </w:r>
      <w:r w:rsidRPr="003B24D4">
        <w:rPr>
          <w:bCs/>
          <w:lang w:eastAsia="en-GB"/>
        </w:rPr>
        <w:t>452</w:t>
      </w:r>
      <w:r w:rsidRPr="003B24D4">
        <w:rPr>
          <w:lang w:eastAsia="en-GB"/>
        </w:rPr>
        <w:t>(7188):750-754.</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20.</w:t>
      </w:r>
      <w:r w:rsidRPr="003B24D4">
        <w:rPr>
          <w:lang w:eastAsia="en-GB"/>
        </w:rPr>
        <w:tab/>
        <w:t xml:space="preserve">Seale H, Leask J, Po K, MacIntyre CR: </w:t>
      </w:r>
      <w:r w:rsidRPr="003B24D4">
        <w:rPr>
          <w:bCs/>
          <w:lang w:eastAsia="en-GB"/>
        </w:rPr>
        <w:t>"Will they just pack up and leave?" - attitudes and intended behaviour of hospital health care workers during an influenza pandemic</w:t>
      </w:r>
      <w:r w:rsidRPr="003B24D4">
        <w:rPr>
          <w:lang w:eastAsia="en-GB"/>
        </w:rPr>
        <w:t xml:space="preserve">. </w:t>
      </w:r>
      <w:r w:rsidRPr="003B24D4">
        <w:rPr>
          <w:iCs/>
          <w:lang w:eastAsia="en-GB"/>
        </w:rPr>
        <w:t xml:space="preserve">BMC health services research </w:t>
      </w:r>
      <w:r w:rsidRPr="003B24D4">
        <w:rPr>
          <w:lang w:eastAsia="en-GB"/>
        </w:rPr>
        <w:t xml:space="preserve">2009, </w:t>
      </w:r>
      <w:r w:rsidRPr="003B24D4">
        <w:rPr>
          <w:bCs/>
          <w:lang w:eastAsia="en-GB"/>
        </w:rPr>
        <w:t>9</w:t>
      </w:r>
      <w:r w:rsidRPr="003B24D4">
        <w:rPr>
          <w:lang w:eastAsia="en-GB"/>
        </w:rPr>
        <w:t>:30.</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21.</w:t>
      </w:r>
      <w:r w:rsidRPr="003B24D4">
        <w:rPr>
          <w:lang w:eastAsia="en-GB"/>
        </w:rPr>
        <w:tab/>
        <w:t xml:space="preserve">Ferguson NM: </w:t>
      </w:r>
      <w:r w:rsidRPr="003B24D4">
        <w:rPr>
          <w:bCs/>
          <w:lang w:eastAsia="en-GB"/>
        </w:rPr>
        <w:t>Capturing human behavior</w:t>
      </w:r>
      <w:r w:rsidRPr="003B24D4">
        <w:rPr>
          <w:lang w:eastAsia="en-GB"/>
        </w:rPr>
        <w:t xml:space="preserve">. </w:t>
      </w:r>
      <w:r w:rsidRPr="003B24D4">
        <w:rPr>
          <w:iCs/>
          <w:lang w:eastAsia="en-GB"/>
        </w:rPr>
        <w:t xml:space="preserve">Nature </w:t>
      </w:r>
      <w:r w:rsidRPr="003B24D4">
        <w:rPr>
          <w:lang w:eastAsia="en-GB"/>
        </w:rPr>
        <w:t xml:space="preserve">2007, </w:t>
      </w:r>
      <w:r w:rsidRPr="003B24D4">
        <w:rPr>
          <w:bCs/>
          <w:lang w:eastAsia="en-GB"/>
        </w:rPr>
        <w:t>446</w:t>
      </w:r>
      <w:r w:rsidRPr="003B24D4">
        <w:rPr>
          <w:lang w:eastAsia="en-GB"/>
        </w:rPr>
        <w:t>:733.</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22.</w:t>
      </w:r>
      <w:r w:rsidRPr="003B24D4">
        <w:rPr>
          <w:lang w:eastAsia="en-GB"/>
        </w:rPr>
        <w:tab/>
        <w:t xml:space="preserve">Bootsma MC, Ferguson NM: </w:t>
      </w:r>
      <w:r w:rsidRPr="003B24D4">
        <w:rPr>
          <w:bCs/>
          <w:lang w:eastAsia="en-GB"/>
        </w:rPr>
        <w:t>The effect of public health measures on the 1918 influenza pandemic in U.S. cities</w:t>
      </w:r>
      <w:r w:rsidRPr="003B24D4">
        <w:rPr>
          <w:lang w:eastAsia="en-GB"/>
        </w:rPr>
        <w:t xml:space="preserve">. </w:t>
      </w:r>
      <w:r w:rsidRPr="003B24D4">
        <w:rPr>
          <w:iCs/>
          <w:lang w:eastAsia="en-GB"/>
        </w:rPr>
        <w:t xml:space="preserve">Proceedings of the National Academy of Sciences of the United States of America </w:t>
      </w:r>
      <w:r w:rsidRPr="003B24D4">
        <w:rPr>
          <w:lang w:eastAsia="en-GB"/>
        </w:rPr>
        <w:t xml:space="preserve">2007, </w:t>
      </w:r>
      <w:r w:rsidRPr="003B24D4">
        <w:rPr>
          <w:bCs/>
          <w:lang w:eastAsia="en-GB"/>
        </w:rPr>
        <w:t>104</w:t>
      </w:r>
      <w:r w:rsidRPr="003B24D4">
        <w:rPr>
          <w:lang w:eastAsia="en-GB"/>
        </w:rPr>
        <w:t>(18):7588-7593.</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t>23.</w:t>
      </w:r>
      <w:r w:rsidRPr="003B24D4">
        <w:rPr>
          <w:lang w:eastAsia="en-GB"/>
        </w:rPr>
        <w:tab/>
        <w:t xml:space="preserve">Caley P, Philp DJ, McCracken K: </w:t>
      </w:r>
      <w:r w:rsidRPr="003B24D4">
        <w:rPr>
          <w:bCs/>
          <w:lang w:eastAsia="en-GB"/>
        </w:rPr>
        <w:t>Quantifying social distancing arising from pandemic influenza</w:t>
      </w:r>
      <w:r w:rsidRPr="003B24D4">
        <w:rPr>
          <w:lang w:eastAsia="en-GB"/>
        </w:rPr>
        <w:t xml:space="preserve">. </w:t>
      </w:r>
      <w:r w:rsidRPr="003B24D4">
        <w:rPr>
          <w:iCs/>
          <w:lang w:eastAsia="en-GB"/>
        </w:rPr>
        <w:t xml:space="preserve">Journal of the Royal Society, Interface / the Royal Society </w:t>
      </w:r>
      <w:r w:rsidRPr="003B24D4">
        <w:rPr>
          <w:lang w:eastAsia="en-GB"/>
        </w:rPr>
        <w:t xml:space="preserve">2008, </w:t>
      </w:r>
      <w:r w:rsidRPr="003B24D4">
        <w:rPr>
          <w:bCs/>
          <w:lang w:eastAsia="en-GB"/>
        </w:rPr>
        <w:t>5</w:t>
      </w:r>
      <w:r w:rsidRPr="003B24D4">
        <w:rPr>
          <w:lang w:eastAsia="en-GB"/>
        </w:rPr>
        <w:t>(23):631-639.</w:t>
      </w:r>
    </w:p>
    <w:p w:rsidR="00370EAE" w:rsidRPr="003B24D4" w:rsidRDefault="00370EAE" w:rsidP="00370EAE">
      <w:pPr>
        <w:autoSpaceDE w:val="0"/>
        <w:autoSpaceDN w:val="0"/>
        <w:adjustRightInd w:val="0"/>
        <w:spacing w:after="0" w:line="240" w:lineRule="auto"/>
        <w:ind w:hanging="720"/>
        <w:rPr>
          <w:lang w:eastAsia="en-GB"/>
        </w:rPr>
      </w:pPr>
      <w:r w:rsidRPr="003B24D4">
        <w:rPr>
          <w:lang w:eastAsia="en-GB"/>
        </w:rPr>
        <w:lastRenderedPageBreak/>
        <w:t>24.</w:t>
      </w:r>
      <w:r w:rsidRPr="003B24D4">
        <w:rPr>
          <w:lang w:eastAsia="en-GB"/>
        </w:rPr>
        <w:tab/>
        <w:t xml:space="preserve">Hatchett RJ, Mecher CE, Lipsitch M: </w:t>
      </w:r>
      <w:r w:rsidRPr="003B24D4">
        <w:rPr>
          <w:bCs/>
          <w:lang w:eastAsia="en-GB"/>
        </w:rPr>
        <w:t>Public health interventions and epidemic intensity during the 1918 influenza pandemic</w:t>
      </w:r>
      <w:r w:rsidRPr="003B24D4">
        <w:rPr>
          <w:lang w:eastAsia="en-GB"/>
        </w:rPr>
        <w:t xml:space="preserve">. </w:t>
      </w:r>
      <w:r w:rsidRPr="003B24D4">
        <w:rPr>
          <w:iCs/>
          <w:lang w:eastAsia="en-GB"/>
        </w:rPr>
        <w:t xml:space="preserve">Proceedings of the National Academy of Sciences of the United States of America </w:t>
      </w:r>
      <w:r w:rsidRPr="003B24D4">
        <w:rPr>
          <w:lang w:eastAsia="en-GB"/>
        </w:rPr>
        <w:t xml:space="preserve">2007, </w:t>
      </w:r>
      <w:r w:rsidRPr="003B24D4">
        <w:rPr>
          <w:bCs/>
          <w:lang w:eastAsia="en-GB"/>
        </w:rPr>
        <w:t>104</w:t>
      </w:r>
      <w:r w:rsidRPr="003B24D4">
        <w:rPr>
          <w:lang w:eastAsia="en-GB"/>
        </w:rPr>
        <w:t>(18):7582-7587.</w:t>
      </w:r>
    </w:p>
    <w:p w:rsidR="00370EAE" w:rsidRPr="00B267D0" w:rsidRDefault="00EE4E83" w:rsidP="00EE4E83">
      <w:pPr>
        <w:keepNext/>
        <w:overflowPunct w:val="0"/>
        <w:autoSpaceDE w:val="0"/>
        <w:autoSpaceDN w:val="0"/>
        <w:adjustRightInd w:val="0"/>
        <w:spacing w:after="0" w:line="240" w:lineRule="auto"/>
        <w:textAlignment w:val="baseline"/>
        <w:outlineLvl w:val="6"/>
        <w:rPr>
          <w:rFonts w:eastAsia="Times New Roman"/>
          <w:lang w:eastAsia="fr-FR"/>
        </w:rPr>
      </w:pPr>
      <w:r w:rsidRPr="00B267D0">
        <w:rPr>
          <w:rFonts w:eastAsia="Times New Roman"/>
          <w:lang w:eastAsia="fr-FR"/>
        </w:rPr>
        <w:t xml:space="preserve"> </w:t>
      </w:r>
    </w:p>
    <w:p w:rsidR="00493F0D" w:rsidRDefault="00493F0D"/>
    <w:sectPr w:rsidR="00493F0D" w:rsidSect="00155E14">
      <w:headerReference w:type="default" r:id="rId7"/>
      <w:footerReference w:type="default" r:id="rId8"/>
      <w:pgSz w:w="11907" w:h="16840" w:code="9"/>
      <w:pgMar w:top="1134" w:right="1418" w:bottom="1134" w:left="1418" w:header="0" w:footer="1021" w:gutter="0"/>
      <w:cols w:space="706"/>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25" w:rsidRDefault="00EE4E83">
    <w:pPr>
      <w:pStyle w:val="Sidfot"/>
      <w:spacing w:before="240"/>
      <w:jc w:val="center"/>
      <w:rPr>
        <w:lang w:val="sv-SE"/>
      </w:rPr>
    </w:pPr>
    <w:r>
      <w:rPr>
        <w:rStyle w:val="Sidnummer"/>
        <w:szCs w:val="24"/>
      </w:rPr>
      <w:t xml:space="preserve">- </w:t>
    </w:r>
    <w:r>
      <w:rPr>
        <w:rStyle w:val="Sidnummer"/>
        <w:szCs w:val="24"/>
      </w:rPr>
      <w:fldChar w:fldCharType="begin"/>
    </w:r>
    <w:r>
      <w:rPr>
        <w:rStyle w:val="Sidnummer"/>
        <w:szCs w:val="24"/>
      </w:rPr>
      <w:instrText xml:space="preserve"> PAGE </w:instrText>
    </w:r>
    <w:r>
      <w:rPr>
        <w:rStyle w:val="Sidnummer"/>
        <w:szCs w:val="24"/>
      </w:rPr>
      <w:fldChar w:fldCharType="separate"/>
    </w:r>
    <w:r>
      <w:rPr>
        <w:rStyle w:val="Sidnummer"/>
        <w:noProof/>
        <w:szCs w:val="24"/>
      </w:rPr>
      <w:t>4</w:t>
    </w:r>
    <w:r>
      <w:rPr>
        <w:rStyle w:val="Sidnummer"/>
        <w:szCs w:val="24"/>
      </w:rPr>
      <w:fldChar w:fldCharType="end"/>
    </w:r>
    <w:r>
      <w:rPr>
        <w:rStyle w:val="Sidnummer"/>
        <w:szCs w:val="24"/>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B25" w:rsidRDefault="00EE4E83">
    <w:pPr>
      <w:pStyle w:val="Sidhuvud"/>
      <w:rPr>
        <w:i/>
        <w:iCs/>
        <w:sz w:val="16"/>
        <w:lang w:val="sv-SE"/>
      </w:rPr>
    </w:pPr>
  </w:p>
  <w:p w:rsidR="00DF5B25" w:rsidRDefault="00EE4E83">
    <w:pPr>
      <w:pStyle w:val="Sidhuvud"/>
      <w:rPr>
        <w:i/>
        <w:iCs/>
        <w:sz w:val="16"/>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B147D"/>
    <w:multiLevelType w:val="hybridMultilevel"/>
    <w:tmpl w:val="86FE5E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3A43B2"/>
    <w:rsid w:val="00370EAE"/>
    <w:rsid w:val="003A43B2"/>
    <w:rsid w:val="00493F0D"/>
    <w:rsid w:val="00EE4E8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AE"/>
    <w:rPr>
      <w:rFonts w:ascii="Calibri" w:eastAsia="Calibri" w:hAnsi="Calibri" w:cs="Times New Roman"/>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370EAE"/>
    <w:pPr>
      <w:tabs>
        <w:tab w:val="center" w:pos="4536"/>
        <w:tab w:val="right" w:pos="9072"/>
      </w:tabs>
      <w:overflowPunct w:val="0"/>
      <w:autoSpaceDE w:val="0"/>
      <w:autoSpaceDN w:val="0"/>
      <w:adjustRightInd w:val="0"/>
      <w:spacing w:after="0" w:line="480" w:lineRule="auto"/>
      <w:textAlignment w:val="baseline"/>
    </w:pPr>
    <w:rPr>
      <w:rFonts w:ascii="Times New Roman" w:eastAsia="Times New Roman" w:hAnsi="Times New Roman"/>
      <w:sz w:val="24"/>
      <w:szCs w:val="20"/>
      <w:lang w:val="en-US" w:eastAsia="fr-FR"/>
    </w:rPr>
  </w:style>
  <w:style w:type="character" w:customStyle="1" w:styleId="SidhuvudChar">
    <w:name w:val="Sidhuvud Char"/>
    <w:basedOn w:val="Standardstycketeckensnitt"/>
    <w:link w:val="Sidhuvud"/>
    <w:rsid w:val="00370EAE"/>
    <w:rPr>
      <w:rFonts w:ascii="Times New Roman" w:eastAsia="Times New Roman" w:hAnsi="Times New Roman" w:cs="Times New Roman"/>
      <w:sz w:val="24"/>
      <w:szCs w:val="20"/>
      <w:lang w:val="en-US" w:eastAsia="fr-FR"/>
    </w:rPr>
  </w:style>
  <w:style w:type="paragraph" w:styleId="Sidfot">
    <w:name w:val="footer"/>
    <w:basedOn w:val="Normal"/>
    <w:link w:val="SidfotChar"/>
    <w:rsid w:val="00370EAE"/>
    <w:pPr>
      <w:tabs>
        <w:tab w:val="center" w:pos="4536"/>
        <w:tab w:val="right" w:pos="9072"/>
      </w:tabs>
      <w:overflowPunct w:val="0"/>
      <w:autoSpaceDE w:val="0"/>
      <w:autoSpaceDN w:val="0"/>
      <w:adjustRightInd w:val="0"/>
      <w:spacing w:after="0" w:line="480" w:lineRule="auto"/>
      <w:textAlignment w:val="baseline"/>
    </w:pPr>
    <w:rPr>
      <w:rFonts w:ascii="Times New Roman" w:eastAsia="Times New Roman" w:hAnsi="Times New Roman"/>
      <w:sz w:val="24"/>
      <w:szCs w:val="20"/>
      <w:lang w:val="en-US" w:eastAsia="fr-FR"/>
    </w:rPr>
  </w:style>
  <w:style w:type="character" w:customStyle="1" w:styleId="SidfotChar">
    <w:name w:val="Sidfot Char"/>
    <w:basedOn w:val="Standardstycketeckensnitt"/>
    <w:link w:val="Sidfot"/>
    <w:rsid w:val="00370EAE"/>
    <w:rPr>
      <w:rFonts w:ascii="Times New Roman" w:eastAsia="Times New Roman" w:hAnsi="Times New Roman" w:cs="Times New Roman"/>
      <w:sz w:val="24"/>
      <w:szCs w:val="20"/>
      <w:lang w:val="en-US" w:eastAsia="fr-FR"/>
    </w:rPr>
  </w:style>
  <w:style w:type="character" w:styleId="Sidnummer">
    <w:name w:val="page number"/>
    <w:basedOn w:val="Standardstycketeckensnitt"/>
    <w:rsid w:val="00370EAE"/>
  </w:style>
  <w:style w:type="paragraph" w:styleId="HTML-frformaterad">
    <w:name w:val="HTML Preformatted"/>
    <w:basedOn w:val="Normal"/>
    <w:link w:val="HTML-frformateradChar"/>
    <w:uiPriority w:val="99"/>
    <w:rsid w:val="00370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frformateradChar">
    <w:name w:val="HTML - förformaterad Char"/>
    <w:basedOn w:val="Standardstycketeckensnitt"/>
    <w:link w:val="HTML-frformaterad"/>
    <w:uiPriority w:val="99"/>
    <w:rsid w:val="00370EAE"/>
    <w:rPr>
      <w:rFonts w:ascii="Courier New" w:eastAsia="Times New Roman" w:hAnsi="Courier New" w:cs="Courier New"/>
      <w:sz w:val="20"/>
      <w:szCs w:val="20"/>
      <w:lang w:val="en-US"/>
    </w:rPr>
  </w:style>
  <w:style w:type="character" w:customStyle="1" w:styleId="src1">
    <w:name w:val="src1"/>
    <w:basedOn w:val="Standardstycketeckensnitt"/>
    <w:rsid w:val="00370EAE"/>
    <w:rPr>
      <w:vanish w:val="0"/>
      <w:webHidden w:val="0"/>
      <w:specVanish w:val="0"/>
    </w:rPr>
  </w:style>
  <w:style w:type="paragraph" w:styleId="Ballongtext">
    <w:name w:val="Balloon Text"/>
    <w:basedOn w:val="Normal"/>
    <w:link w:val="BallongtextChar"/>
    <w:uiPriority w:val="99"/>
    <w:semiHidden/>
    <w:unhideWhenUsed/>
    <w:rsid w:val="00370E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70EAE"/>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8698</Characters>
  <Application>Microsoft Office Word</Application>
  <DocSecurity>0</DocSecurity>
  <Lines>72</Lines>
  <Paragraphs>20</Paragraphs>
  <ScaleCrop>false</ScaleCrop>
  <Company/>
  <LinksUpToDate>false</LinksUpToDate>
  <CharactersWithSpaces>10318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hempc</dc:creator>
  <cp:lastModifiedBy>hempc</cp:lastModifiedBy>
  <cp:revision>3</cp:revision>
  <dcterms:created xsi:type="dcterms:W3CDTF">2011-02-24T07:22:00Z</dcterms:created>
  <dcterms:modified xsi:type="dcterms:W3CDTF">2011-02-24T07:24:00Z</dcterms:modified>
</cp:coreProperties>
</file>