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5B" w:rsidRPr="008E745B" w:rsidRDefault="008E745B" w:rsidP="008E745B">
      <w:pPr>
        <w:pStyle w:val="Bijschrift"/>
        <w:keepNext/>
        <w:spacing w:after="0"/>
        <w:rPr>
          <w:bCs/>
          <w:i w:val="0"/>
          <w:iCs w:val="0"/>
          <w:color w:val="auto"/>
          <w:sz w:val="40"/>
          <w:szCs w:val="40"/>
        </w:rPr>
      </w:pPr>
      <w:bookmarkStart w:id="0" w:name="_Hlk13142404"/>
      <w:r>
        <w:rPr>
          <w:bCs/>
          <w:i w:val="0"/>
          <w:iCs w:val="0"/>
          <w:color w:val="auto"/>
          <w:sz w:val="40"/>
          <w:szCs w:val="40"/>
        </w:rPr>
        <w:t>S4 Table</w:t>
      </w:r>
      <w:bookmarkStart w:id="1" w:name="_GoBack"/>
      <w:bookmarkEnd w:id="1"/>
    </w:p>
    <w:p w:rsidR="008E745B" w:rsidRPr="008E745B" w:rsidRDefault="008E745B" w:rsidP="008E745B"/>
    <w:p w:rsidR="008E745B" w:rsidRPr="0053447C" w:rsidRDefault="008E745B" w:rsidP="008E745B">
      <w:pPr>
        <w:pStyle w:val="Bijschrift"/>
        <w:keepNext/>
        <w:spacing w:after="0"/>
        <w:rPr>
          <w:b/>
          <w:i w:val="0"/>
          <w:iCs w:val="0"/>
        </w:rPr>
      </w:pPr>
      <w:r w:rsidRPr="0053447C">
        <w:rPr>
          <w:b/>
          <w:i w:val="0"/>
          <w:iCs w:val="0"/>
        </w:rPr>
        <w:t>Background mortality, case fatality and mortality risk adjustment factors per event.</w:t>
      </w:r>
      <w:r w:rsidRPr="0053447C">
        <w:rPr>
          <w:i w:val="0"/>
          <w:iCs w:val="0"/>
          <w:color w:val="000000"/>
          <w:shd w:val="clear" w:color="auto" w:fill="FFFFFF"/>
        </w:rPr>
        <w:t xml:space="preserve"> </w:t>
      </w:r>
    </w:p>
    <w:tbl>
      <w:tblPr>
        <w:tblStyle w:val="TableGridLight1"/>
        <w:tblW w:w="5000" w:type="pct"/>
        <w:tblLayout w:type="fixed"/>
        <w:tblLook w:val="04A0" w:firstRow="1" w:lastRow="0" w:firstColumn="1" w:lastColumn="0" w:noHBand="0" w:noVBand="1"/>
      </w:tblPr>
      <w:tblGrid>
        <w:gridCol w:w="2692"/>
        <w:gridCol w:w="2691"/>
        <w:gridCol w:w="2691"/>
        <w:gridCol w:w="988"/>
      </w:tblGrid>
      <w:tr w:rsidR="008E745B" w:rsidRPr="00733BA4" w:rsidTr="005B5147">
        <w:tc>
          <w:tcPr>
            <w:tcW w:w="1485" w:type="pct"/>
          </w:tcPr>
          <w:bookmarkEnd w:id="0"/>
          <w:p w:rsidR="008E745B" w:rsidRPr="00733BA4" w:rsidRDefault="008E745B" w:rsidP="005B5147">
            <w:pPr>
              <w:spacing w:line="276" w:lineRule="auto"/>
              <w:rPr>
                <w:b/>
                <w:sz w:val="16"/>
              </w:rPr>
            </w:pPr>
            <w:r w:rsidRPr="00733BA4">
              <w:rPr>
                <w:b/>
                <w:sz w:val="16"/>
              </w:rPr>
              <w:t>Background mortality</w:t>
            </w:r>
          </w:p>
        </w:tc>
        <w:tc>
          <w:tcPr>
            <w:tcW w:w="1485" w:type="pct"/>
          </w:tcPr>
          <w:p w:rsidR="008E745B" w:rsidRPr="00733BA4" w:rsidRDefault="008E745B" w:rsidP="005B5147">
            <w:pPr>
              <w:spacing w:line="276" w:lineRule="auto"/>
              <w:jc w:val="center"/>
              <w:rPr>
                <w:b/>
                <w:sz w:val="16"/>
              </w:rPr>
            </w:pPr>
            <w:r w:rsidRPr="00733BA4">
              <w:rPr>
                <w:b/>
                <w:sz w:val="16"/>
              </w:rPr>
              <w:t xml:space="preserve">Lambda </w:t>
            </w:r>
            <w:r w:rsidRPr="00733BA4">
              <w:rPr>
                <w:b/>
                <w:sz w:val="16"/>
                <w:vertAlign w:val="superscript"/>
              </w:rPr>
              <w:t>a</w:t>
            </w:r>
          </w:p>
        </w:tc>
        <w:tc>
          <w:tcPr>
            <w:tcW w:w="1485" w:type="pct"/>
          </w:tcPr>
          <w:p w:rsidR="008E745B" w:rsidRPr="00733BA4" w:rsidRDefault="008E745B" w:rsidP="005B5147">
            <w:pPr>
              <w:spacing w:line="276" w:lineRule="auto"/>
              <w:jc w:val="center"/>
              <w:rPr>
                <w:b/>
                <w:sz w:val="16"/>
                <w:vertAlign w:val="superscript"/>
              </w:rPr>
            </w:pPr>
            <w:r w:rsidRPr="00733BA4">
              <w:rPr>
                <w:b/>
                <w:sz w:val="16"/>
              </w:rPr>
              <w:t xml:space="preserve">Gamma </w:t>
            </w:r>
            <w:r w:rsidRPr="00733BA4">
              <w:rPr>
                <w:b/>
                <w:sz w:val="16"/>
                <w:vertAlign w:val="superscript"/>
              </w:rPr>
              <w:t>a</w:t>
            </w:r>
          </w:p>
        </w:tc>
        <w:tc>
          <w:tcPr>
            <w:tcW w:w="545" w:type="pct"/>
          </w:tcPr>
          <w:p w:rsidR="008E745B" w:rsidRPr="00733BA4" w:rsidRDefault="008E745B" w:rsidP="005B5147">
            <w:pPr>
              <w:keepNext/>
              <w:spacing w:line="276" w:lineRule="auto"/>
              <w:rPr>
                <w:b/>
                <w:sz w:val="16"/>
              </w:rPr>
            </w:pPr>
            <w:r w:rsidRPr="00733BA4">
              <w:rPr>
                <w:b/>
                <w:sz w:val="16"/>
              </w:rPr>
              <w:t>Source</w:t>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Males &lt;75 years old</w:t>
            </w:r>
          </w:p>
        </w:tc>
        <w:tc>
          <w:tcPr>
            <w:tcW w:w="1485" w:type="pct"/>
          </w:tcPr>
          <w:p w:rsidR="008E745B" w:rsidRPr="00733BA4" w:rsidRDefault="008E745B" w:rsidP="005B5147">
            <w:pPr>
              <w:spacing w:line="276" w:lineRule="auto"/>
              <w:jc w:val="center"/>
              <w:rPr>
                <w:sz w:val="16"/>
              </w:rPr>
            </w:pPr>
            <w:r w:rsidRPr="00733BA4">
              <w:rPr>
                <w:sz w:val="16"/>
              </w:rPr>
              <w:t>-10.37</w:t>
            </w:r>
          </w:p>
        </w:tc>
        <w:tc>
          <w:tcPr>
            <w:tcW w:w="1485" w:type="pct"/>
          </w:tcPr>
          <w:p w:rsidR="008E745B" w:rsidRPr="00733BA4" w:rsidRDefault="008E745B" w:rsidP="005B5147">
            <w:pPr>
              <w:spacing w:line="276" w:lineRule="auto"/>
              <w:jc w:val="center"/>
              <w:rPr>
                <w:sz w:val="16"/>
              </w:rPr>
            </w:pPr>
            <w:r w:rsidRPr="00733BA4">
              <w:rPr>
                <w:sz w:val="16"/>
              </w:rPr>
              <w:t>0.0727</w:t>
            </w:r>
          </w:p>
        </w:tc>
        <w:tc>
          <w:tcPr>
            <w:tcW w:w="545" w:type="pct"/>
          </w:tcPr>
          <w:p w:rsidR="008E745B" w:rsidRPr="00733BA4" w:rsidRDefault="008E745B" w:rsidP="005B5147">
            <w:pPr>
              <w:keepNext/>
              <w:spacing w:line="276" w:lineRule="auto"/>
              <w:rPr>
                <w:i/>
                <w:sz w:val="16"/>
              </w:rPr>
            </w:pPr>
            <w:r w:rsidRPr="00733BA4">
              <w:rPr>
                <w:i/>
                <w:sz w:val="16"/>
              </w:rPr>
              <w:fldChar w:fldCharType="begin" w:fldLock="1"/>
            </w:r>
            <w:r>
              <w:rPr>
                <w:i/>
                <w:sz w:val="16"/>
              </w:rPr>
              <w:instrText>ADDIN CSL_CITATION {"citationItems":[{"id":"ITEM-1","itemData":{"URL":"https://statline.cbs.nl/StatWeb/","accessed":{"date-parts":[["2018","6","14"]]},"author":[{"dropping-particle":"","family":"Statistics Netherlands (CBS)","given":"","non-dropping-particle":"","parse-names":false,"suffix":""}],"id":"ITEM-1","issued":{"date-parts":[["0"]]},"title":"Life expectancy; sex, age (per year and period of five years)","type":"webpage"},"uris":["http://www.mendeley.com/documents/?uuid=8847e6ec-95be-4492-b7b3-5ba704b2fd93"]}],"mendeley":{"formattedCitation":"[15]","plainTextFormattedCitation":"[15]","previouslyFormattedCitation":"[15]"},"properties":{"noteIndex":0},"schema":"https://github.com/citation-style-language/schema/raw/master/csl-citation.json"}</w:instrText>
            </w:r>
            <w:r w:rsidRPr="00733BA4">
              <w:rPr>
                <w:i/>
                <w:sz w:val="16"/>
              </w:rPr>
              <w:fldChar w:fldCharType="separate"/>
            </w:r>
            <w:r w:rsidRPr="00E2156A">
              <w:rPr>
                <w:noProof/>
                <w:sz w:val="16"/>
              </w:rPr>
              <w:t>[15]</w:t>
            </w:r>
            <w:r w:rsidRPr="00733BA4">
              <w:rPr>
                <w:i/>
                <w:sz w:val="16"/>
              </w:rPr>
              <w:fldChar w:fldCharType="end"/>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Males ≥75 years old</w:t>
            </w:r>
          </w:p>
        </w:tc>
        <w:tc>
          <w:tcPr>
            <w:tcW w:w="1485" w:type="pct"/>
          </w:tcPr>
          <w:p w:rsidR="008E745B" w:rsidRPr="00733BA4" w:rsidRDefault="008E745B" w:rsidP="005B5147">
            <w:pPr>
              <w:spacing w:line="276" w:lineRule="auto"/>
              <w:jc w:val="center"/>
              <w:rPr>
                <w:sz w:val="16"/>
              </w:rPr>
            </w:pPr>
            <w:r w:rsidRPr="00733BA4">
              <w:rPr>
                <w:sz w:val="16"/>
              </w:rPr>
              <w:t>-13.97</w:t>
            </w:r>
          </w:p>
        </w:tc>
        <w:tc>
          <w:tcPr>
            <w:tcW w:w="1485" w:type="pct"/>
          </w:tcPr>
          <w:p w:rsidR="008E745B" w:rsidRPr="00733BA4" w:rsidRDefault="008E745B" w:rsidP="005B5147">
            <w:pPr>
              <w:spacing w:line="276" w:lineRule="auto"/>
              <w:jc w:val="center"/>
              <w:rPr>
                <w:sz w:val="16"/>
              </w:rPr>
            </w:pPr>
            <w:r w:rsidRPr="00733BA4">
              <w:rPr>
                <w:sz w:val="16"/>
              </w:rPr>
              <w:t>0.1277</w:t>
            </w:r>
          </w:p>
        </w:tc>
        <w:tc>
          <w:tcPr>
            <w:tcW w:w="545" w:type="pct"/>
          </w:tcPr>
          <w:p w:rsidR="008E745B" w:rsidRPr="00733BA4" w:rsidRDefault="008E745B" w:rsidP="005B5147">
            <w:pPr>
              <w:keepNext/>
              <w:spacing w:line="276" w:lineRule="auto"/>
              <w:rPr>
                <w:i/>
                <w:sz w:val="16"/>
              </w:rPr>
            </w:pPr>
            <w:r w:rsidRPr="00733BA4">
              <w:rPr>
                <w:i/>
                <w:sz w:val="16"/>
              </w:rPr>
              <w:fldChar w:fldCharType="begin" w:fldLock="1"/>
            </w:r>
            <w:r>
              <w:rPr>
                <w:i/>
                <w:sz w:val="16"/>
              </w:rPr>
              <w:instrText>ADDIN CSL_CITATION {"citationItems":[{"id":"ITEM-1","itemData":{"URL":"https://statline.cbs.nl/StatWeb/","accessed":{"date-parts":[["2018","6","14"]]},"author":[{"dropping-particle":"","family":"Statistics Netherlands (CBS)","given":"","non-dropping-particle":"","parse-names":false,"suffix":""}],"id":"ITEM-1","issued":{"date-parts":[["0"]]},"title":"Life expectancy; sex, age (per year and period of five years)","type":"webpage"},"uris":["http://www.mendeley.com/documents/?uuid=8847e6ec-95be-4492-b7b3-5ba704b2fd93"]}],"mendeley":{"formattedCitation":"[15]","plainTextFormattedCitation":"[15]","previouslyFormattedCitation":"[15]"},"properties":{"noteIndex":0},"schema":"https://github.com/citation-style-language/schema/raw/master/csl-citation.json"}</w:instrText>
            </w:r>
            <w:r w:rsidRPr="00733BA4">
              <w:rPr>
                <w:i/>
                <w:sz w:val="16"/>
              </w:rPr>
              <w:fldChar w:fldCharType="separate"/>
            </w:r>
            <w:r w:rsidRPr="00E2156A">
              <w:rPr>
                <w:noProof/>
                <w:sz w:val="16"/>
              </w:rPr>
              <w:t>[15]</w:t>
            </w:r>
            <w:r w:rsidRPr="00733BA4">
              <w:rPr>
                <w:i/>
                <w:sz w:val="16"/>
              </w:rPr>
              <w:fldChar w:fldCharType="end"/>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Females &lt;75 years old</w:t>
            </w:r>
          </w:p>
        </w:tc>
        <w:tc>
          <w:tcPr>
            <w:tcW w:w="1485" w:type="pct"/>
          </w:tcPr>
          <w:p w:rsidR="008E745B" w:rsidRPr="00733BA4" w:rsidRDefault="008E745B" w:rsidP="005B5147">
            <w:pPr>
              <w:spacing w:line="276" w:lineRule="auto"/>
              <w:jc w:val="center"/>
              <w:rPr>
                <w:sz w:val="16"/>
              </w:rPr>
            </w:pPr>
            <w:r w:rsidRPr="00733BA4">
              <w:rPr>
                <w:sz w:val="16"/>
              </w:rPr>
              <w:t>-10.86</w:t>
            </w:r>
          </w:p>
        </w:tc>
        <w:tc>
          <w:tcPr>
            <w:tcW w:w="1485" w:type="pct"/>
          </w:tcPr>
          <w:p w:rsidR="008E745B" w:rsidRPr="00733BA4" w:rsidRDefault="008E745B" w:rsidP="005B5147">
            <w:pPr>
              <w:spacing w:line="276" w:lineRule="auto"/>
              <w:jc w:val="center"/>
              <w:rPr>
                <w:sz w:val="16"/>
              </w:rPr>
            </w:pPr>
            <w:r w:rsidRPr="00733BA4">
              <w:rPr>
                <w:sz w:val="16"/>
              </w:rPr>
              <w:t>0.0746</w:t>
            </w:r>
          </w:p>
        </w:tc>
        <w:tc>
          <w:tcPr>
            <w:tcW w:w="545" w:type="pct"/>
          </w:tcPr>
          <w:p w:rsidR="008E745B" w:rsidRPr="00733BA4" w:rsidRDefault="008E745B" w:rsidP="005B5147">
            <w:pPr>
              <w:keepNext/>
              <w:spacing w:line="276" w:lineRule="auto"/>
              <w:rPr>
                <w:i/>
                <w:sz w:val="16"/>
              </w:rPr>
            </w:pPr>
            <w:r w:rsidRPr="00733BA4">
              <w:rPr>
                <w:i/>
                <w:sz w:val="16"/>
              </w:rPr>
              <w:fldChar w:fldCharType="begin" w:fldLock="1"/>
            </w:r>
            <w:r>
              <w:rPr>
                <w:i/>
                <w:sz w:val="16"/>
              </w:rPr>
              <w:instrText>ADDIN CSL_CITATION {"citationItems":[{"id":"ITEM-1","itemData":{"URL":"https://statline.cbs.nl/StatWeb/","accessed":{"date-parts":[["2018","6","14"]]},"author":[{"dropping-particle":"","family":"Statistics Netherlands (CBS)","given":"","non-dropping-particle":"","parse-names":false,"suffix":""}],"id":"ITEM-1","issued":{"date-parts":[["0"]]},"title":"Life expectancy; sex, age (per year and period of five years)","type":"webpage"},"uris":["http://www.mendeley.com/documents/?uuid=8847e6ec-95be-4492-b7b3-5ba704b2fd93"]}],"mendeley":{"formattedCitation":"[15]","plainTextFormattedCitation":"[15]","previouslyFormattedCitation":"[15]"},"properties":{"noteIndex":0},"schema":"https://github.com/citation-style-language/schema/raw/master/csl-citation.json"}</w:instrText>
            </w:r>
            <w:r w:rsidRPr="00733BA4">
              <w:rPr>
                <w:i/>
                <w:sz w:val="16"/>
              </w:rPr>
              <w:fldChar w:fldCharType="separate"/>
            </w:r>
            <w:r w:rsidRPr="00E2156A">
              <w:rPr>
                <w:noProof/>
                <w:sz w:val="16"/>
              </w:rPr>
              <w:t>[15]</w:t>
            </w:r>
            <w:r w:rsidRPr="00733BA4">
              <w:rPr>
                <w:i/>
                <w:sz w:val="16"/>
              </w:rPr>
              <w:fldChar w:fldCharType="end"/>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Females ≥75 years old</w:t>
            </w:r>
          </w:p>
        </w:tc>
        <w:tc>
          <w:tcPr>
            <w:tcW w:w="1485" w:type="pct"/>
          </w:tcPr>
          <w:p w:rsidR="008E745B" w:rsidRPr="00733BA4" w:rsidRDefault="008E745B" w:rsidP="005B5147">
            <w:pPr>
              <w:spacing w:line="276" w:lineRule="auto"/>
              <w:jc w:val="center"/>
              <w:rPr>
                <w:sz w:val="16"/>
              </w:rPr>
            </w:pPr>
            <w:r w:rsidRPr="00733BA4">
              <w:rPr>
                <w:sz w:val="16"/>
              </w:rPr>
              <w:t>-15.36</w:t>
            </w:r>
          </w:p>
        </w:tc>
        <w:tc>
          <w:tcPr>
            <w:tcW w:w="1485" w:type="pct"/>
          </w:tcPr>
          <w:p w:rsidR="008E745B" w:rsidRPr="00733BA4" w:rsidRDefault="008E745B" w:rsidP="005B5147">
            <w:pPr>
              <w:spacing w:line="276" w:lineRule="auto"/>
              <w:jc w:val="center"/>
              <w:rPr>
                <w:sz w:val="16"/>
              </w:rPr>
            </w:pPr>
            <w:r w:rsidRPr="00733BA4">
              <w:rPr>
                <w:sz w:val="16"/>
              </w:rPr>
              <w:t>0.1402</w:t>
            </w:r>
          </w:p>
        </w:tc>
        <w:tc>
          <w:tcPr>
            <w:tcW w:w="545" w:type="pct"/>
          </w:tcPr>
          <w:p w:rsidR="008E745B" w:rsidRPr="00733BA4" w:rsidRDefault="008E745B" w:rsidP="005B5147">
            <w:pPr>
              <w:keepNext/>
              <w:spacing w:line="276" w:lineRule="auto"/>
              <w:rPr>
                <w:i/>
                <w:sz w:val="16"/>
              </w:rPr>
            </w:pPr>
            <w:r w:rsidRPr="00733BA4">
              <w:rPr>
                <w:i/>
                <w:sz w:val="16"/>
              </w:rPr>
              <w:fldChar w:fldCharType="begin" w:fldLock="1"/>
            </w:r>
            <w:r>
              <w:rPr>
                <w:i/>
                <w:sz w:val="16"/>
              </w:rPr>
              <w:instrText>ADDIN CSL_CITATION {"citationItems":[{"id":"ITEM-1","itemData":{"URL":"https://statline.cbs.nl/StatWeb/","accessed":{"date-parts":[["2018","6","14"]]},"author":[{"dropping-particle":"","family":"Statistics Netherlands (CBS)","given":"","non-dropping-particle":"","parse-names":false,"suffix":""}],"id":"ITEM-1","issued":{"date-parts":[["0"]]},"title":"Life expectancy; sex, age (per year and period of five years)","type":"webpage"},"uris":["http://www.mendeley.com/documents/?uuid=8847e6ec-95be-4492-b7b3-5ba704b2fd93"]}],"mendeley":{"formattedCitation":"[15]","plainTextFormattedCitation":"[15]","previouslyFormattedCitation":"[15]"},"properties":{"noteIndex":0},"schema":"https://github.com/citation-style-language/schema/raw/master/csl-citation.json"}</w:instrText>
            </w:r>
            <w:r w:rsidRPr="00733BA4">
              <w:rPr>
                <w:i/>
                <w:sz w:val="16"/>
              </w:rPr>
              <w:fldChar w:fldCharType="separate"/>
            </w:r>
            <w:r w:rsidRPr="00E2156A">
              <w:rPr>
                <w:noProof/>
                <w:sz w:val="16"/>
              </w:rPr>
              <w:t>[15]</w:t>
            </w:r>
            <w:r w:rsidRPr="00733BA4">
              <w:rPr>
                <w:i/>
                <w:sz w:val="16"/>
              </w:rPr>
              <w:fldChar w:fldCharType="end"/>
            </w:r>
          </w:p>
        </w:tc>
      </w:tr>
      <w:tr w:rsidR="008E745B" w:rsidRPr="00733BA4" w:rsidTr="005B5147">
        <w:tc>
          <w:tcPr>
            <w:tcW w:w="1485" w:type="pct"/>
          </w:tcPr>
          <w:p w:rsidR="008E745B" w:rsidRPr="00733BA4" w:rsidRDefault="008E745B" w:rsidP="005B5147">
            <w:pPr>
              <w:spacing w:line="276" w:lineRule="auto"/>
              <w:rPr>
                <w:b/>
                <w:sz w:val="16"/>
              </w:rPr>
            </w:pPr>
            <w:r w:rsidRPr="00733BA4">
              <w:rPr>
                <w:b/>
                <w:sz w:val="16"/>
              </w:rPr>
              <w:t>Event</w:t>
            </w:r>
          </w:p>
        </w:tc>
        <w:tc>
          <w:tcPr>
            <w:tcW w:w="1485" w:type="pct"/>
          </w:tcPr>
          <w:p w:rsidR="008E745B" w:rsidRPr="00733BA4" w:rsidRDefault="008E745B" w:rsidP="005B5147">
            <w:pPr>
              <w:spacing w:line="276" w:lineRule="auto"/>
              <w:jc w:val="center"/>
              <w:rPr>
                <w:sz w:val="16"/>
              </w:rPr>
            </w:pPr>
            <w:r w:rsidRPr="00733BA4">
              <w:rPr>
                <w:b/>
                <w:sz w:val="16"/>
              </w:rPr>
              <w:t>Case fatality (%</w:t>
            </w:r>
            <w:r>
              <w:rPr>
                <w:b/>
                <w:sz w:val="16"/>
              </w:rPr>
              <w:t>, 95% CI</w:t>
            </w:r>
            <w:r w:rsidRPr="00733BA4">
              <w:rPr>
                <w:b/>
                <w:sz w:val="16"/>
              </w:rPr>
              <w:t>)</w:t>
            </w:r>
          </w:p>
        </w:tc>
        <w:tc>
          <w:tcPr>
            <w:tcW w:w="1485" w:type="pct"/>
          </w:tcPr>
          <w:p w:rsidR="008E745B" w:rsidRPr="00733BA4" w:rsidRDefault="008E745B" w:rsidP="005B5147">
            <w:pPr>
              <w:spacing w:line="276" w:lineRule="auto"/>
              <w:jc w:val="center"/>
              <w:rPr>
                <w:sz w:val="16"/>
              </w:rPr>
            </w:pPr>
            <w:r w:rsidRPr="00733BA4">
              <w:rPr>
                <w:b/>
                <w:sz w:val="16"/>
              </w:rPr>
              <w:t>Additional mortality risk adjustment factors per event (HR</w:t>
            </w:r>
            <w:r>
              <w:rPr>
                <w:b/>
                <w:sz w:val="16"/>
              </w:rPr>
              <w:t>, 95% CI</w:t>
            </w:r>
            <w:r w:rsidRPr="00733BA4">
              <w:rPr>
                <w:b/>
                <w:sz w:val="16"/>
              </w:rPr>
              <w:t>)</w:t>
            </w:r>
          </w:p>
        </w:tc>
        <w:tc>
          <w:tcPr>
            <w:tcW w:w="545" w:type="pct"/>
          </w:tcPr>
          <w:p w:rsidR="008E745B" w:rsidRPr="00733BA4" w:rsidRDefault="008E745B" w:rsidP="005B5147">
            <w:pPr>
              <w:keepNext/>
              <w:spacing w:line="276" w:lineRule="auto"/>
              <w:rPr>
                <w:i/>
                <w:sz w:val="16"/>
              </w:rPr>
            </w:pP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AF</w:t>
            </w:r>
          </w:p>
        </w:tc>
        <w:tc>
          <w:tcPr>
            <w:tcW w:w="1485" w:type="pct"/>
          </w:tcPr>
          <w:p w:rsidR="008E745B" w:rsidRPr="00733BA4" w:rsidRDefault="008E745B" w:rsidP="005B5147">
            <w:pPr>
              <w:spacing w:line="276" w:lineRule="auto"/>
              <w:jc w:val="center"/>
              <w:rPr>
                <w:b/>
                <w:sz w:val="16"/>
              </w:rPr>
            </w:pPr>
            <w:r w:rsidRPr="00733BA4">
              <w:rPr>
                <w:b/>
                <w:sz w:val="16"/>
              </w:rPr>
              <w:t>-</w:t>
            </w:r>
          </w:p>
        </w:tc>
        <w:tc>
          <w:tcPr>
            <w:tcW w:w="1485" w:type="pct"/>
          </w:tcPr>
          <w:p w:rsidR="008E745B" w:rsidRPr="00733BA4" w:rsidRDefault="008E745B" w:rsidP="005B5147">
            <w:pPr>
              <w:spacing w:line="276" w:lineRule="auto"/>
              <w:jc w:val="center"/>
              <w:rPr>
                <w:sz w:val="16"/>
              </w:rPr>
            </w:pPr>
            <w:r w:rsidRPr="00733BA4">
              <w:rPr>
                <w:sz w:val="16"/>
              </w:rPr>
              <w:t>1.34 (1.20-1.53)</w:t>
            </w:r>
          </w:p>
        </w:tc>
        <w:tc>
          <w:tcPr>
            <w:tcW w:w="545" w:type="pct"/>
          </w:tcPr>
          <w:p w:rsidR="008E745B" w:rsidRPr="00733BA4" w:rsidRDefault="008E745B" w:rsidP="005B5147">
            <w:pPr>
              <w:spacing w:line="276" w:lineRule="auto"/>
              <w:rPr>
                <w:i/>
                <w:sz w:val="16"/>
              </w:rPr>
            </w:pPr>
            <w:r w:rsidRPr="00733BA4">
              <w:rPr>
                <w:i/>
                <w:sz w:val="16"/>
              </w:rPr>
              <w:fldChar w:fldCharType="begin" w:fldLock="1"/>
            </w:r>
            <w:r>
              <w:rPr>
                <w:i/>
                <w:sz w:val="16"/>
              </w:rPr>
              <w:instrText>ADDIN CSL_CITATION {"citationItems":[{"id":"ITEM-1","itemData":{"abstract":"AIMS Whether paroxysmal atrial fibrillation (PxAF) affects survival is poorly recognized. Results have been conflicting in the few previously published studies. To describe mortality in patients with PxAF and to identify risk factors amenable to treatment. METHODS AND RESULTS All patients (n=2824) treated for atrial fibrillation during 2002 at one of Scandinavia's largest hospitals were followed prospectively for a mean of 4.6 years. Information about type of AF, comorbidity, and medication was acquired from medical records and national registers. Information about deaths was obtained from the National Cause of Death Register. One-third (n=888) of the patients had PxAF (mean age 73 years). During follow-up, 267 of them died. The mean annual mortality rate was 7%. Compared with the general population, the standardized mortality ratio (SMR) was 1.6 (95% CI 1.4-1.8) for all-cause mortality, 2.4 (95% CI 1.4-3.7) for death from myocardial infarction, and 2.6 (95% CI 1.3-5.2) for death from heart failure. Warfarin treatment was associated with improved survival both in comparison with the general population (SMR 1.1 with warfarin, SMR 2.2 without warfarin) and after propensity score matching for odds to receive warfarin (HR 0.5, 95% CI 0.3-0.9). The improvement of survival could not be explained by stroke reduction alone. CONCLUSION PxAF is associated with increased mortality, which mostly appears to be related to concomitant cardiovascular risks. Treatment with warfarin is associated with improved survival in PxAF patients.","author":[{"dropping-particle":"","family":"Friberg","given":"L.","non-dropping-particle":"","parse-names":false,"suffix":""},{"dropping-particle":"","family":"Hammar","given":"N.","non-dropping-particle":"","parse-names":false,"suffix":""},{"dropping-particle":"","family":"Pettersson","given":"H.","non-dropping-particle":"","parse-names":false,"suffix":""},{"dropping-particle":"","family":"Rosenqvist","given":"M.","non-dropping-particle":"","parse-names":false,"suffix":""}],"container-title":"European Heart Journal","id":"ITEM-1","issue":"19","issued":{"date-parts":[["2007"]]},"page":"2346-2353","title":"Increased mortality in paroxysmal atrial fibrillation: report from the Stockholm Cohort-Study of Atrial Fibrillation (SCAF)","type":"article-journal","volume":"28"},"uris":["http://www.mendeley.com/documents/?uuid=9125b829-7b26-3f19-bf06-0b508ef50496"]}],"mendeley":{"formattedCitation":"[16]","plainTextFormattedCitation":"[16]","previouslyFormattedCitation":"[16]"},"properties":{"noteIndex":0},"schema":"https://github.com/citation-style-language/schema/raw/master/csl-citation.json"}</w:instrText>
            </w:r>
            <w:r w:rsidRPr="00733BA4">
              <w:rPr>
                <w:i/>
                <w:sz w:val="16"/>
              </w:rPr>
              <w:fldChar w:fldCharType="separate"/>
            </w:r>
            <w:r w:rsidRPr="00E2156A">
              <w:rPr>
                <w:noProof/>
                <w:sz w:val="16"/>
              </w:rPr>
              <w:t>[16]</w:t>
            </w:r>
            <w:r w:rsidRPr="00733BA4">
              <w:rPr>
                <w:i/>
                <w:sz w:val="16"/>
              </w:rPr>
              <w:fldChar w:fldCharType="end"/>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Stroke (</w:t>
            </w:r>
            <w:r>
              <w:rPr>
                <w:sz w:val="16"/>
              </w:rPr>
              <w:t>ischaemic</w:t>
            </w:r>
            <w:r w:rsidRPr="00733BA4">
              <w:rPr>
                <w:sz w:val="16"/>
              </w:rPr>
              <w:t xml:space="preserve"> and </w:t>
            </w:r>
            <w:r>
              <w:rPr>
                <w:sz w:val="16"/>
              </w:rPr>
              <w:t>haemorrhagic</w:t>
            </w:r>
            <w:r w:rsidRPr="00733BA4">
              <w:rPr>
                <w:sz w:val="16"/>
              </w:rPr>
              <w:t>)</w:t>
            </w:r>
          </w:p>
        </w:tc>
        <w:tc>
          <w:tcPr>
            <w:tcW w:w="1485" w:type="pct"/>
          </w:tcPr>
          <w:p w:rsidR="008E745B" w:rsidRPr="00733BA4" w:rsidRDefault="008E745B" w:rsidP="005B5147">
            <w:pPr>
              <w:spacing w:line="276" w:lineRule="auto"/>
              <w:jc w:val="center"/>
              <w:rPr>
                <w:sz w:val="16"/>
              </w:rPr>
            </w:pPr>
          </w:p>
        </w:tc>
        <w:tc>
          <w:tcPr>
            <w:tcW w:w="1485" w:type="pct"/>
          </w:tcPr>
          <w:p w:rsidR="008E745B" w:rsidRPr="00733BA4" w:rsidRDefault="008E745B" w:rsidP="005B5147">
            <w:pPr>
              <w:spacing w:line="276" w:lineRule="auto"/>
              <w:jc w:val="center"/>
              <w:rPr>
                <w:sz w:val="16"/>
              </w:rPr>
            </w:pPr>
          </w:p>
        </w:tc>
        <w:tc>
          <w:tcPr>
            <w:tcW w:w="545" w:type="pct"/>
          </w:tcPr>
          <w:p w:rsidR="008E745B" w:rsidRPr="00733BA4" w:rsidRDefault="008E745B" w:rsidP="005B5147">
            <w:pPr>
              <w:spacing w:line="276" w:lineRule="auto"/>
              <w:rPr>
                <w:i/>
                <w:sz w:val="16"/>
              </w:rPr>
            </w:pPr>
          </w:p>
        </w:tc>
      </w:tr>
      <w:tr w:rsidR="008E745B" w:rsidRPr="00733BA4" w:rsidTr="005B5147">
        <w:tc>
          <w:tcPr>
            <w:tcW w:w="1485" w:type="pct"/>
            <w:vAlign w:val="center"/>
          </w:tcPr>
          <w:p w:rsidR="008E745B" w:rsidRPr="00733BA4" w:rsidRDefault="008E745B" w:rsidP="005B5147">
            <w:pPr>
              <w:spacing w:line="276" w:lineRule="auto"/>
              <w:ind w:left="708"/>
              <w:jc w:val="right"/>
              <w:rPr>
                <w:sz w:val="16"/>
              </w:rPr>
            </w:pPr>
            <w:r w:rsidRPr="00733BA4">
              <w:rPr>
                <w:sz w:val="16"/>
              </w:rPr>
              <w:t>Mild</w:t>
            </w:r>
          </w:p>
        </w:tc>
        <w:tc>
          <w:tcPr>
            <w:tcW w:w="1485" w:type="pct"/>
            <w:vMerge w:val="restart"/>
            <w:vAlign w:val="center"/>
          </w:tcPr>
          <w:p w:rsidR="008E745B" w:rsidRPr="00733BA4" w:rsidRDefault="008E745B" w:rsidP="005B5147">
            <w:pPr>
              <w:spacing w:line="276" w:lineRule="auto"/>
              <w:jc w:val="center"/>
              <w:rPr>
                <w:sz w:val="16"/>
              </w:rPr>
            </w:pPr>
            <w:r w:rsidRPr="00733BA4">
              <w:rPr>
                <w:sz w:val="16"/>
              </w:rPr>
              <w:t xml:space="preserve">See </w:t>
            </w:r>
            <w:r>
              <w:rPr>
                <w:sz w:val="16"/>
              </w:rPr>
              <w:t>Table 2</w:t>
            </w:r>
          </w:p>
        </w:tc>
        <w:tc>
          <w:tcPr>
            <w:tcW w:w="1485" w:type="pct"/>
          </w:tcPr>
          <w:p w:rsidR="008E745B" w:rsidRPr="00733BA4" w:rsidRDefault="008E745B" w:rsidP="005B5147">
            <w:pPr>
              <w:spacing w:line="276" w:lineRule="auto"/>
              <w:jc w:val="center"/>
              <w:rPr>
                <w:sz w:val="16"/>
              </w:rPr>
            </w:pPr>
            <w:r w:rsidRPr="00733BA4">
              <w:rPr>
                <w:sz w:val="16"/>
              </w:rPr>
              <w:t>3.18 (1.42-4.94)</w:t>
            </w:r>
          </w:p>
        </w:tc>
        <w:tc>
          <w:tcPr>
            <w:tcW w:w="545" w:type="pct"/>
          </w:tcPr>
          <w:p w:rsidR="008E745B" w:rsidRPr="00733BA4" w:rsidRDefault="008E745B" w:rsidP="005B5147">
            <w:pPr>
              <w:spacing w:line="276" w:lineRule="auto"/>
              <w:rPr>
                <w:i/>
                <w:sz w:val="16"/>
              </w:rPr>
            </w:pPr>
            <w:r w:rsidRPr="00733BA4">
              <w:rPr>
                <w:i/>
                <w:sz w:val="16"/>
              </w:rPr>
              <w:fldChar w:fldCharType="begin" w:fldLock="1"/>
            </w:r>
            <w:r>
              <w:rPr>
                <w:i/>
                <w:sz w:val="16"/>
              </w:rPr>
              <w:instrText>ADDIN CSL_CITATION {"citationItems":[{"id":"ITEM-1","itemData":{"abstract":"BACKGROUND AND PURPOSE As part of the Danish contribution to the World Health Organization (WHO) MONICA (Monitoring Trends and Determinants in Cardiovascular Disease) Project, a register of patients with stroke was established in 1982. The purpose of the present study was to analyze long-term survival and causes of death after a first stroke and to compare them with those of the background population. METHODS The study population comprised all subjects aged 25 years or older who were resident in a geographically defined region in Copenhagen County. All stroke events in the study population during 1982-1991 were ascertained and validated according to standardized criteria outlined for the WHO MONICA Project. After completion of the stroke registry at the end of 1991, all patients were followed up by record linkage to official registries. Standardized mortality ratios were calculated for various causes of death and periods after the stroke. RESULTS The estimated cumulative risks for death at 28 days, 1 year, and 5 years after onset were 28%, 41%, and 60%, respectively. Compared with the general population, nonfatal stroke was associated with an almost 5-fold increase in risk for death between 4 weeks and 1 year after a first stroke and a 2-fold increase in the risk for death subsequent to 1 year. The excess mortality rate in stroke patients was due mainly to cardiovascular diseases but also to cancer, other diseases, accidents, and suicide. The probability for long-term survival improved significantly during the observation period for patients with ischemic or ill-defined stroke. CONCLUSIONS Stroke is a medical emergency associated with a very high risk for death in the acute and subacute phases and with a continuous excess risk of death. Better prevention and management of strokes may improve the long-term survival rate.","author":[{"dropping-particle":"","family":"Brønnum-Hansen","given":"H","non-dropping-particle":"","parse-names":false,"suffix":""},{"dropping-particle":"","family":"Davidsen","given":"M","non-dropping-particle":"","parse-names":false,"suffix":""},{"dropping-particle":"","family":"Thorvaldsen","given":"P","non-dropping-particle":"","parse-names":false,"suffix":""},{"dropping-particle":"","family":"Danish MONICA Study Group","given":"","non-dropping-particle":"","parse-names":false,"suffix":""}],"container-title":"Stroke","id":"ITEM-1","issue":"9","issued":{"date-parts":[["2001"]]},"page":"2131-6","title":"Long-term survival and causes of death after stroke.","type":"article-journal","volume":"32"},"uris":["http://www.mendeley.com/documents/?uuid=3e56e2e9-bd1e-3c83-a43f-d4e094480ff3"]},{"id":"ITEM-2","itemData":{"abstract":"OBJECTIVE This study examined all-cause mortality in stroke patients with and without documented atrial fibrillation (AF), and the impact of CHADS(2) score. DESIGN A cohort of 105,074 patients, 31,821 (30.3%) with and 73,253 (69.7%) without documented AF, was studied. These patients were registered in the Swedish Stroke Registry during the years 2001-2005. Mortality data were retrieved from the Swedish Cause of Death Register. CHADS(2) score prior to stroke were assessed using the Swedish National Discharge Register. RESULTS The age and sex adjusted relative risk (RR) of death was 1.46 (1.43-1.49) for AF vs non-AF patients. High age (&gt;or=75 years) tripled the risk of death and was the single most important predictor, followed by congestive heart failure, previous stroke and diabetes. Less than half of the AF patients with a CHADS(2) score of 1-6 survived more than 5 years, whereas AF patients with a CHADS(2) score of 0 had a 73% chance of survival. In patients with AF, the relative risk of death was 6.05 (CI: 2.26-6.95); in subjects with the highest vs the lowest CHADS(2) score; the corresponding RR for non-AF patients was 7.93 (CI: 7.01-8.97). CONCLUSIONS The CHADS(2) score seems to have an impact on all-cause mortality after stroke. The CHADS(2) score can give valuable insight for other outcome variables apart from having had an ischemic stroke and can be applied to patients with different risk factor profiles, e.g. with a previous known cardiovascular disease but without known AF.","author":[{"dropping-particle":"","family":"Henriksson","given":"Karin M","non-dropping-particle":"","parse-names":false,"suffix":""},{"dropping-particle":"","family":"Farahmand","given":"Bahman","non-dropping-particle":"","parse-names":false,"suffix":""},{"dropping-particle":"","family":"Johansson","given":"Saga","non-dropping-particle":"","parse-names":false,"suffix":""},{"dropping-particle":"","family":"Asberg","given":"Signild","non-dropping-particle":"","parse-names":false,"suffix":""},{"dropping-particle":"","family":"Terént","given":"Andreas","non-dropping-particle":"","parse-names":false,"suffix":""},{"dropping-particle":"","family":"Edvardsson","given":"Nils","non-dropping-particle":"","parse-names":false,"suffix":""}],"container-title":"International journal of cardiology","id":"ITEM-2","issue":"1","issued":{"date-parts":[["2010"]]},"page":"18-23","title":"Survival after stroke--the impact of CHADS2 score and atrial fibrillation.","type":"article-journal","volume":"141"},"uris":["http://www.mendeley.com/documents/?uuid=d631709b-e71e-35c5-a367-0d36fc96eaab"]},{"id":"ITEM-3","itemData":{"abstract":"BACKGROUND The modified Rankin Scale (mRS) is gaining importance as a means to quantity disability following stroke, yet little is known about its usefulness as a determinant of the long-term outcome. METHODS The Athens Stroke Registry, which includes information on 1,816 first-ever stroke patients admitted to the Athens University Hospital from 1992 to 2004, was used to examine the crude and adjusted effect of the 3-month mRS score for long-term survival. The mean age was 70 years, 62% were males, and 84% had an ischemic stroke. RESULTS The mortality in the first 3 months exceeded 20%, but thereafter the survival declined much more slowly (approximately 4.5% per year). The patients with worse mRS scores had a significant excess risk of death; the effect persisted when controlling for coexistent cardiovascular problems (transient ischemic attack, claudication, heart failure and atrial fibrillation). CONCLUSIONS These findings underscore the importance of interventions aimed at improving disability following stroke.","author":[{"dropping-particle":"","family":"Huybrechts","given":"Krista F","non-dropping-particle":"","parse-names":false,"suffix":""},{"dropping-particle":"","family":"Caro","given":"J Jaime","non-dropping-particle":"","parse-names":false,"suffix":""},{"dropping-particle":"","family":"Xenakis","given":"James J","non-dropping-particle":"","parse-names":false,"suffix":""},{"dropping-particle":"","family":"Vemmos","given":"Konstantinos N","non-dropping-particle":"","parse-names":false,"suffix":""}],"container-title":"Cerebrovascular diseases (Basel, Switzerland)","id":"ITEM-3","issue":"4","issued":{"date-parts":[["2008"]]},"page":"381-7","title":"The prognostic value of the modified Rankin Scale score for long-term survival after first-ever stroke. Results from the Athens Stroke Registry.","type":"article-journal","volume":"26"},"uris":["http://www.mendeley.com/documents/?uuid=a117acff-1283-38f7-b17c-c973395447e7"]}],"mendeley":{"formattedCitation":"[17–19]","plainTextFormattedCitation":"[17–19]","previouslyFormattedCitation":"[17–19]"},"properties":{"noteIndex":0},"schema":"https://github.com/citation-style-language/schema/raw/master/csl-citation.json"}</w:instrText>
            </w:r>
            <w:r w:rsidRPr="00733BA4">
              <w:rPr>
                <w:i/>
                <w:sz w:val="16"/>
              </w:rPr>
              <w:fldChar w:fldCharType="separate"/>
            </w:r>
            <w:r w:rsidRPr="00E2156A">
              <w:rPr>
                <w:noProof/>
                <w:sz w:val="16"/>
              </w:rPr>
              <w:t>[17–19]</w:t>
            </w:r>
            <w:r w:rsidRPr="00733BA4">
              <w:rPr>
                <w:i/>
                <w:sz w:val="16"/>
              </w:rPr>
              <w:fldChar w:fldCharType="end"/>
            </w:r>
          </w:p>
        </w:tc>
      </w:tr>
      <w:tr w:rsidR="008E745B" w:rsidRPr="00733BA4" w:rsidTr="005B5147">
        <w:tc>
          <w:tcPr>
            <w:tcW w:w="1485" w:type="pct"/>
            <w:vAlign w:val="center"/>
          </w:tcPr>
          <w:p w:rsidR="008E745B" w:rsidRPr="00733BA4" w:rsidRDefault="008E745B" w:rsidP="005B5147">
            <w:pPr>
              <w:spacing w:line="276" w:lineRule="auto"/>
              <w:ind w:left="708"/>
              <w:jc w:val="right"/>
              <w:rPr>
                <w:sz w:val="16"/>
              </w:rPr>
            </w:pPr>
            <w:r w:rsidRPr="00733BA4">
              <w:rPr>
                <w:sz w:val="16"/>
              </w:rPr>
              <w:t>Moderate</w:t>
            </w:r>
          </w:p>
        </w:tc>
        <w:tc>
          <w:tcPr>
            <w:tcW w:w="1485" w:type="pct"/>
            <w:vMerge/>
          </w:tcPr>
          <w:p w:rsidR="008E745B" w:rsidRPr="00733BA4" w:rsidRDefault="008E745B" w:rsidP="005B5147">
            <w:pPr>
              <w:spacing w:line="276" w:lineRule="auto"/>
              <w:jc w:val="center"/>
              <w:rPr>
                <w:sz w:val="16"/>
              </w:rPr>
            </w:pPr>
          </w:p>
        </w:tc>
        <w:tc>
          <w:tcPr>
            <w:tcW w:w="1485" w:type="pct"/>
          </w:tcPr>
          <w:p w:rsidR="008E745B" w:rsidRPr="00733BA4" w:rsidRDefault="008E745B" w:rsidP="005B5147">
            <w:pPr>
              <w:spacing w:line="276" w:lineRule="auto"/>
              <w:jc w:val="center"/>
              <w:rPr>
                <w:sz w:val="16"/>
              </w:rPr>
            </w:pPr>
            <w:r w:rsidRPr="00733BA4">
              <w:rPr>
                <w:sz w:val="16"/>
              </w:rPr>
              <w:t>5.84 (4.08-7.60)</w:t>
            </w:r>
          </w:p>
        </w:tc>
        <w:tc>
          <w:tcPr>
            <w:tcW w:w="545" w:type="pct"/>
          </w:tcPr>
          <w:p w:rsidR="008E745B" w:rsidRPr="00733BA4" w:rsidRDefault="008E745B" w:rsidP="005B5147">
            <w:pPr>
              <w:spacing w:line="276" w:lineRule="auto"/>
              <w:rPr>
                <w:i/>
                <w:sz w:val="16"/>
              </w:rPr>
            </w:pPr>
            <w:r w:rsidRPr="00733BA4">
              <w:rPr>
                <w:i/>
                <w:sz w:val="16"/>
              </w:rPr>
              <w:fldChar w:fldCharType="begin" w:fldLock="1"/>
            </w:r>
            <w:r>
              <w:rPr>
                <w:i/>
                <w:sz w:val="16"/>
              </w:rPr>
              <w:instrText>ADDIN CSL_CITATION {"citationItems":[{"id":"ITEM-1","itemData":{"abstract":"BACKGROUND AND PURPOSE As part of the Danish contribution to the World Health Organization (WHO) MONICA (Monitoring Trends and Determinants in Cardiovascular Disease) Project, a register of patients with stroke was established in 1982. The purpose of the present study was to analyze long-term survival and causes of death after a first stroke and to compare them with those of the background population. METHODS The study population comprised all subjects aged 25 years or older who were resident in a geographically defined region in Copenhagen County. All stroke events in the study population during 1982-1991 were ascertained and validated according to standardized criteria outlined for the WHO MONICA Project. After completion of the stroke registry at the end of 1991, all patients were followed up by record linkage to official registries. Standardized mortality ratios were calculated for various causes of death and periods after the stroke. RESULTS The estimated cumulative risks for death at 28 days, 1 year, and 5 years after onset were 28%, 41%, and 60%, respectively. Compared with the general population, nonfatal stroke was associated with an almost 5-fold increase in risk for death between 4 weeks and 1 year after a first stroke and a 2-fold increase in the risk for death subsequent to 1 year. The excess mortality rate in stroke patients was due mainly to cardiovascular diseases but also to cancer, other diseases, accidents, and suicide. The probability for long-term survival improved significantly during the observation period for patients with ischemic or ill-defined stroke. CONCLUSIONS Stroke is a medical emergency associated with a very high risk for death in the acute and subacute phases and with a continuous excess risk of death. Better prevention and management of strokes may improve the long-term survival rate.","author":[{"dropping-particle":"","family":"Brønnum-Hansen","given":"H","non-dropping-particle":"","parse-names":false,"suffix":""},{"dropping-particle":"","family":"Davidsen","given":"M","non-dropping-particle":"","parse-names":false,"suffix":""},{"dropping-particle":"","family":"Thorvaldsen","given":"P","non-dropping-particle":"","parse-names":false,"suffix":""},{"dropping-particle":"","family":"Danish MONICA Study Group","given":"","non-dropping-particle":"","parse-names":false,"suffix":""}],"container-title":"Stroke","id":"ITEM-1","issue":"9","issued":{"date-parts":[["2001"]]},"page":"2131-6","title":"Long-term survival and causes of death after stroke.","type":"article-journal","volume":"32"},"uris":["http://www.mendeley.com/documents/?uuid=3e56e2e9-bd1e-3c83-a43f-d4e094480ff3"]},{"id":"ITEM-2","itemData":{"abstract":"OBJECTIVE This study examined all-cause mortality in stroke patients with and without documented atrial fibrillation (AF), and the impact of CHADS(2) score. DESIGN A cohort of 105,074 patients, 31,821 (30.3%) with and 73,253 (69.7%) without documented AF, was studied. These patients were registered in the Swedish Stroke Registry during the years 2001-2005. Mortality data were retrieved from the Swedish Cause of Death Register. CHADS(2) score prior to stroke were assessed using the Swedish National Discharge Register. RESULTS The age and sex adjusted relative risk (RR) of death was 1.46 (1.43-1.49) for AF vs non-AF patients. High age (&gt;or=75 years) tripled the risk of death and was the single most important predictor, followed by congestive heart failure, previous stroke and diabetes. Less than half of the AF patients with a CHADS(2) score of 1-6 survived more than 5 years, whereas AF patients with a CHADS(2) score of 0 had a 73% chance of survival. In patients with AF, the relative risk of death was 6.05 (CI: 2.26-6.95); in subjects with the highest vs the lowest CHADS(2) score; the corresponding RR for non-AF patients was 7.93 (CI: 7.01-8.97). CONCLUSIONS The CHADS(2) score seems to have an impact on all-cause mortality after stroke. The CHADS(2) score can give valuable insight for other outcome variables apart from having had an ischemic stroke and can be applied to patients with different risk factor profiles, e.g. with a previous known cardiovascular disease but without known AF.","author":[{"dropping-particle":"","family":"Henriksson","given":"Karin M","non-dropping-particle":"","parse-names":false,"suffix":""},{"dropping-particle":"","family":"Farahmand","given":"Bahman","non-dropping-particle":"","parse-names":false,"suffix":""},{"dropping-particle":"","family":"Johansson","given":"Saga","non-dropping-particle":"","parse-names":false,"suffix":""},{"dropping-particle":"","family":"Asberg","given":"Signild","non-dropping-particle":"","parse-names":false,"suffix":""},{"dropping-particle":"","family":"Terént","given":"Andreas","non-dropping-particle":"","parse-names":false,"suffix":""},{"dropping-particle":"","family":"Edvardsson","given":"Nils","non-dropping-particle":"","parse-names":false,"suffix":""}],"container-title":"International journal of cardiology","id":"ITEM-2","issue":"1","issued":{"date-parts":[["2010"]]},"page":"18-23","title":"Survival after stroke--the impact of CHADS2 score and atrial fibrillation.","type":"article-journal","volume":"141"},"uris":["http://www.mendeley.com/documents/?uuid=d631709b-e71e-35c5-a367-0d36fc96eaab"]},{"id":"ITEM-3","itemData":{"abstract":"BACKGROUND The modified Rankin Scale (mRS) is gaining importance as a means to quantity disability following stroke, yet little is known about its usefulness as a determinant of the long-term outcome. METHODS The Athens Stroke Registry, which includes information on 1,816 first-ever stroke patients admitted to the Athens University Hospital from 1992 to 2004, was used to examine the crude and adjusted effect of the 3-month mRS score for long-term survival. The mean age was 70 years, 62% were males, and 84% had an ischemic stroke. RESULTS The mortality in the first 3 months exceeded 20%, but thereafter the survival declined much more slowly (approximately 4.5% per year). The patients with worse mRS scores had a significant excess risk of death; the effect persisted when controlling for coexistent cardiovascular problems (transient ischemic attack, claudication, heart failure and atrial fibrillation). CONCLUSIONS These findings underscore the importance of interventions aimed at improving disability following stroke.","author":[{"dropping-particle":"","family":"Huybrechts","given":"Krista F","non-dropping-particle":"","parse-names":false,"suffix":""},{"dropping-particle":"","family":"Caro","given":"J Jaime","non-dropping-particle":"","parse-names":false,"suffix":""},{"dropping-particle":"","family":"Xenakis","given":"James J","non-dropping-particle":"","parse-names":false,"suffix":""},{"dropping-particle":"","family":"Vemmos","given":"Konstantinos N","non-dropping-particle":"","parse-names":false,"suffix":""}],"container-title":"Cerebrovascular diseases (Basel, Switzerland)","id":"ITEM-3","issue":"4","issued":{"date-parts":[["2008"]]},"page":"381-7","title":"The prognostic value of the modified Rankin Scale score for long-term survival after first-ever stroke. Results from the Athens Stroke Registry.","type":"article-journal","volume":"26"},"uris":["http://www.mendeley.com/documents/?uuid=a117acff-1283-38f7-b17c-c973395447e7"]}],"mendeley":{"formattedCitation":"[17–19]","plainTextFormattedCitation":"[17–19]","previouslyFormattedCitation":"[17–19]"},"properties":{"noteIndex":0},"schema":"https://github.com/citation-style-language/schema/raw/master/csl-citation.json"}</w:instrText>
            </w:r>
            <w:r w:rsidRPr="00733BA4">
              <w:rPr>
                <w:i/>
                <w:sz w:val="16"/>
              </w:rPr>
              <w:fldChar w:fldCharType="separate"/>
            </w:r>
            <w:r w:rsidRPr="00E2156A">
              <w:rPr>
                <w:noProof/>
                <w:sz w:val="16"/>
              </w:rPr>
              <w:t>[17–19]</w:t>
            </w:r>
            <w:r w:rsidRPr="00733BA4">
              <w:rPr>
                <w:i/>
                <w:sz w:val="16"/>
              </w:rPr>
              <w:fldChar w:fldCharType="end"/>
            </w:r>
          </w:p>
        </w:tc>
      </w:tr>
      <w:tr w:rsidR="008E745B" w:rsidRPr="00733BA4" w:rsidTr="005B5147">
        <w:tc>
          <w:tcPr>
            <w:tcW w:w="1485" w:type="pct"/>
            <w:vAlign w:val="center"/>
          </w:tcPr>
          <w:p w:rsidR="008E745B" w:rsidRPr="00733BA4" w:rsidRDefault="008E745B" w:rsidP="005B5147">
            <w:pPr>
              <w:spacing w:line="276" w:lineRule="auto"/>
              <w:ind w:left="708"/>
              <w:jc w:val="right"/>
              <w:rPr>
                <w:sz w:val="16"/>
              </w:rPr>
            </w:pPr>
            <w:r w:rsidRPr="00733BA4">
              <w:rPr>
                <w:sz w:val="16"/>
              </w:rPr>
              <w:t>Severe</w:t>
            </w:r>
          </w:p>
        </w:tc>
        <w:tc>
          <w:tcPr>
            <w:tcW w:w="1485" w:type="pct"/>
            <w:vMerge/>
          </w:tcPr>
          <w:p w:rsidR="008E745B" w:rsidRPr="00733BA4" w:rsidRDefault="008E745B" w:rsidP="005B5147">
            <w:pPr>
              <w:spacing w:line="276" w:lineRule="auto"/>
              <w:jc w:val="center"/>
              <w:rPr>
                <w:sz w:val="16"/>
              </w:rPr>
            </w:pPr>
          </w:p>
        </w:tc>
        <w:tc>
          <w:tcPr>
            <w:tcW w:w="1485" w:type="pct"/>
          </w:tcPr>
          <w:p w:rsidR="008E745B" w:rsidRPr="00733BA4" w:rsidRDefault="008E745B" w:rsidP="005B5147">
            <w:pPr>
              <w:spacing w:line="276" w:lineRule="auto"/>
              <w:jc w:val="center"/>
              <w:rPr>
                <w:sz w:val="16"/>
              </w:rPr>
            </w:pPr>
            <w:r w:rsidRPr="00733BA4">
              <w:rPr>
                <w:sz w:val="16"/>
              </w:rPr>
              <w:t>15.75 (13.99-17.51)</w:t>
            </w:r>
          </w:p>
        </w:tc>
        <w:tc>
          <w:tcPr>
            <w:tcW w:w="545" w:type="pct"/>
          </w:tcPr>
          <w:p w:rsidR="008E745B" w:rsidRPr="00733BA4" w:rsidRDefault="008E745B" w:rsidP="005B5147">
            <w:pPr>
              <w:spacing w:line="276" w:lineRule="auto"/>
              <w:rPr>
                <w:i/>
                <w:sz w:val="16"/>
              </w:rPr>
            </w:pPr>
            <w:r w:rsidRPr="00733BA4">
              <w:rPr>
                <w:i/>
                <w:sz w:val="16"/>
              </w:rPr>
              <w:fldChar w:fldCharType="begin" w:fldLock="1"/>
            </w:r>
            <w:r>
              <w:rPr>
                <w:i/>
                <w:sz w:val="16"/>
              </w:rPr>
              <w:instrText>ADDIN CSL_CITATION {"citationItems":[{"id":"ITEM-1","itemData":{"abstract":"BACKGROUND AND PURPOSE As part of the Danish contribution to the World Health Organization (WHO) MONICA (Monitoring Trends and Determinants in Cardiovascular Disease) Project, a register of patients with stroke was established in 1982. The purpose of the present study was to analyze long-term survival and causes of death after a first stroke and to compare them with those of the background population. METHODS The study population comprised all subjects aged 25 years or older who were resident in a geographically defined region in Copenhagen County. All stroke events in the study population during 1982-1991 were ascertained and validated according to standardized criteria outlined for the WHO MONICA Project. After completion of the stroke registry at the end of 1991, all patients were followed up by record linkage to official registries. Standardized mortality ratios were calculated for various causes of death and periods after the stroke. RESULTS The estimated cumulative risks for death at 28 days, 1 year, and 5 years after onset were 28%, 41%, and 60%, respectively. Compared with the general population, nonfatal stroke was associated with an almost 5-fold increase in risk for death between 4 weeks and 1 year after a first stroke and a 2-fold increase in the risk for death subsequent to 1 year. The excess mortality rate in stroke patients was due mainly to cardiovascular diseases but also to cancer, other diseases, accidents, and suicide. The probability for long-term survival improved significantly during the observation period for patients with ischemic or ill-defined stroke. CONCLUSIONS Stroke is a medical emergency associated with a very high risk for death in the acute and subacute phases and with a continuous excess risk of death. Better prevention and management of strokes may improve the long-term survival rate.","author":[{"dropping-particle":"","family":"Brønnum-Hansen","given":"H","non-dropping-particle":"","parse-names":false,"suffix":""},{"dropping-particle":"","family":"Davidsen","given":"M","non-dropping-particle":"","parse-names":false,"suffix":""},{"dropping-particle":"","family":"Thorvaldsen","given":"P","non-dropping-particle":"","parse-names":false,"suffix":""},{"dropping-particle":"","family":"Danish MONICA Study Group","given":"","non-dropping-particle":"","parse-names":false,"suffix":""}],"container-title":"Stroke","id":"ITEM-1","issue":"9","issued":{"date-parts":[["2001"]]},"page":"2131-6","title":"Long-term survival and causes of death after stroke.","type":"article-journal","volume":"32"},"uris":["http://www.mendeley.com/documents/?uuid=3e56e2e9-bd1e-3c83-a43f-d4e094480ff3"]},{"id":"ITEM-2","itemData":{"abstract":"OBJECTIVE This study examined all-cause mortality in stroke patients with and without documented atrial fibrillation (AF), and the impact of CHADS(2) score. DESIGN A cohort of 105,074 patients, 31,821 (30.3%) with and 73,253 (69.7%) without documented AF, was studied. These patients were registered in the Swedish Stroke Registry during the years 2001-2005. Mortality data were retrieved from the Swedish Cause of Death Register. CHADS(2) score prior to stroke were assessed using the Swedish National Discharge Register. RESULTS The age and sex adjusted relative risk (RR) of death was 1.46 (1.43-1.49) for AF vs non-AF patients. High age (&gt;or=75 years) tripled the risk of death and was the single most important predictor, followed by congestive heart failure, previous stroke and diabetes. Less than half of the AF patients with a CHADS(2) score of 1-6 survived more than 5 years, whereas AF patients with a CHADS(2) score of 0 had a 73% chance of survival. In patients with AF, the relative risk of death was 6.05 (CI: 2.26-6.95); in subjects with the highest vs the lowest CHADS(2) score; the corresponding RR for non-AF patients was 7.93 (CI: 7.01-8.97). CONCLUSIONS The CHADS(2) score seems to have an impact on all-cause mortality after stroke. The CHADS(2) score can give valuable insight for other outcome variables apart from having had an ischemic stroke and can be applied to patients with different risk factor profiles, e.g. with a previous known cardiovascular disease but without known AF.","author":[{"dropping-particle":"","family":"Henriksson","given":"Karin M","non-dropping-particle":"","parse-names":false,"suffix":""},{"dropping-particle":"","family":"Farahmand","given":"Bahman","non-dropping-particle":"","parse-names":false,"suffix":""},{"dropping-particle":"","family":"Johansson","given":"Saga","non-dropping-particle":"","parse-names":false,"suffix":""},{"dropping-particle":"","family":"Asberg","given":"Signild","non-dropping-particle":"","parse-names":false,"suffix":""},{"dropping-particle":"","family":"Terént","given":"Andreas","non-dropping-particle":"","parse-names":false,"suffix":""},{"dropping-particle":"","family":"Edvardsson","given":"Nils","non-dropping-particle":"","parse-names":false,"suffix":""}],"container-title":"International journal of cardiology","id":"ITEM-2","issue":"1","issued":{"date-parts":[["2010"]]},"page":"18-23","title":"Survival after stroke--the impact of CHADS2 score and atrial fibrillation.","type":"article-journal","volume":"141"},"uris":["http://www.mendeley.com/documents/?uuid=d631709b-e71e-35c5-a367-0d36fc96eaab"]},{"id":"ITEM-3","itemData":{"abstract":"BACKGROUND The modified Rankin Scale (mRS) is gaining importance as a means to quantity disability following stroke, yet little is known about its usefulness as a determinant of the long-term outcome. METHODS The Athens Stroke Registry, which includes information on 1,816 first-ever stroke patients admitted to the Athens University Hospital from 1992 to 2004, was used to examine the crude and adjusted effect of the 3-month mRS score for long-term survival. The mean age was 70 years, 62% were males, and 84% had an ischemic stroke. RESULTS The mortality in the first 3 months exceeded 20%, but thereafter the survival declined much more slowly (approximately 4.5% per year). The patients with worse mRS scores had a significant excess risk of death; the effect persisted when controlling for coexistent cardiovascular problems (transient ischemic attack, claudication, heart failure and atrial fibrillation). CONCLUSIONS These findings underscore the importance of interventions aimed at improving disability following stroke.","author":[{"dropping-particle":"","family":"Huybrechts","given":"Krista F","non-dropping-particle":"","parse-names":false,"suffix":""},{"dropping-particle":"","family":"Caro","given":"J Jaime","non-dropping-particle":"","parse-names":false,"suffix":""},{"dropping-particle":"","family":"Xenakis","given":"James J","non-dropping-particle":"","parse-names":false,"suffix":""},{"dropping-particle":"","family":"Vemmos","given":"Konstantinos N","non-dropping-particle":"","parse-names":false,"suffix":""}],"container-title":"Cerebrovascular diseases (Basel, Switzerland)","id":"ITEM-3","issue":"4","issued":{"date-parts":[["2008"]]},"page":"381-7","title":"The prognostic value of the modified Rankin Scale score for long-term survival after first-ever stroke. Results from the Athens Stroke Registry.","type":"article-journal","volume":"26"},"uris":["http://www.mendeley.com/documents/?uuid=a117acff-1283-38f7-b17c-c973395447e7"]}],"mendeley":{"formattedCitation":"[17–19]","plainTextFormattedCitation":"[17–19]","previouslyFormattedCitation":"[17–19]"},"properties":{"noteIndex":0},"schema":"https://github.com/citation-style-language/schema/raw/master/csl-citation.json"}</w:instrText>
            </w:r>
            <w:r w:rsidRPr="00733BA4">
              <w:rPr>
                <w:i/>
                <w:sz w:val="16"/>
              </w:rPr>
              <w:fldChar w:fldCharType="separate"/>
            </w:r>
            <w:r w:rsidRPr="00E2156A">
              <w:rPr>
                <w:noProof/>
                <w:sz w:val="16"/>
              </w:rPr>
              <w:t>[17–19]</w:t>
            </w:r>
            <w:r w:rsidRPr="00733BA4">
              <w:rPr>
                <w:i/>
                <w:sz w:val="16"/>
              </w:rPr>
              <w:fldChar w:fldCharType="end"/>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Other ICH</w:t>
            </w:r>
          </w:p>
        </w:tc>
        <w:tc>
          <w:tcPr>
            <w:tcW w:w="1485" w:type="pct"/>
          </w:tcPr>
          <w:p w:rsidR="008E745B" w:rsidRPr="00733BA4" w:rsidRDefault="008E745B" w:rsidP="005B5147">
            <w:pPr>
              <w:spacing w:line="276" w:lineRule="auto"/>
              <w:jc w:val="center"/>
              <w:rPr>
                <w:sz w:val="16"/>
              </w:rPr>
            </w:pPr>
            <w:r w:rsidRPr="00733BA4">
              <w:rPr>
                <w:sz w:val="16"/>
              </w:rPr>
              <w:t>13 (5.9-22.3)</w:t>
            </w:r>
          </w:p>
        </w:tc>
        <w:tc>
          <w:tcPr>
            <w:tcW w:w="1485" w:type="pct"/>
          </w:tcPr>
          <w:p w:rsidR="008E745B" w:rsidRPr="00733BA4" w:rsidRDefault="008E745B" w:rsidP="005B5147">
            <w:pPr>
              <w:spacing w:line="276" w:lineRule="auto"/>
              <w:jc w:val="center"/>
              <w:rPr>
                <w:sz w:val="16"/>
                <w:vertAlign w:val="superscript"/>
              </w:rPr>
            </w:pPr>
            <w:r w:rsidRPr="00733BA4">
              <w:rPr>
                <w:sz w:val="16"/>
              </w:rPr>
              <w:t xml:space="preserve">1.34 (1.20-1.53) </w:t>
            </w:r>
            <w:r w:rsidRPr="00733BA4">
              <w:rPr>
                <w:sz w:val="16"/>
                <w:vertAlign w:val="superscript"/>
              </w:rPr>
              <w:t>b</w:t>
            </w:r>
          </w:p>
        </w:tc>
        <w:tc>
          <w:tcPr>
            <w:tcW w:w="545" w:type="pct"/>
          </w:tcPr>
          <w:p w:rsidR="008E745B" w:rsidRPr="00733BA4" w:rsidRDefault="008E745B" w:rsidP="005B5147">
            <w:pPr>
              <w:spacing w:line="276" w:lineRule="auto"/>
              <w:rPr>
                <w:sz w:val="16"/>
              </w:rPr>
            </w:pPr>
            <w:r w:rsidRPr="00733BA4">
              <w:rPr>
                <w:sz w:val="16"/>
              </w:rPr>
              <w:fldChar w:fldCharType="begin" w:fldLock="1"/>
            </w:r>
            <w:r>
              <w:rPr>
                <w:sz w:val="16"/>
              </w:rPr>
              <w:instrText>ADDIN CSL_CITATION {"citationItems":[{"id":"ITEM-1","itemData":{"abstract":"BACKGROUND Vitamin K antagonists have been shown to prevent stroke in patients with atrial fibrillation. However, many patients are not suitable candidates for or are unwilling to receive vitamin K antagonist therapy, and these patients have a high risk of stroke. Apixaban, a novel factor Xa inhibitor, may be an alternative treatment for such patients. METHODS In a double-blind study, we randomly assigned 5599 patients with atrial fibrillation who were at increased risk for stroke and for whom vitamin K antagonist therapy was unsuitable to receive apixaban (at a dose of 5 mg twice daily) or aspirin (81 to 324 mg per day), to determine whether apixaban was superior. The mean follow up period was 1.1 years. The primary outcome was the occurrence of stroke or systemic embolism. RESULTS Before enrollment, 40% of the patients had used a vitamin K antagonist. The data and safety monitoring board recommended early termination of the study because of a clear benefit in favor of apixaban. There were 51 primary outcome events (1.6% per year) among patients assigned to apixaban and 113 (3.7% per year) among those assigned to aspirin (hazard ratio with apixaban, 0.45; 95% confidence interval [CI], 0.32 to 0.62; P&lt;0.001). The rates of death were 3.5% per year in the apixaban group and 4.4% per year in the aspirin group (hazard ratio, 0.79; 95% CI, 0.62 to 1.02; P=0.07). There were 44 cases of major bleeding (1.4% per year) in the apixaban group and 39 (1.2% per year) in the aspirin group (hazard ratio with apixaban, 1.13; 95% CI, 0.74 to 1.75; P=0.57); there were 11 cases of intracranial bleeding with apixaban and 13 with aspirin. The risk of a first hospitalization for cardiovascular causes was reduced with apixaban as compared with aspirin (12.6% per year vs. 15.9% per year, P&lt;0.001). The treatment effects were consistent among important subgroups. CONCLUSIONS In patients with atrial fibrillation for whom vitamin K antagonist therapy was unsuitable, apixaban reduced the risk of stroke or systemic embolism without significantly increasing the risk of major bleeding or intracranial hemorrhage. (Funded by Bristol-Myers Squibb and Pfizer; ClinicalTrials.gov number, NCT00496769.).","author":[{"dropping-particle":"","family":"Connolly","given":"Stuart J.","non-dropping-particle":"","parse-names":false,"suffix":""},{"dropping-particle":"","family":"Eikelboom","given":"John","non-dropping-particle":"","parse-names":false,"suffix":""},{"dropping-particle":"","family":"Joyner","given":"Campbell","non-dropping-particle":"","parse-names":false,"suffix":""},{"dropping-particle":"","family":"Diener","given":"Hans-Christoph","non-dropping-particle":"","parse-names":false,"suffix":""},{"dropping-particle":"","family":"Hart","given":"Robert","non-dropping-particle":"","parse-names":false,"suffix":""},{"dropping-particle":"","family":"Golitsyn","given":"Sergey","non-dropping-particle":"","parse-names":false,"suffix":""},{"dropping-particle":"","family":"Flaker","given":"Greg","non-dropping-particle":"","parse-names":false,"suffix":""},{"dropping-particle":"","family":"Avezum","given":"Alvaro","non-dropping-particle":"","parse-names":false,"suffix":""},{"dropping-particle":"","family":"Hohnloser","given":"Stefan H.","non-dropping-particle":"","parse-names":false,"suffix":""},{"dropping-particle":"","family":"Diaz","given":"Rafael","non-dropping-particle":"","parse-names":false,"suffix":""},{"dropping-particle":"","family":"Talajic","given":"Mario","non-dropping-particle":"","parse-names":false,"suffix":""},{"dropping-particle":"","family":"Zhu","given":"Jun","non-dropping-particle":"","parse-names":false,"suffix":""},{"dropping-particle":"","family":"Pais","given":"Prem","non-dropping-particle":"","parse-names":false,"suffix":""},{"dropping-particle":"","family":"Budaj","given":"Andrzej","non-dropping-particle":"","parse-names":false,"suffix":""},{"dropping-particle":"","family":"Parkhomenko","given":"Alexander","non-dropping-particle":"","parse-names":false,"suffix":""},{"dropping-particle":"","family":"Jansky","given":"Petr","non-dropping-particle":"","parse-names":false,"suffix":""},{"dropping-particle":"","family":"Commerford","given":"Patrick","non-dropping-particle":"","parse-names":false,"suffix":""},{"dropping-particle":"","family":"Tan","given":"Ru San","non-dropping-particle":"","parse-names":false,"suffix":""},{"dropping-particle":"","family":"Sim","given":"Kui-Hian","non-dropping-particle":"","parse-names":false,"suffix":""},{"dropping-particle":"","family":"Lewis","given":"Basil S.","non-dropping-particle":"","parse-names":false,"suffix":""},{"dropping-particle":"","family":"Mieghem","given":"Walter","non-dropping-particle":"Van","parse-names":false,"suffix":""},{"dropping-particle":"","family":"Lip","given":"Gregory Y.H.","non-dropping-particle":"","parse-names":false,"suffix":""},{"dropping-particle":"","family":"Kim","given":"Jae Hyung","non-dropping-particle":"","parse-names":false,"suffix":""},{"dropping-particle":"","family":"Lanas-Zanetti","given":"Fernando","non-dropping-particle":"","parse-names":false,"suffix":""},{"dropping-particle":"","family":"Gonzalez-Hermosillo","given":"Antonio","non-dropping-particle":"","parse-names":false,"suffix":""},{"dropping-particle":"","family":"Dans","given":"Antonio L.","non-dropping-particle":"","parse-names":false,"suffix":""},{"dropping-particle":"","family":"Munawar","given":"Muhammad","non-dropping-particle":"","parse-names":false,"suffix":""},{"dropping-particle":"","family":"O'Donnell","given":"Martin","non-dropping-particle":"","parse-names":false,"suffix":""},{"dropping-particle":"","family":"Lawrence","given":"John","non-dropping-particle":"","parse-names":false,"suffix":""},{"dropping-particle":"","family":"Lewis","given":"Gayle","non-dropping-particle":"","parse-names":false,"suffix":""},{"dropping-particle":"","family":"Afzal","given":"Rizwan","non-dropping-particle":"","parse-names":false,"suffix":""},{"dropping-particle":"","family":"Yusuf","given":"Salim","non-dropping-particle":"","parse-names":false,"suffix":""},{"dropping-particle":"","family":"AVERROES Steering Committee and Investigators","given":"","non-dropping-particle":"","parse-names":false,"suffix":""}],"container-title":"New England Journal of Medicine","id":"ITEM-1","issue":"9","issued":{"date-parts":[["2011"]]},"page":"806-817","title":"Apixaban in Patients with Atrial Fibrillation","type":"article-journal","volume":"364"},"uris":["http://www.mendeley.com/documents/?uuid=c6892c76-0385-331d-9c78-f994a915c684"]},{"id":"ITEM-2","itemData":{"author":[{"dropping-particle":"","family":"Granger","given":"Christopher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Medicine","id":"ITEM-2","issue":"11","issued":{"date-parts":[["2011"]]},"page":"981-992","title":"Apixaban versus Warfarin in Patients with Atrial Fibrillation","type":"article-journal","volume":"365"},"uris":["http://www.mendeley.com/documents/?uuid=5feef068-d938-340f-8ae4-d657166e7e19"]}],"mendeley":{"formattedCitation":"[1,11]","plainTextFormattedCitation":"[1,11]","previouslyFormattedCitation":"[1,11]"},"properties":{"noteIndex":0},"schema":"https://github.com/citation-style-language/schema/raw/master/csl-citation.json"}</w:instrText>
            </w:r>
            <w:r w:rsidRPr="00733BA4">
              <w:rPr>
                <w:sz w:val="16"/>
              </w:rPr>
              <w:fldChar w:fldCharType="separate"/>
            </w:r>
            <w:r w:rsidRPr="00FE59A1">
              <w:rPr>
                <w:noProof/>
                <w:sz w:val="16"/>
              </w:rPr>
              <w:t>[1,11]</w:t>
            </w:r>
            <w:r w:rsidRPr="00733BA4">
              <w:rPr>
                <w:sz w:val="16"/>
              </w:rPr>
              <w:fldChar w:fldCharType="end"/>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Other MB</w:t>
            </w:r>
          </w:p>
        </w:tc>
        <w:tc>
          <w:tcPr>
            <w:tcW w:w="1485" w:type="pct"/>
          </w:tcPr>
          <w:p w:rsidR="008E745B" w:rsidRPr="00733BA4" w:rsidRDefault="008E745B" w:rsidP="005B5147">
            <w:pPr>
              <w:spacing w:line="276" w:lineRule="auto"/>
              <w:jc w:val="center"/>
              <w:rPr>
                <w:sz w:val="16"/>
              </w:rPr>
            </w:pPr>
            <w:r w:rsidRPr="00733BA4">
              <w:rPr>
                <w:sz w:val="16"/>
              </w:rPr>
              <w:t>2 (1.1-3.1)</w:t>
            </w:r>
          </w:p>
        </w:tc>
        <w:tc>
          <w:tcPr>
            <w:tcW w:w="1485" w:type="pct"/>
          </w:tcPr>
          <w:p w:rsidR="008E745B" w:rsidRPr="00733BA4" w:rsidRDefault="008E745B" w:rsidP="005B5147">
            <w:pPr>
              <w:spacing w:line="276" w:lineRule="auto"/>
              <w:jc w:val="center"/>
              <w:rPr>
                <w:sz w:val="16"/>
                <w:vertAlign w:val="superscript"/>
              </w:rPr>
            </w:pPr>
            <w:r w:rsidRPr="00733BA4">
              <w:rPr>
                <w:sz w:val="16"/>
              </w:rPr>
              <w:t xml:space="preserve">1.34 (1.20-1.53) </w:t>
            </w:r>
            <w:r w:rsidRPr="00733BA4">
              <w:rPr>
                <w:sz w:val="16"/>
                <w:vertAlign w:val="superscript"/>
              </w:rPr>
              <w:t>b</w:t>
            </w:r>
          </w:p>
        </w:tc>
        <w:tc>
          <w:tcPr>
            <w:tcW w:w="545" w:type="pct"/>
          </w:tcPr>
          <w:p w:rsidR="008E745B" w:rsidRPr="00733BA4" w:rsidRDefault="008E745B" w:rsidP="005B5147">
            <w:pPr>
              <w:spacing w:line="276" w:lineRule="auto"/>
              <w:rPr>
                <w:sz w:val="16"/>
              </w:rPr>
            </w:pPr>
            <w:r w:rsidRPr="00733BA4">
              <w:rPr>
                <w:sz w:val="16"/>
              </w:rPr>
              <w:fldChar w:fldCharType="begin" w:fldLock="1"/>
            </w:r>
            <w:r>
              <w:rPr>
                <w:sz w:val="16"/>
              </w:rPr>
              <w:instrText>ADDIN CSL_CITATION {"citationItems":[{"id":"ITEM-1","itemData":{"abstract":"BACKGROUND Vitamin K antagonists have been shown to prevent stroke in patients with atrial fibrillation. However, many patients are not suitable candidates for or are unwilling to receive vitamin K antagonist therapy, and these patients have a high risk of stroke. Apixaban, a novel factor Xa inhibitor, may be an alternative treatment for such patients. METHODS In a double-blind study, we randomly assigned 5599 patients with atrial fibrillation who were at increased risk for stroke and for whom vitamin K antagonist therapy was unsuitable to receive apixaban (at a dose of 5 mg twice daily) or aspirin (81 to 324 mg per day), to determine whether apixaban was superior. The mean follow up period was 1.1 years. The primary outcome was the occurrence of stroke or systemic embolism. RESULTS Before enrollment, 40% of the patients had used a vitamin K antagonist. The data and safety monitoring board recommended early termination of the study because of a clear benefit in favor of apixaban. There were 51 primary outcome events (1.6% per year) among patients assigned to apixaban and 113 (3.7% per year) among those assigned to aspirin (hazard ratio with apixaban, 0.45; 95% confidence interval [CI], 0.32 to 0.62; P&lt;0.001). The rates of death were 3.5% per year in the apixaban group and 4.4% per year in the aspirin group (hazard ratio, 0.79; 95% CI, 0.62 to 1.02; P=0.07). There were 44 cases of major bleeding (1.4% per year) in the apixaban group and 39 (1.2% per year) in the aspirin group (hazard ratio with apixaban, 1.13; 95% CI, 0.74 to 1.75; P=0.57); there were 11 cases of intracranial bleeding with apixaban and 13 with aspirin. The risk of a first hospitalization for cardiovascular causes was reduced with apixaban as compared with aspirin (12.6% per year vs. 15.9% per year, P&lt;0.001). The treatment effects were consistent among important subgroups. CONCLUSIONS In patients with atrial fibrillation for whom vitamin K antagonist therapy was unsuitable, apixaban reduced the risk of stroke or systemic embolism without significantly increasing the risk of major bleeding or intracranial hemorrhage. (Funded by Bristol-Myers Squibb and Pfizer; ClinicalTrials.gov number, NCT00496769.).","author":[{"dropping-particle":"","family":"Connolly","given":"Stuart J.","non-dropping-particle":"","parse-names":false,"suffix":""},{"dropping-particle":"","family":"Eikelboom","given":"John","non-dropping-particle":"","parse-names":false,"suffix":""},{"dropping-particle":"","family":"Joyner","given":"Campbell","non-dropping-particle":"","parse-names":false,"suffix":""},{"dropping-particle":"","family":"Diener","given":"Hans-Christoph","non-dropping-particle":"","parse-names":false,"suffix":""},{"dropping-particle":"","family":"Hart","given":"Robert","non-dropping-particle":"","parse-names":false,"suffix":""},{"dropping-particle":"","family":"Golitsyn","given":"Sergey","non-dropping-particle":"","parse-names":false,"suffix":""},{"dropping-particle":"","family":"Flaker","given":"Greg","non-dropping-particle":"","parse-names":false,"suffix":""},{"dropping-particle":"","family":"Avezum","given":"Alvaro","non-dropping-particle":"","parse-names":false,"suffix":""},{"dropping-particle":"","family":"Hohnloser","given":"Stefan H.","non-dropping-particle":"","parse-names":false,"suffix":""},{"dropping-particle":"","family":"Diaz","given":"Rafael","non-dropping-particle":"","parse-names":false,"suffix":""},{"dropping-particle":"","family":"Talajic","given":"Mario","non-dropping-particle":"","parse-names":false,"suffix":""},{"dropping-particle":"","family":"Zhu","given":"Jun","non-dropping-particle":"","parse-names":false,"suffix":""},{"dropping-particle":"","family":"Pais","given":"Prem","non-dropping-particle":"","parse-names":false,"suffix":""},{"dropping-particle":"","family":"Budaj","given":"Andrzej","non-dropping-particle":"","parse-names":false,"suffix":""},{"dropping-particle":"","family":"Parkhomenko","given":"Alexander","non-dropping-particle":"","parse-names":false,"suffix":""},{"dropping-particle":"","family":"Jansky","given":"Petr","non-dropping-particle":"","parse-names":false,"suffix":""},{"dropping-particle":"","family":"Commerford","given":"Patrick","non-dropping-particle":"","parse-names":false,"suffix":""},{"dropping-particle":"","family":"Tan","given":"Ru San","non-dropping-particle":"","parse-names":false,"suffix":""},{"dropping-particle":"","family":"Sim","given":"Kui-Hian","non-dropping-particle":"","parse-names":false,"suffix":""},{"dropping-particle":"","family":"Lewis","given":"Basil S.","non-dropping-particle":"","parse-names":false,"suffix":""},{"dropping-particle":"","family":"Mieghem","given":"Walter","non-dropping-particle":"Van","parse-names":false,"suffix":""},{"dropping-particle":"","family":"Lip","given":"Gregory Y.H.","non-dropping-particle":"","parse-names":false,"suffix":""},{"dropping-particle":"","family":"Kim","given":"Jae Hyung","non-dropping-particle":"","parse-names":false,"suffix":""},{"dropping-particle":"","family":"Lanas-Zanetti","given":"Fernando","non-dropping-particle":"","parse-names":false,"suffix":""},{"dropping-particle":"","family":"Gonzalez-Hermosillo","given":"Antonio","non-dropping-particle":"","parse-names":false,"suffix":""},{"dropping-particle":"","family":"Dans","given":"Antonio L.","non-dropping-particle":"","parse-names":false,"suffix":""},{"dropping-particle":"","family":"Munawar","given":"Muhammad","non-dropping-particle":"","parse-names":false,"suffix":""},{"dropping-particle":"","family":"O'Donnell","given":"Martin","non-dropping-particle":"","parse-names":false,"suffix":""},{"dropping-particle":"","family":"Lawrence","given":"John","non-dropping-particle":"","parse-names":false,"suffix":""},{"dropping-particle":"","family":"Lewis","given":"Gayle","non-dropping-particle":"","parse-names":false,"suffix":""},{"dropping-particle":"","family":"Afzal","given":"Rizwan","non-dropping-particle":"","parse-names":false,"suffix":""},{"dropping-particle":"","family":"Yusuf","given":"Salim","non-dropping-particle":"","parse-names":false,"suffix":""},{"dropping-particle":"","family":"AVERROES Steering Committee and Investigators","given":"","non-dropping-particle":"","parse-names":false,"suffix":""}],"container-title":"New England Journal of Medicine","id":"ITEM-1","issue":"9","issued":{"date-parts":[["2011"]]},"page":"806-817","title":"Apixaban in Patients with Atrial Fibrillation","type":"article-journal","volume":"364"},"uris":["http://www.mendeley.com/documents/?uuid=c6892c76-0385-331d-9c78-f994a915c684"]},{"id":"ITEM-2","itemData":{"author":[{"dropping-particle":"","family":"Granger","given":"Christopher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Medicine","id":"ITEM-2","issue":"11","issued":{"date-parts":[["2011"]]},"page":"981-992","title":"Apixaban versus Warfarin in Patients with Atrial Fibrillation","type":"article-journal","volume":"365"},"uris":["http://www.mendeley.com/documents/?uuid=5feef068-d938-340f-8ae4-d657166e7e19"]}],"mendeley":{"formattedCitation":"[1,11]","plainTextFormattedCitation":"[1,11]","previouslyFormattedCitation":"[1,11]"},"properties":{"noteIndex":0},"schema":"https://github.com/citation-style-language/schema/raw/master/csl-citation.json"}</w:instrText>
            </w:r>
            <w:r w:rsidRPr="00733BA4">
              <w:rPr>
                <w:sz w:val="16"/>
              </w:rPr>
              <w:fldChar w:fldCharType="separate"/>
            </w:r>
            <w:r w:rsidRPr="00FE59A1">
              <w:rPr>
                <w:noProof/>
                <w:sz w:val="16"/>
              </w:rPr>
              <w:t>[1,11]</w:t>
            </w:r>
            <w:r w:rsidRPr="00733BA4">
              <w:rPr>
                <w:sz w:val="16"/>
              </w:rPr>
              <w:fldChar w:fldCharType="end"/>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 xml:space="preserve">MI </w:t>
            </w:r>
          </w:p>
        </w:tc>
        <w:tc>
          <w:tcPr>
            <w:tcW w:w="1485" w:type="pct"/>
          </w:tcPr>
          <w:p w:rsidR="008E745B" w:rsidRPr="00733BA4" w:rsidRDefault="008E745B" w:rsidP="005B5147">
            <w:pPr>
              <w:spacing w:line="276" w:lineRule="auto"/>
              <w:jc w:val="center"/>
              <w:rPr>
                <w:sz w:val="16"/>
              </w:rPr>
            </w:pPr>
          </w:p>
        </w:tc>
        <w:tc>
          <w:tcPr>
            <w:tcW w:w="1485" w:type="pct"/>
          </w:tcPr>
          <w:p w:rsidR="008E745B" w:rsidRPr="00733BA4" w:rsidRDefault="008E745B" w:rsidP="005B5147">
            <w:pPr>
              <w:spacing w:line="276" w:lineRule="auto"/>
              <w:jc w:val="center"/>
              <w:rPr>
                <w:sz w:val="16"/>
              </w:rPr>
            </w:pPr>
          </w:p>
        </w:tc>
        <w:tc>
          <w:tcPr>
            <w:tcW w:w="545" w:type="pct"/>
          </w:tcPr>
          <w:p w:rsidR="008E745B" w:rsidRPr="00733BA4" w:rsidRDefault="008E745B" w:rsidP="005B5147">
            <w:pPr>
              <w:spacing w:line="276" w:lineRule="auto"/>
              <w:rPr>
                <w:i/>
                <w:sz w:val="16"/>
              </w:rPr>
            </w:pPr>
          </w:p>
        </w:tc>
      </w:tr>
      <w:tr w:rsidR="008E745B" w:rsidRPr="00733BA4" w:rsidTr="005B5147">
        <w:tc>
          <w:tcPr>
            <w:tcW w:w="1485" w:type="pct"/>
          </w:tcPr>
          <w:p w:rsidR="008E745B" w:rsidRPr="00733BA4" w:rsidRDefault="008E745B" w:rsidP="005B5147">
            <w:pPr>
              <w:spacing w:line="276" w:lineRule="auto"/>
              <w:jc w:val="right"/>
              <w:rPr>
                <w:sz w:val="16"/>
              </w:rPr>
            </w:pPr>
            <w:r w:rsidRPr="00733BA4">
              <w:rPr>
                <w:sz w:val="16"/>
              </w:rPr>
              <w:t>Males</w:t>
            </w:r>
          </w:p>
        </w:tc>
        <w:tc>
          <w:tcPr>
            <w:tcW w:w="1485" w:type="pct"/>
          </w:tcPr>
          <w:p w:rsidR="008E745B" w:rsidRPr="00733BA4" w:rsidRDefault="008E745B" w:rsidP="005B5147">
            <w:pPr>
              <w:spacing w:line="276" w:lineRule="auto"/>
              <w:jc w:val="center"/>
              <w:rPr>
                <w:sz w:val="16"/>
              </w:rPr>
            </w:pPr>
            <w:r w:rsidRPr="00733BA4">
              <w:rPr>
                <w:sz w:val="16"/>
              </w:rPr>
              <w:t>10.8 (6.1-16.6)</w:t>
            </w:r>
          </w:p>
        </w:tc>
        <w:tc>
          <w:tcPr>
            <w:tcW w:w="1485" w:type="pct"/>
          </w:tcPr>
          <w:p w:rsidR="008E745B" w:rsidRPr="00733BA4" w:rsidRDefault="008E745B" w:rsidP="005B5147">
            <w:pPr>
              <w:spacing w:line="276" w:lineRule="auto"/>
              <w:jc w:val="center"/>
              <w:rPr>
                <w:sz w:val="16"/>
              </w:rPr>
            </w:pPr>
            <w:r w:rsidRPr="00733BA4">
              <w:rPr>
                <w:sz w:val="16"/>
              </w:rPr>
              <w:t>2.56 (2.27-2.88)</w:t>
            </w:r>
          </w:p>
        </w:tc>
        <w:tc>
          <w:tcPr>
            <w:tcW w:w="545" w:type="pct"/>
          </w:tcPr>
          <w:p w:rsidR="008E745B" w:rsidRPr="00733BA4" w:rsidRDefault="008E745B" w:rsidP="005B5147">
            <w:pPr>
              <w:spacing w:line="276" w:lineRule="auto"/>
              <w:rPr>
                <w:i/>
                <w:sz w:val="16"/>
              </w:rPr>
            </w:pPr>
            <w:r w:rsidRPr="00733BA4">
              <w:rPr>
                <w:i/>
                <w:sz w:val="16"/>
              </w:rPr>
              <w:fldChar w:fldCharType="begin" w:fldLock="1"/>
            </w:r>
            <w:r>
              <w:rPr>
                <w:i/>
                <w:sz w:val="16"/>
              </w:rPr>
              <w:instrText>ADDIN CSL_CITATION {"citationItems":[{"id":"ITEM-1","itemData":{"abstract":"As part of the Danish WHO MONICA study, a register of patients with myocardial infarction was established in 1982, covering 11 municipalities in the western part of Copenhagen County, Denmark. During the period 1982-91, all cases of myocardial infarction among citizens aged 25-74 years were registered and validated according to the criteria set up for the WHO MONICA project. Short-term (28 days) and long-term (up to 15 years) survival in three periods were compared. The rate of mortality after a non-fatal myocardial infarction was compared with that of the general population, and causes of death were analyzed. Short-term survival did not change during the study period, whereas long-term survival improved for men but did not change for women. The excess mortality rate among female patients over that of the general population was due to ischemic heart disease, other cardiovascular diseases, cancer and other diseases. The excess mortality among male patients was due only to cardiovascular diseases.","author":[{"dropping-particle":"","family":"Brønnum-Hansen","given":"H","non-dropping-particle":"","parse-names":false,"suffix":""},{"dropping-particle":"","family":"Jørgensen","given":"T","non-dropping-particle":"","parse-names":false,"suffix":""},{"dropping-particle":"","family":"Davidsen","given":"M","non-dropping-particle":"","parse-names":false,"suffix":""},{"dropping-particle":"","family":"Madsen","given":"M","non-dropping-particle":"","parse-names":false,"suffix":""},{"dropping-particle":"","family":"Osler","given":"M","non-dropping-particle":"","parse-names":false,"suffix":""},{"dropping-particle":"","family":"Gerdes","given":"L U","non-dropping-particle":"","parse-names":false,"suffix":""},{"dropping-particle":"","family":"Schroll","given":"M","non-dropping-particle":"","parse-names":false,"suffix":""}],"container-title":"Journal of clinical epidemiology","id":"ITEM-1","issue":"12","issued":{"date-parts":[["2001"]]},"page":"1244-50","title":"Survival and cause of death after myocardial infarction: the Danish MONICA study.","type":"article-journal","volume":"54"},"uris":["http://www.mendeley.com/documents/?uuid=4c9fe02a-20c7-32e2-a27f-02cc9eabe03d"]}],"mendeley":{"formattedCitation":"[20]","plainTextFormattedCitation":"[20]","previouslyFormattedCitation":"[20]"},"properties":{"noteIndex":0},"schema":"https://github.com/citation-style-language/schema/raw/master/csl-citation.json"}</w:instrText>
            </w:r>
            <w:r w:rsidRPr="00733BA4">
              <w:rPr>
                <w:i/>
                <w:sz w:val="16"/>
              </w:rPr>
              <w:fldChar w:fldCharType="separate"/>
            </w:r>
            <w:r w:rsidRPr="00E2156A">
              <w:rPr>
                <w:noProof/>
                <w:sz w:val="16"/>
              </w:rPr>
              <w:t>[20]</w:t>
            </w:r>
            <w:r w:rsidRPr="00733BA4">
              <w:rPr>
                <w:i/>
                <w:sz w:val="16"/>
              </w:rPr>
              <w:fldChar w:fldCharType="end"/>
            </w:r>
          </w:p>
        </w:tc>
      </w:tr>
      <w:tr w:rsidR="008E745B" w:rsidRPr="00733BA4" w:rsidTr="005B5147">
        <w:tc>
          <w:tcPr>
            <w:tcW w:w="1485" w:type="pct"/>
          </w:tcPr>
          <w:p w:rsidR="008E745B" w:rsidRPr="00733BA4" w:rsidRDefault="008E745B" w:rsidP="005B5147">
            <w:pPr>
              <w:spacing w:line="276" w:lineRule="auto"/>
              <w:jc w:val="right"/>
              <w:rPr>
                <w:sz w:val="16"/>
              </w:rPr>
            </w:pPr>
            <w:r w:rsidRPr="00733BA4">
              <w:rPr>
                <w:sz w:val="16"/>
              </w:rPr>
              <w:t>Females</w:t>
            </w:r>
          </w:p>
        </w:tc>
        <w:tc>
          <w:tcPr>
            <w:tcW w:w="1485" w:type="pct"/>
          </w:tcPr>
          <w:p w:rsidR="008E745B" w:rsidRPr="00733BA4" w:rsidRDefault="008E745B" w:rsidP="005B5147">
            <w:pPr>
              <w:spacing w:line="276" w:lineRule="auto"/>
              <w:jc w:val="center"/>
              <w:rPr>
                <w:sz w:val="16"/>
              </w:rPr>
            </w:pPr>
            <w:r w:rsidRPr="00733BA4">
              <w:rPr>
                <w:sz w:val="16"/>
              </w:rPr>
              <w:t>15.6 (8.8-24.0)</w:t>
            </w:r>
          </w:p>
        </w:tc>
        <w:tc>
          <w:tcPr>
            <w:tcW w:w="1485" w:type="pct"/>
          </w:tcPr>
          <w:p w:rsidR="008E745B" w:rsidRPr="00733BA4" w:rsidRDefault="008E745B" w:rsidP="005B5147">
            <w:pPr>
              <w:spacing w:line="276" w:lineRule="auto"/>
              <w:jc w:val="center"/>
              <w:rPr>
                <w:sz w:val="16"/>
              </w:rPr>
            </w:pPr>
            <w:r w:rsidRPr="00733BA4">
              <w:rPr>
                <w:sz w:val="16"/>
              </w:rPr>
              <w:t>4.16 (3.44-5.03)</w:t>
            </w:r>
          </w:p>
        </w:tc>
        <w:tc>
          <w:tcPr>
            <w:tcW w:w="545" w:type="pct"/>
          </w:tcPr>
          <w:p w:rsidR="008E745B" w:rsidRPr="00733BA4" w:rsidRDefault="008E745B" w:rsidP="005B5147">
            <w:pPr>
              <w:spacing w:line="276" w:lineRule="auto"/>
              <w:rPr>
                <w:i/>
                <w:sz w:val="16"/>
              </w:rPr>
            </w:pPr>
            <w:r w:rsidRPr="00733BA4">
              <w:rPr>
                <w:i/>
                <w:sz w:val="16"/>
              </w:rPr>
              <w:fldChar w:fldCharType="begin" w:fldLock="1"/>
            </w:r>
            <w:r>
              <w:rPr>
                <w:i/>
                <w:sz w:val="16"/>
              </w:rPr>
              <w:instrText>ADDIN CSL_CITATION {"citationItems":[{"id":"ITEM-1","itemData":{"abstract":"As part of the Danish WHO MONICA study, a register of patients with myocardial infarction was established in 1982, covering 11 municipalities in the western part of Copenhagen County, Denmark. During the period 1982-91, all cases of myocardial infarction among citizens aged 25-74 years were registered and validated according to the criteria set up for the WHO MONICA project. Short-term (28 days) and long-term (up to 15 years) survival in three periods were compared. The rate of mortality after a non-fatal myocardial infarction was compared with that of the general population, and causes of death were analyzed. Short-term survival did not change during the study period, whereas long-term survival improved for men but did not change for women. The excess mortality rate among female patients over that of the general population was due to ischemic heart disease, other cardiovascular diseases, cancer and other diseases. The excess mortality among male patients was due only to cardiovascular diseases.","author":[{"dropping-particle":"","family":"Brønnum-Hansen","given":"H","non-dropping-particle":"","parse-names":false,"suffix":""},{"dropping-particle":"","family":"Jørgensen","given":"T","non-dropping-particle":"","parse-names":false,"suffix":""},{"dropping-particle":"","family":"Davidsen","given":"M","non-dropping-particle":"","parse-names":false,"suffix":""},{"dropping-particle":"","family":"Madsen","given":"M","non-dropping-particle":"","parse-names":false,"suffix":""},{"dropping-particle":"","family":"Osler","given":"M","non-dropping-particle":"","parse-names":false,"suffix":""},{"dropping-particle":"","family":"Gerdes","given":"L U","non-dropping-particle":"","parse-names":false,"suffix":""},{"dropping-particle":"","family":"Schroll","given":"M","non-dropping-particle":"","parse-names":false,"suffix":""}],"container-title":"Journal of clinical epidemiology","id":"ITEM-1","issue":"12","issued":{"date-parts":[["2001"]]},"page":"1244-50","title":"Survival and cause of death after myocardial infarction: the Danish MONICA study.","type":"article-journal","volume":"54"},"uris":["http://www.mendeley.com/documents/?uuid=4c9fe02a-20c7-32e2-a27f-02cc9eabe03d"]}],"mendeley":{"formattedCitation":"[20]","plainTextFormattedCitation":"[20]","previouslyFormattedCitation":"[20]"},"properties":{"noteIndex":0},"schema":"https://github.com/citation-style-language/schema/raw/master/csl-citation.json"}</w:instrText>
            </w:r>
            <w:r w:rsidRPr="00733BA4">
              <w:rPr>
                <w:i/>
                <w:sz w:val="16"/>
              </w:rPr>
              <w:fldChar w:fldCharType="separate"/>
            </w:r>
            <w:r w:rsidRPr="00E2156A">
              <w:rPr>
                <w:noProof/>
                <w:sz w:val="16"/>
              </w:rPr>
              <w:t>[20]</w:t>
            </w:r>
            <w:r w:rsidRPr="00733BA4">
              <w:rPr>
                <w:i/>
                <w:sz w:val="16"/>
              </w:rPr>
              <w:fldChar w:fldCharType="end"/>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SE</w:t>
            </w:r>
          </w:p>
        </w:tc>
        <w:tc>
          <w:tcPr>
            <w:tcW w:w="1485" w:type="pct"/>
          </w:tcPr>
          <w:p w:rsidR="008E745B" w:rsidRPr="00733BA4" w:rsidRDefault="008E745B" w:rsidP="005B5147">
            <w:pPr>
              <w:spacing w:line="276" w:lineRule="auto"/>
              <w:jc w:val="center"/>
              <w:rPr>
                <w:sz w:val="16"/>
              </w:rPr>
            </w:pPr>
            <w:r w:rsidRPr="00733BA4">
              <w:rPr>
                <w:sz w:val="16"/>
              </w:rPr>
              <w:t>9.4 (2.0-21.4)</w:t>
            </w:r>
          </w:p>
        </w:tc>
        <w:tc>
          <w:tcPr>
            <w:tcW w:w="1485" w:type="pct"/>
          </w:tcPr>
          <w:p w:rsidR="008E745B" w:rsidRPr="00733BA4" w:rsidRDefault="008E745B" w:rsidP="005B5147">
            <w:pPr>
              <w:spacing w:line="276" w:lineRule="auto"/>
              <w:jc w:val="center"/>
              <w:rPr>
                <w:sz w:val="16"/>
              </w:rPr>
            </w:pPr>
            <w:r w:rsidRPr="00733BA4">
              <w:rPr>
                <w:sz w:val="16"/>
              </w:rPr>
              <w:t xml:space="preserve">1.34 (1.20-1.53) </w:t>
            </w:r>
            <w:r w:rsidRPr="00733BA4">
              <w:rPr>
                <w:sz w:val="16"/>
                <w:vertAlign w:val="superscript"/>
              </w:rPr>
              <w:t>b</w:t>
            </w:r>
          </w:p>
        </w:tc>
        <w:tc>
          <w:tcPr>
            <w:tcW w:w="545" w:type="pct"/>
          </w:tcPr>
          <w:p w:rsidR="008E745B" w:rsidRPr="00733BA4" w:rsidRDefault="008E745B" w:rsidP="005B5147">
            <w:pPr>
              <w:keepNext/>
              <w:spacing w:line="276" w:lineRule="auto"/>
              <w:rPr>
                <w:i/>
                <w:sz w:val="16"/>
              </w:rPr>
            </w:pPr>
            <w:r w:rsidRPr="00733BA4">
              <w:rPr>
                <w:i/>
                <w:sz w:val="16"/>
              </w:rPr>
              <w:fldChar w:fldCharType="begin" w:fldLock="1"/>
            </w:r>
            <w:r>
              <w:rPr>
                <w:i/>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Fibrillation","type":"article-journal","volume":"365"},"uris":["http://www.mendeley.com/documents/?uuid=5feef068-d938-340f-8ae4-d657166e7e19"]},{"id":"ITEM-2","itemData":{"abstract":"AIMS Whether paroxysmal atrial fibrillation (PxAF) affects survival is poorly recognized. Results have been conflicting in the few previously published studies. To describe mortality in patients with PxAF and to identify risk factors amenable to treatment. METHODS AND RESULTS All patients (n=2824) treated for atrial fibrillation during 2002 at one of Scandinavia's largest hospitals were followed prospectively for a mean of 4.6 years. Information about type of AF, comorbidity, and medication was acquired from medical records and national registers. Information about deaths was obtained from the National Cause of Death Register. One-third (n=888) of the patients had PxAF (mean age 73 years). During follow-up, 267 of them died. The mean annual mortality rate was 7%. Compared with the general population, the standardized mortality ratio (SMR) was 1.6 (95% CI 1.4-1.8) for all-cause mortality, 2.4 (95% CI 1.4-3.7) for death from myocardial infarction, and 2.6 (95% CI 1.3-5.2) for death from heart failure. Warfarin treatment was associated with improved survival both in comparison with the general population (SMR 1.1 with warfarin, SMR 2.2 without warfarin) and after propensity score matching for odds to receive warfarin (HR 0.5, 95% CI 0.3-0.9). The improvement of survival could not be explained by stroke reduction alone. CONCLUSION PxAF is associated with increased mortality, which mostly appears to be related to concomitant cardiovascular risks. Treatment with warfarin is associated with improved survival in PxAF patients.","author":[{"dropping-particle":"","family":"Friberg","given":"L.","non-dropping-particle":"","parse-names":false,"suffix":""},{"dropping-particle":"","family":"Hammar","given":"N.","non-dropping-particle":"","parse-names":false,"suffix":""},{"dropping-particle":"","family":"Pettersson","given":"H.","non-dropping-particle":"","parse-names":false,"suffix":""},{"dropping-particle":"","family":"Rosenqvist","given":"M.","non-dropping-particle":"","parse-names":false,"suffix":""}],"container-title":"European Heart Journal","id":"ITEM-2","issue":"19","issued":{"date-parts":[["2007"]]},"page":"2346-2353","title":"Increased mortality in paroxysmal atrial fibrillation: report from the Stockholm Cohort-Study of Atrial Fibrillation (SCAF)","type":"article-journal","volume":"28"},"uris":["http://www.mendeley.com/documents/?uuid=9125b829-7b26-3f19-bf06-0b508ef50496"]}],"mendeley":{"formattedCitation":"[1,16]","plainTextFormattedCitation":"[1,16]","previouslyFormattedCitation":"[1,16]"},"properties":{"noteIndex":0},"schema":"https://github.com/citation-style-language/schema/raw/master/csl-citation.json"}</w:instrText>
            </w:r>
            <w:r w:rsidRPr="00733BA4">
              <w:rPr>
                <w:i/>
                <w:sz w:val="16"/>
              </w:rPr>
              <w:fldChar w:fldCharType="separate"/>
            </w:r>
            <w:r w:rsidRPr="00E2156A">
              <w:rPr>
                <w:noProof/>
                <w:sz w:val="16"/>
              </w:rPr>
              <w:t>[1,16]</w:t>
            </w:r>
            <w:r w:rsidRPr="00733BA4">
              <w:rPr>
                <w:i/>
                <w:sz w:val="16"/>
              </w:rPr>
              <w:fldChar w:fldCharType="end"/>
            </w:r>
          </w:p>
        </w:tc>
      </w:tr>
      <w:tr w:rsidR="008E745B" w:rsidRPr="00733BA4" w:rsidTr="005B5147">
        <w:tc>
          <w:tcPr>
            <w:tcW w:w="1485" w:type="pct"/>
          </w:tcPr>
          <w:p w:rsidR="008E745B" w:rsidRPr="00733BA4" w:rsidRDefault="008E745B" w:rsidP="005B5147">
            <w:pPr>
              <w:spacing w:line="276" w:lineRule="auto"/>
              <w:rPr>
                <w:sz w:val="16"/>
              </w:rPr>
            </w:pPr>
            <w:r w:rsidRPr="00733BA4">
              <w:rPr>
                <w:sz w:val="16"/>
              </w:rPr>
              <w:t>CRNMB</w:t>
            </w:r>
          </w:p>
        </w:tc>
        <w:tc>
          <w:tcPr>
            <w:tcW w:w="1485" w:type="pct"/>
          </w:tcPr>
          <w:p w:rsidR="008E745B" w:rsidRPr="00733BA4" w:rsidRDefault="008E745B" w:rsidP="005B5147">
            <w:pPr>
              <w:spacing w:line="276" w:lineRule="auto"/>
              <w:jc w:val="center"/>
              <w:rPr>
                <w:sz w:val="16"/>
              </w:rPr>
            </w:pPr>
            <w:r w:rsidRPr="00733BA4">
              <w:rPr>
                <w:sz w:val="16"/>
              </w:rPr>
              <w:t>-</w:t>
            </w:r>
          </w:p>
        </w:tc>
        <w:tc>
          <w:tcPr>
            <w:tcW w:w="1485" w:type="pct"/>
          </w:tcPr>
          <w:p w:rsidR="008E745B" w:rsidRPr="00733BA4" w:rsidRDefault="008E745B" w:rsidP="005B5147">
            <w:pPr>
              <w:spacing w:line="276" w:lineRule="auto"/>
              <w:jc w:val="center"/>
              <w:rPr>
                <w:sz w:val="16"/>
                <w:vertAlign w:val="superscript"/>
              </w:rPr>
            </w:pPr>
            <w:r w:rsidRPr="00733BA4">
              <w:rPr>
                <w:sz w:val="16"/>
              </w:rPr>
              <w:t xml:space="preserve">1.34 (1.20-1.53) </w:t>
            </w:r>
            <w:r w:rsidRPr="00733BA4">
              <w:rPr>
                <w:sz w:val="16"/>
                <w:vertAlign w:val="superscript"/>
              </w:rPr>
              <w:t>b</w:t>
            </w:r>
          </w:p>
        </w:tc>
        <w:tc>
          <w:tcPr>
            <w:tcW w:w="545" w:type="pct"/>
          </w:tcPr>
          <w:p w:rsidR="008E745B" w:rsidRPr="00733BA4" w:rsidRDefault="008E745B" w:rsidP="005B5147">
            <w:pPr>
              <w:keepNext/>
              <w:spacing w:line="276" w:lineRule="auto"/>
              <w:rPr>
                <w:sz w:val="16"/>
              </w:rPr>
            </w:pPr>
            <w:r>
              <w:rPr>
                <w:sz w:val="16"/>
              </w:rPr>
              <w:fldChar w:fldCharType="begin" w:fldLock="1"/>
            </w:r>
            <w:r>
              <w:rPr>
                <w:sz w:val="16"/>
              </w:rPr>
              <w:instrText>ADDIN CSL_CITATION {"citationItems":[{"id":"ITEM-1","itemData":{"abstract":"AIMS Whether paroxysmal atrial fibrillation (PxAF) affects survival is poorly recognized. Results have been conflicting in the few previously published studies. To describe mortality in patients with PxAF and to identify risk factors amenable to treatment. METHODS AND RESULTS All patients (n=2824) treated for atrial fibrillation during 2002 at one of Scandinavia's largest hospitals were followed prospectively for a mean of 4.6 years. Information about type of AF, comorbidity, and medication was acquired from medical records and national registers. Information about deaths was obtained from the National Cause of Death Register. One-third (n=888) of the patients had PxAF (mean age 73 years). During follow-up, 267 of them died. The mean annual mortality rate was 7%. Compared with the general population, the standardized mortality ratio (SMR) was 1.6 (95% CI 1.4-1.8) for all-cause mortality, 2.4 (95% CI 1.4-3.7) for death from myocardial infarction, and 2.6 (95% CI 1.3-5.2) for death from heart failure. Warfarin treatment was associated with improved survival both in comparison with the general population (SMR 1.1 with warfarin, SMR 2.2 without warfarin) and after propensity score matching for odds to receive warfarin (HR 0.5, 95% CI 0.3-0.9). The improvement of survival could not be explained by stroke reduction alone. CONCLUSION PxAF is associated with increased mortality, which mostly appears to be related to concomitant cardiovascular risks. Treatment with warfarin is associated with improved survival in PxAF patients.","author":[{"dropping-particle":"","family":"Friberg","given":"L.","non-dropping-particle":"","parse-names":false,"suffix":""},{"dropping-particle":"","family":"Hammar","given":"N.","non-dropping-particle":"","parse-names":false,"suffix":""},{"dropping-particle":"","family":"Pettersson","given":"H.","non-dropping-particle":"","parse-names":false,"suffix":""},{"dropping-particle":"","family":"Rosenqvist","given":"M.","non-dropping-particle":"","parse-names":false,"suffix":""}],"container-title":"European Heart Journal","id":"ITEM-1","issue":"19","issued":{"date-parts":[["2007"]]},"page":"2346-2353","title":"Increased mortality in paroxysmal atrial fibrillation: report from the Stockholm Cohort-Study of Atrial Fibrillation (SCAF)","type":"article-journal","volume":"28"},"uris":["http://www.mendeley.com/documents/?uuid=9125b829-7b26-3f19-bf06-0b508ef50496"]}],"mendeley":{"formattedCitation":"[16]","plainTextFormattedCitation":"[16]","previouslyFormattedCitation":"[16]"},"properties":{"noteIndex":0},"schema":"https://github.com/citation-style-language/schema/raw/master/csl-citation.json"}</w:instrText>
            </w:r>
            <w:r>
              <w:rPr>
                <w:sz w:val="16"/>
              </w:rPr>
              <w:fldChar w:fldCharType="separate"/>
            </w:r>
            <w:r w:rsidRPr="00E2156A">
              <w:rPr>
                <w:noProof/>
                <w:sz w:val="16"/>
              </w:rPr>
              <w:t>[16]</w:t>
            </w:r>
            <w:r>
              <w:rPr>
                <w:sz w:val="16"/>
              </w:rPr>
              <w:fldChar w:fldCharType="end"/>
            </w:r>
          </w:p>
        </w:tc>
      </w:tr>
    </w:tbl>
    <w:p w:rsidR="008E745B" w:rsidRPr="0053447C" w:rsidRDefault="008E745B" w:rsidP="008E745B">
      <w:pPr>
        <w:spacing w:after="0" w:line="276" w:lineRule="auto"/>
        <w:jc w:val="both"/>
        <w:rPr>
          <w:iCs/>
          <w:color w:val="44546A" w:themeColor="text2"/>
          <w:sz w:val="18"/>
        </w:rPr>
      </w:pPr>
      <w:bookmarkStart w:id="2" w:name="_Hlk13142418"/>
      <w:r w:rsidRPr="0053447C">
        <w:rPr>
          <w:iCs/>
          <w:color w:val="44546A" w:themeColor="text2"/>
          <w:sz w:val="18"/>
          <w:vertAlign w:val="superscript"/>
        </w:rPr>
        <w:t>a</w:t>
      </w:r>
      <w:r w:rsidRPr="0053447C">
        <w:rPr>
          <w:iCs/>
          <w:color w:val="44546A" w:themeColor="text2"/>
          <w:sz w:val="18"/>
        </w:rPr>
        <w:t xml:space="preserve"> Lambda and Gamma are the natural logarithms of the slope of the survival hazard and age, respectively, which can be used to calculate the predicted survival at any time per age group (0-75 or &gt;75 years) and gender. </w:t>
      </w:r>
    </w:p>
    <w:p w:rsidR="008E745B" w:rsidRPr="0053447C" w:rsidRDefault="008E745B" w:rsidP="008E745B">
      <w:pPr>
        <w:spacing w:after="0" w:line="276" w:lineRule="auto"/>
        <w:jc w:val="both"/>
        <w:rPr>
          <w:iCs/>
          <w:color w:val="44546A" w:themeColor="text2"/>
          <w:sz w:val="18"/>
        </w:rPr>
      </w:pPr>
      <w:r w:rsidRPr="0053447C">
        <w:rPr>
          <w:iCs/>
          <w:color w:val="44546A" w:themeColor="text2"/>
          <w:sz w:val="18"/>
          <w:vertAlign w:val="superscript"/>
        </w:rPr>
        <w:t>b</w:t>
      </w:r>
      <w:r w:rsidRPr="0053447C">
        <w:rPr>
          <w:iCs/>
          <w:color w:val="44546A" w:themeColor="text2"/>
          <w:sz w:val="18"/>
        </w:rPr>
        <w:t xml:space="preserve"> Assumed to be equal to mortality risk adjustment factor of AF, since these events we assumed to have no additional effect on mortality risk in the period after the event.</w:t>
      </w:r>
    </w:p>
    <w:p w:rsidR="008E745B" w:rsidRPr="0053447C" w:rsidRDefault="008E745B" w:rsidP="008E745B">
      <w:pPr>
        <w:pStyle w:val="Bijschrift"/>
        <w:spacing w:after="0"/>
        <w:jc w:val="both"/>
        <w:rPr>
          <w:i w:val="0"/>
        </w:rPr>
      </w:pPr>
      <w:r>
        <w:rPr>
          <w:i w:val="0"/>
        </w:rPr>
        <w:t xml:space="preserve">Abbreviations: </w:t>
      </w:r>
      <w:r w:rsidRPr="0053447C">
        <w:rPr>
          <w:i w:val="0"/>
        </w:rPr>
        <w:t xml:space="preserve">AF, atrial fibrillation; CI, confidence interval; CRNMB, clinically relevant non-major bleeding; HR, hazard ratio; ICH, intracranial haemorrhage; MB, major bleeding; MI, myocardial infarction; SE, systemic embolism. </w:t>
      </w:r>
    </w:p>
    <w:bookmarkEnd w:id="2"/>
    <w:p w:rsidR="00D66B98" w:rsidRDefault="00D66B98"/>
    <w:sectPr w:rsidR="00D66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5B"/>
    <w:rsid w:val="00004CEF"/>
    <w:rsid w:val="00040D05"/>
    <w:rsid w:val="000917D1"/>
    <w:rsid w:val="000E5249"/>
    <w:rsid w:val="00105BB1"/>
    <w:rsid w:val="00110B24"/>
    <w:rsid w:val="001151EC"/>
    <w:rsid w:val="001153C0"/>
    <w:rsid w:val="00131026"/>
    <w:rsid w:val="00142358"/>
    <w:rsid w:val="00147742"/>
    <w:rsid w:val="00172F55"/>
    <w:rsid w:val="001A19D0"/>
    <w:rsid w:val="001A34B2"/>
    <w:rsid w:val="001E3AAD"/>
    <w:rsid w:val="001F44B2"/>
    <w:rsid w:val="00226142"/>
    <w:rsid w:val="0023519E"/>
    <w:rsid w:val="00236B48"/>
    <w:rsid w:val="002667E7"/>
    <w:rsid w:val="002722E7"/>
    <w:rsid w:val="00286025"/>
    <w:rsid w:val="002860B9"/>
    <w:rsid w:val="002953DD"/>
    <w:rsid w:val="0029794E"/>
    <w:rsid w:val="002C4070"/>
    <w:rsid w:val="002F1767"/>
    <w:rsid w:val="002F45F6"/>
    <w:rsid w:val="0030550D"/>
    <w:rsid w:val="003332F4"/>
    <w:rsid w:val="00353D2C"/>
    <w:rsid w:val="00375553"/>
    <w:rsid w:val="00375BB4"/>
    <w:rsid w:val="00386918"/>
    <w:rsid w:val="00387514"/>
    <w:rsid w:val="003A6033"/>
    <w:rsid w:val="003C5CCE"/>
    <w:rsid w:val="003E065C"/>
    <w:rsid w:val="003E0A2C"/>
    <w:rsid w:val="003F4C94"/>
    <w:rsid w:val="004026B2"/>
    <w:rsid w:val="00445223"/>
    <w:rsid w:val="00461475"/>
    <w:rsid w:val="00486F9F"/>
    <w:rsid w:val="004A2A5B"/>
    <w:rsid w:val="004F7D29"/>
    <w:rsid w:val="00552D3E"/>
    <w:rsid w:val="00567CF8"/>
    <w:rsid w:val="00572B9F"/>
    <w:rsid w:val="005B46E6"/>
    <w:rsid w:val="005F70CD"/>
    <w:rsid w:val="00621126"/>
    <w:rsid w:val="00637AE0"/>
    <w:rsid w:val="006A0C78"/>
    <w:rsid w:val="006B5EC9"/>
    <w:rsid w:val="006C4B6B"/>
    <w:rsid w:val="006D59F5"/>
    <w:rsid w:val="007331FB"/>
    <w:rsid w:val="00743205"/>
    <w:rsid w:val="007660AB"/>
    <w:rsid w:val="00780423"/>
    <w:rsid w:val="007B7760"/>
    <w:rsid w:val="007F5CC4"/>
    <w:rsid w:val="007F7DCF"/>
    <w:rsid w:val="00812885"/>
    <w:rsid w:val="00823624"/>
    <w:rsid w:val="00836C5D"/>
    <w:rsid w:val="00851F5A"/>
    <w:rsid w:val="008628BC"/>
    <w:rsid w:val="00864A10"/>
    <w:rsid w:val="0087402E"/>
    <w:rsid w:val="00882F0D"/>
    <w:rsid w:val="00883125"/>
    <w:rsid w:val="008A2A60"/>
    <w:rsid w:val="008E745B"/>
    <w:rsid w:val="008F4B0B"/>
    <w:rsid w:val="008F6FE4"/>
    <w:rsid w:val="0092773F"/>
    <w:rsid w:val="009608E9"/>
    <w:rsid w:val="00965ADA"/>
    <w:rsid w:val="00985EBE"/>
    <w:rsid w:val="009B1FA4"/>
    <w:rsid w:val="009C6A4D"/>
    <w:rsid w:val="009E2C09"/>
    <w:rsid w:val="009E534E"/>
    <w:rsid w:val="009F09E9"/>
    <w:rsid w:val="00A05A13"/>
    <w:rsid w:val="00A2648D"/>
    <w:rsid w:val="00A55690"/>
    <w:rsid w:val="00A56DDD"/>
    <w:rsid w:val="00A60606"/>
    <w:rsid w:val="00A62D8B"/>
    <w:rsid w:val="00AC31A2"/>
    <w:rsid w:val="00AD6EDB"/>
    <w:rsid w:val="00AE7804"/>
    <w:rsid w:val="00AF46B9"/>
    <w:rsid w:val="00AF6357"/>
    <w:rsid w:val="00B046A8"/>
    <w:rsid w:val="00B13DEF"/>
    <w:rsid w:val="00B276C9"/>
    <w:rsid w:val="00B56B60"/>
    <w:rsid w:val="00B6550D"/>
    <w:rsid w:val="00B76A64"/>
    <w:rsid w:val="00B80D08"/>
    <w:rsid w:val="00B84FDC"/>
    <w:rsid w:val="00BE70F1"/>
    <w:rsid w:val="00BF26C8"/>
    <w:rsid w:val="00C10647"/>
    <w:rsid w:val="00C14D59"/>
    <w:rsid w:val="00C252E9"/>
    <w:rsid w:val="00C66051"/>
    <w:rsid w:val="00C70721"/>
    <w:rsid w:val="00C71C64"/>
    <w:rsid w:val="00C851A6"/>
    <w:rsid w:val="00C97E34"/>
    <w:rsid w:val="00CA36C7"/>
    <w:rsid w:val="00CC111A"/>
    <w:rsid w:val="00CC1C7E"/>
    <w:rsid w:val="00CD7A76"/>
    <w:rsid w:val="00CE71FB"/>
    <w:rsid w:val="00D3023A"/>
    <w:rsid w:val="00D648F0"/>
    <w:rsid w:val="00D66B98"/>
    <w:rsid w:val="00D728CB"/>
    <w:rsid w:val="00D85B74"/>
    <w:rsid w:val="00DC5597"/>
    <w:rsid w:val="00DE58F0"/>
    <w:rsid w:val="00E05F61"/>
    <w:rsid w:val="00E253AF"/>
    <w:rsid w:val="00E41BE1"/>
    <w:rsid w:val="00E42D1F"/>
    <w:rsid w:val="00E52D77"/>
    <w:rsid w:val="00E6200A"/>
    <w:rsid w:val="00E87914"/>
    <w:rsid w:val="00E904A0"/>
    <w:rsid w:val="00F36C69"/>
    <w:rsid w:val="00F55042"/>
    <w:rsid w:val="00F65939"/>
    <w:rsid w:val="00F65A27"/>
    <w:rsid w:val="00FA1EDA"/>
    <w:rsid w:val="00FA2BFF"/>
    <w:rsid w:val="00FA3C79"/>
    <w:rsid w:val="00FC6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D42C"/>
  <w15:chartTrackingRefBased/>
  <w15:docId w15:val="{5CF08987-6681-4789-AFD1-00A8CA7C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E745B"/>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8E745B"/>
    <w:pPr>
      <w:spacing w:after="200" w:line="240" w:lineRule="auto"/>
    </w:pPr>
    <w:rPr>
      <w:i/>
      <w:iCs/>
      <w:color w:val="44546A" w:themeColor="text2"/>
      <w:sz w:val="18"/>
      <w:szCs w:val="18"/>
    </w:rPr>
  </w:style>
  <w:style w:type="table" w:customStyle="1" w:styleId="TableGridLight1">
    <w:name w:val="Table Grid Light1"/>
    <w:basedOn w:val="Standaardtabel"/>
    <w:uiPriority w:val="40"/>
    <w:rsid w:val="008E74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9994</Words>
  <Characters>56970</Characters>
  <Application>Microsoft Office Word</Application>
  <DocSecurity>0</DocSecurity>
  <Lines>474</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 Jong</dc:creator>
  <cp:keywords/>
  <dc:description/>
  <cp:lastModifiedBy>Lisa de Jong</cp:lastModifiedBy>
  <cp:revision>2</cp:revision>
  <dcterms:created xsi:type="dcterms:W3CDTF">2019-09-09T09:56:00Z</dcterms:created>
  <dcterms:modified xsi:type="dcterms:W3CDTF">2019-09-09T09:57:00Z</dcterms:modified>
</cp:coreProperties>
</file>