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4E72D" w14:textId="77777777" w:rsidR="008C2534" w:rsidRDefault="008C2534"/>
    <w:p w14:paraId="7FE4E72E" w14:textId="77777777" w:rsidR="008C2534" w:rsidRDefault="003A75A5">
      <w:pPr>
        <w:pStyle w:val="Corpsdetexte"/>
      </w:pPr>
      <w:r>
        <w:t>Étude clinique impliquant la personne humaine et ne comportant que des risques et contraintes minimes (catégorie 2 du L1121-1)</w:t>
      </w:r>
    </w:p>
    <w:p w14:paraId="7FE4E72F" w14:textId="77777777" w:rsidR="008C2534" w:rsidRDefault="003A75A5">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eastAsia="Times New Roman" w:cs="Arial"/>
          <w:b/>
          <w:bCs/>
          <w:color w:val="000000"/>
          <w:sz w:val="44"/>
          <w:szCs w:val="44"/>
          <w:lang w:eastAsia="fr-FR"/>
        </w:rPr>
      </w:pPr>
      <w:r>
        <w:rPr>
          <w:rFonts w:eastAsia="Times New Roman" w:cs="Arial"/>
          <w:b/>
          <w:bCs/>
          <w:color w:val="000000"/>
          <w:sz w:val="44"/>
          <w:szCs w:val="44"/>
          <w:lang w:eastAsia="fr-FR"/>
        </w:rPr>
        <w:t>LEHRS</w:t>
      </w:r>
    </w:p>
    <w:p w14:paraId="7FE4E730" w14:textId="77777777" w:rsidR="008C2534" w:rsidRDefault="003A75A5">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eastAsia="Times New Roman" w:cs="Arial"/>
          <w:b/>
          <w:bCs/>
          <w:color w:val="000000"/>
          <w:sz w:val="32"/>
          <w:szCs w:val="32"/>
          <w:lang w:eastAsia="fr-FR"/>
        </w:rPr>
      </w:pPr>
      <w:r>
        <w:rPr>
          <w:rFonts w:eastAsia="Times New Roman" w:cs="Arial"/>
          <w:b/>
          <w:bCs/>
          <w:color w:val="000000"/>
          <w:sz w:val="32"/>
          <w:szCs w:val="32"/>
          <w:lang w:eastAsia="fr-FR"/>
        </w:rPr>
        <w:t xml:space="preserve">Comparaison d’un nouveau collimateur LEHRS (General Electric – GE Healthcare) vs Siemens LEHR sur la </w:t>
      </w:r>
      <w:r>
        <w:rPr>
          <w:rFonts w:eastAsia="Times New Roman" w:cs="Arial"/>
          <w:b/>
          <w:bCs/>
          <w:color w:val="000000"/>
          <w:sz w:val="32"/>
          <w:szCs w:val="32"/>
          <w:lang w:eastAsia="fr-FR"/>
        </w:rPr>
        <w:t>qualité d’image en scintigraphie</w:t>
      </w:r>
    </w:p>
    <w:p w14:paraId="7FE4E731" w14:textId="77777777" w:rsidR="008C2534" w:rsidRDefault="003A75A5">
      <w:pPr>
        <w:spacing w:line="240" w:lineRule="auto"/>
        <w:jc w:val="center"/>
        <w:rPr>
          <w:rFonts w:eastAsia="Times New Roman" w:cs="Times New Roman"/>
          <w:szCs w:val="24"/>
          <w:lang w:eastAsia="fr-FR"/>
        </w:rPr>
      </w:pPr>
      <w:r>
        <w:rPr>
          <w:rFonts w:eastAsia="Times New Roman" w:cs="Arial"/>
          <w:color w:val="000000"/>
          <w:lang w:eastAsia="fr-FR"/>
        </w:rPr>
        <w:t>Version n°1.0 – 01/02/2018</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798"/>
        <w:gridCol w:w="537"/>
        <w:gridCol w:w="17"/>
        <w:gridCol w:w="3557"/>
      </w:tblGrid>
      <w:tr w:rsidR="008C2534" w14:paraId="7FE4E733" w14:textId="77777777">
        <w:trPr>
          <w:jc w:val="center"/>
        </w:trPr>
        <w:tc>
          <w:tcPr>
            <w:tcW w:w="9322" w:type="dxa"/>
            <w:gridSpan w:val="5"/>
            <w:shd w:val="clear" w:color="auto" w:fill="DAEEF3" w:themeFill="accent5" w:themeFillTint="33"/>
          </w:tcPr>
          <w:p w14:paraId="7FE4E732" w14:textId="77777777" w:rsidR="008C2534" w:rsidRDefault="003A75A5">
            <w:pPr>
              <w:pStyle w:val="Corpsdetexte"/>
              <w:jc w:val="both"/>
              <w:rPr>
                <w:rFonts w:cs="Arial"/>
                <w:bCs w:val="0"/>
                <w:i/>
                <w:iCs/>
              </w:rPr>
            </w:pPr>
            <w:r>
              <w:rPr>
                <w:smallCaps/>
              </w:rPr>
              <w:t>Promoteur</w:t>
            </w:r>
          </w:p>
        </w:tc>
      </w:tr>
      <w:tr w:rsidR="008C2534" w14:paraId="7FE4E737" w14:textId="77777777">
        <w:trPr>
          <w:jc w:val="center"/>
        </w:trPr>
        <w:tc>
          <w:tcPr>
            <w:tcW w:w="5748" w:type="dxa"/>
            <w:gridSpan w:val="3"/>
          </w:tcPr>
          <w:p w14:paraId="7FE4E734" w14:textId="77777777" w:rsidR="008C2534" w:rsidRDefault="003A75A5">
            <w:pPr>
              <w:spacing w:before="40" w:after="0" w:line="240" w:lineRule="auto"/>
            </w:pPr>
            <w:r>
              <w:rPr>
                <w:b/>
              </w:rPr>
              <w:t>Centre Hospitalier Régional d’Orléans</w:t>
            </w:r>
            <w:r>
              <w:br/>
              <w:t>Direction des affaires médicales et de la recherche</w:t>
            </w:r>
            <w:r>
              <w:br/>
              <w:t>14 avenue de l’hôpital</w:t>
            </w:r>
          </w:p>
          <w:p w14:paraId="7FE4E735" w14:textId="77777777" w:rsidR="008C2534" w:rsidRDefault="003A75A5">
            <w:pPr>
              <w:spacing w:before="40" w:after="0" w:line="240" w:lineRule="auto"/>
            </w:pPr>
            <w:r>
              <w:t>CS 86709</w:t>
            </w:r>
            <w:r>
              <w:br/>
              <w:t>45067 Orléans Cedex 02</w:t>
            </w:r>
          </w:p>
        </w:tc>
        <w:tc>
          <w:tcPr>
            <w:tcW w:w="3574" w:type="dxa"/>
            <w:gridSpan w:val="2"/>
          </w:tcPr>
          <w:p w14:paraId="7FE4E736" w14:textId="77777777" w:rsidR="008C2534" w:rsidRDefault="008C2534">
            <w:pPr>
              <w:pStyle w:val="Corpsdetexte"/>
              <w:jc w:val="both"/>
              <w:rPr>
                <w:b w:val="0"/>
              </w:rPr>
            </w:pPr>
          </w:p>
        </w:tc>
      </w:tr>
      <w:tr w:rsidR="008C2534" w14:paraId="7FE4E739" w14:textId="77777777">
        <w:trPr>
          <w:jc w:val="center"/>
        </w:trPr>
        <w:tc>
          <w:tcPr>
            <w:tcW w:w="9322" w:type="dxa"/>
            <w:gridSpan w:val="5"/>
            <w:shd w:val="clear" w:color="auto" w:fill="DAEEF3" w:themeFill="accent5" w:themeFillTint="33"/>
          </w:tcPr>
          <w:p w14:paraId="7FE4E738" w14:textId="77777777" w:rsidR="008C2534" w:rsidRDefault="003A75A5">
            <w:pPr>
              <w:pStyle w:val="NormalGras"/>
              <w:tabs>
                <w:tab w:val="left" w:pos="3520"/>
              </w:tabs>
              <w:rPr>
                <w:rFonts w:asciiTheme="minorHAnsi" w:hAnsiTheme="minorHAnsi"/>
                <w:bCs/>
                <w:smallCaps/>
              </w:rPr>
            </w:pPr>
            <w:r>
              <w:rPr>
                <w:rFonts w:asciiTheme="minorHAnsi" w:hAnsiTheme="minorHAnsi"/>
                <w:bCs/>
                <w:smallCaps/>
              </w:rPr>
              <w:t>Investigateur principal</w:t>
            </w:r>
            <w:r>
              <w:rPr>
                <w:rFonts w:asciiTheme="minorHAnsi" w:hAnsiTheme="minorHAnsi"/>
                <w:bCs/>
                <w:smallCaps/>
                <w:shd w:val="clear" w:color="auto" w:fill="DAEEF3" w:themeFill="accent5" w:themeFillTint="33"/>
              </w:rPr>
              <w:tab/>
            </w:r>
          </w:p>
        </w:tc>
      </w:tr>
      <w:tr w:rsidR="008C2534" w14:paraId="7FE4E73C" w14:textId="77777777">
        <w:trPr>
          <w:jc w:val="center"/>
        </w:trPr>
        <w:tc>
          <w:tcPr>
            <w:tcW w:w="5748" w:type="dxa"/>
            <w:gridSpan w:val="3"/>
          </w:tcPr>
          <w:p w14:paraId="7FE4E73A" w14:textId="77777777" w:rsidR="008C2534" w:rsidRDefault="003A75A5">
            <w:pPr>
              <w:pStyle w:val="NormalWeb"/>
              <w:spacing w:after="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Dr </w:t>
            </w:r>
            <w:r>
              <w:rPr>
                <w:rFonts w:asciiTheme="minorHAnsi" w:eastAsiaTheme="minorHAnsi" w:hAnsiTheme="minorHAnsi" w:cstheme="minorBidi"/>
                <w:sz w:val="22"/>
                <w:szCs w:val="22"/>
                <w:lang w:eastAsia="en-US"/>
              </w:rPr>
              <w:t>METRARD Gilles</w:t>
            </w:r>
            <w:r>
              <w:rPr>
                <w:rFonts w:asciiTheme="minorHAnsi" w:eastAsiaTheme="minorHAnsi" w:hAnsiTheme="minorHAnsi" w:cstheme="minorBidi"/>
                <w:sz w:val="22"/>
                <w:szCs w:val="22"/>
                <w:lang w:eastAsia="en-US"/>
              </w:rPr>
              <w:br/>
              <w:t>Service de médecine nucléaire – CHR d’Orléans</w:t>
            </w:r>
            <w:r>
              <w:rPr>
                <w:rFonts w:asciiTheme="minorHAnsi" w:eastAsiaTheme="minorHAnsi" w:hAnsiTheme="minorHAnsi" w:cstheme="minorBidi"/>
                <w:sz w:val="22"/>
                <w:szCs w:val="22"/>
                <w:lang w:eastAsia="en-US"/>
              </w:rPr>
              <w:br/>
              <w:t>14, avenue de l’hôpital</w:t>
            </w:r>
            <w:r>
              <w:rPr>
                <w:rFonts w:asciiTheme="minorHAnsi" w:eastAsiaTheme="minorHAnsi" w:hAnsiTheme="minorHAnsi" w:cstheme="minorBidi"/>
                <w:sz w:val="22"/>
                <w:szCs w:val="22"/>
                <w:lang w:eastAsia="en-US"/>
              </w:rPr>
              <w:br/>
              <w:t>45067 Orléans cedex 2</w:t>
            </w:r>
          </w:p>
        </w:tc>
        <w:tc>
          <w:tcPr>
            <w:tcW w:w="3574" w:type="dxa"/>
            <w:gridSpan w:val="2"/>
          </w:tcPr>
          <w:p w14:paraId="7FE4E73B" w14:textId="77777777" w:rsidR="008C2534" w:rsidRDefault="008C2534">
            <w:pPr>
              <w:pStyle w:val="Corpsdetexte"/>
              <w:jc w:val="both"/>
              <w:rPr>
                <w:b w:val="0"/>
              </w:rPr>
            </w:pPr>
          </w:p>
        </w:tc>
      </w:tr>
      <w:tr w:rsidR="008C2534" w14:paraId="7FE4E73E" w14:textId="77777777">
        <w:trPr>
          <w:jc w:val="center"/>
        </w:trPr>
        <w:tc>
          <w:tcPr>
            <w:tcW w:w="9322" w:type="dxa"/>
            <w:gridSpan w:val="5"/>
            <w:tcBorders>
              <w:bottom w:val="single" w:sz="4" w:space="0" w:color="auto"/>
            </w:tcBorders>
            <w:shd w:val="clear" w:color="auto" w:fill="DAEEF3" w:themeFill="accent5" w:themeFillTint="33"/>
          </w:tcPr>
          <w:p w14:paraId="7FE4E73D" w14:textId="77777777" w:rsidR="008C2534" w:rsidRDefault="003A75A5">
            <w:pPr>
              <w:pStyle w:val="Corpsdetexte"/>
              <w:tabs>
                <w:tab w:val="left" w:pos="3396"/>
              </w:tabs>
              <w:jc w:val="both"/>
              <w:rPr>
                <w:rFonts w:cs="Arial"/>
                <w:bCs w:val="0"/>
                <w:i/>
                <w:iCs/>
                <w:smallCaps/>
              </w:rPr>
            </w:pPr>
            <w:r>
              <w:rPr>
                <w:bCs w:val="0"/>
                <w:smallCaps/>
              </w:rPr>
              <w:t>Protocole d’essai clinique</w:t>
            </w:r>
            <w:r>
              <w:rPr>
                <w:bCs w:val="0"/>
                <w:smallCaps/>
              </w:rPr>
              <w:tab/>
            </w:r>
          </w:p>
        </w:tc>
      </w:tr>
      <w:tr w:rsidR="008C2534" w14:paraId="7FE4E741" w14:textId="77777777">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Look w:val="0000" w:firstRow="0" w:lastRow="0" w:firstColumn="0" w:lastColumn="0" w:noHBand="0" w:noVBand="0"/>
        </w:tblPrEx>
        <w:trPr>
          <w:trHeight w:val="463"/>
          <w:jc w:val="center"/>
        </w:trPr>
        <w:tc>
          <w:tcPr>
            <w:tcW w:w="5765" w:type="dxa"/>
            <w:gridSpan w:val="4"/>
            <w:tcBorders>
              <w:top w:val="single" w:sz="4" w:space="0" w:color="auto"/>
              <w:left w:val="single" w:sz="4" w:space="0" w:color="auto"/>
              <w:bottom w:val="single" w:sz="4" w:space="0" w:color="auto"/>
              <w:right w:val="nil"/>
            </w:tcBorders>
            <w:vAlign w:val="center"/>
          </w:tcPr>
          <w:p w14:paraId="7FE4E73F" w14:textId="77777777" w:rsidR="008C2534" w:rsidRDefault="003A75A5">
            <w:pPr>
              <w:pStyle w:val="Technisch4"/>
              <w:tabs>
                <w:tab w:val="clear" w:pos="-720"/>
                <w:tab w:val="left" w:pos="0"/>
                <w:tab w:val="left" w:pos="851"/>
                <w:tab w:val="left" w:pos="1729"/>
                <w:tab w:val="left" w:pos="2552"/>
                <w:tab w:val="left" w:pos="3403"/>
                <w:tab w:val="left" w:pos="4254"/>
                <w:tab w:val="left" w:pos="5105"/>
                <w:tab w:val="left" w:pos="5956"/>
                <w:tab w:val="left" w:pos="6806"/>
                <w:tab w:val="left" w:pos="7657"/>
                <w:tab w:val="left" w:pos="8508"/>
              </w:tabs>
              <w:suppressAutoHyphens w:val="0"/>
              <w:jc w:val="both"/>
              <w:rPr>
                <w:rFonts w:asciiTheme="minorHAnsi" w:hAnsiTheme="minorHAnsi"/>
                <w:spacing w:val="-3"/>
                <w:lang w:val="fr-FR"/>
              </w:rPr>
            </w:pPr>
            <w:r>
              <w:rPr>
                <w:rFonts w:asciiTheme="minorHAnsi" w:hAnsiTheme="minorHAnsi"/>
                <w:spacing w:val="-3"/>
                <w:lang w:val="fr-FR"/>
              </w:rPr>
              <w:t>Code de l’étude</w:t>
            </w:r>
          </w:p>
        </w:tc>
        <w:tc>
          <w:tcPr>
            <w:tcW w:w="3557" w:type="dxa"/>
            <w:tcBorders>
              <w:top w:val="single" w:sz="4" w:space="0" w:color="auto"/>
              <w:left w:val="single" w:sz="4" w:space="0" w:color="auto"/>
              <w:bottom w:val="single" w:sz="4" w:space="0" w:color="auto"/>
              <w:right w:val="single" w:sz="4" w:space="0" w:color="auto"/>
            </w:tcBorders>
            <w:vAlign w:val="center"/>
          </w:tcPr>
          <w:p w14:paraId="7FE4E740" w14:textId="77777777" w:rsidR="008C2534" w:rsidRDefault="003A75A5">
            <w:pPr>
              <w:tabs>
                <w:tab w:val="left" w:pos="0"/>
                <w:tab w:val="left" w:pos="851"/>
                <w:tab w:val="left" w:pos="1729"/>
                <w:tab w:val="left" w:pos="2552"/>
                <w:tab w:val="left" w:pos="3403"/>
                <w:tab w:val="left" w:pos="4254"/>
                <w:tab w:val="left" w:pos="5105"/>
                <w:tab w:val="left" w:pos="5956"/>
                <w:tab w:val="left" w:pos="6806"/>
                <w:tab w:val="left" w:pos="7657"/>
                <w:tab w:val="left" w:pos="8508"/>
              </w:tabs>
            </w:pPr>
            <w:r>
              <w:t>CHRO 2018-03</w:t>
            </w:r>
          </w:p>
        </w:tc>
      </w:tr>
      <w:tr w:rsidR="008C2534" w14:paraId="7FE4E744" w14:textId="77777777">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Look w:val="0000" w:firstRow="0" w:lastRow="0" w:firstColumn="0" w:lastColumn="0" w:noHBand="0" w:noVBand="0"/>
        </w:tblPrEx>
        <w:trPr>
          <w:trHeight w:val="457"/>
          <w:jc w:val="center"/>
        </w:trPr>
        <w:tc>
          <w:tcPr>
            <w:tcW w:w="5765" w:type="dxa"/>
            <w:gridSpan w:val="4"/>
            <w:tcBorders>
              <w:top w:val="single" w:sz="4" w:space="0" w:color="auto"/>
              <w:left w:val="single" w:sz="4" w:space="0" w:color="auto"/>
              <w:bottom w:val="single" w:sz="4" w:space="0" w:color="auto"/>
              <w:right w:val="nil"/>
            </w:tcBorders>
            <w:vAlign w:val="center"/>
          </w:tcPr>
          <w:p w14:paraId="7FE4E742" w14:textId="77777777" w:rsidR="008C2534" w:rsidRDefault="003A75A5">
            <w:pPr>
              <w:pStyle w:val="Technisch4"/>
              <w:tabs>
                <w:tab w:val="clear" w:pos="-720"/>
                <w:tab w:val="left" w:pos="0"/>
                <w:tab w:val="left" w:pos="851"/>
                <w:tab w:val="left" w:pos="1729"/>
                <w:tab w:val="left" w:pos="2552"/>
                <w:tab w:val="left" w:pos="3403"/>
                <w:tab w:val="left" w:pos="4254"/>
                <w:tab w:val="left" w:pos="5105"/>
                <w:tab w:val="left" w:pos="5956"/>
                <w:tab w:val="left" w:pos="6806"/>
                <w:tab w:val="left" w:pos="7657"/>
                <w:tab w:val="left" w:pos="8508"/>
              </w:tabs>
              <w:suppressAutoHyphens w:val="0"/>
              <w:jc w:val="both"/>
              <w:rPr>
                <w:rFonts w:asciiTheme="minorHAnsi" w:hAnsiTheme="minorHAnsi"/>
                <w:spacing w:val="-3"/>
                <w:lang w:val="fr-FR"/>
              </w:rPr>
            </w:pPr>
            <w:r>
              <w:rPr>
                <w:rFonts w:asciiTheme="minorHAnsi" w:hAnsiTheme="minorHAnsi"/>
                <w:spacing w:val="-3"/>
                <w:lang w:val="fr-FR"/>
              </w:rPr>
              <w:t>N° IDRCB</w:t>
            </w:r>
          </w:p>
        </w:tc>
        <w:tc>
          <w:tcPr>
            <w:tcW w:w="3557" w:type="dxa"/>
            <w:tcBorders>
              <w:top w:val="single" w:sz="4" w:space="0" w:color="auto"/>
              <w:left w:val="single" w:sz="4" w:space="0" w:color="auto"/>
              <w:bottom w:val="single" w:sz="4" w:space="0" w:color="auto"/>
              <w:right w:val="single" w:sz="4" w:space="0" w:color="auto"/>
            </w:tcBorders>
            <w:vAlign w:val="center"/>
          </w:tcPr>
          <w:p w14:paraId="7FE4E743" w14:textId="77777777" w:rsidR="008C2534" w:rsidRDefault="008C2534">
            <w:pPr>
              <w:pStyle w:val="NormalWeb"/>
              <w:tabs>
                <w:tab w:val="left" w:pos="0"/>
                <w:tab w:val="left" w:pos="851"/>
                <w:tab w:val="left" w:pos="1729"/>
                <w:tab w:val="left" w:pos="2552"/>
                <w:tab w:val="left" w:pos="3403"/>
                <w:tab w:val="left" w:pos="4254"/>
                <w:tab w:val="left" w:pos="5105"/>
                <w:tab w:val="left" w:pos="5956"/>
                <w:tab w:val="left" w:pos="6806"/>
                <w:tab w:val="left" w:pos="7657"/>
                <w:tab w:val="left" w:pos="8508"/>
              </w:tabs>
              <w:spacing w:before="0" w:beforeAutospacing="0" w:after="0" w:afterAutospacing="0" w:line="276" w:lineRule="auto"/>
              <w:rPr>
                <w:rFonts w:asciiTheme="minorHAnsi" w:eastAsiaTheme="minorEastAsia" w:hAnsiTheme="minorHAnsi" w:cs="Arial"/>
                <w:bCs/>
                <w:iCs/>
                <w:szCs w:val="22"/>
                <w:lang w:eastAsia="en-US"/>
              </w:rPr>
            </w:pPr>
          </w:p>
        </w:tc>
      </w:tr>
      <w:tr w:rsidR="008C2534" w14:paraId="7FE4E746" w14:textId="77777777">
        <w:trPr>
          <w:trHeight w:val="425"/>
          <w:jc w:val="center"/>
        </w:trPr>
        <w:tc>
          <w:tcPr>
            <w:tcW w:w="9322" w:type="dxa"/>
            <w:gridSpan w:val="5"/>
            <w:tcBorders>
              <w:top w:val="single" w:sz="4" w:space="0" w:color="auto"/>
            </w:tcBorders>
            <w:shd w:val="clear" w:color="auto" w:fill="DAEEF3" w:themeFill="accent5" w:themeFillTint="33"/>
          </w:tcPr>
          <w:p w14:paraId="7FE4E745" w14:textId="77777777" w:rsidR="008C2534" w:rsidRDefault="003A75A5">
            <w:pPr>
              <w:pStyle w:val="Corpsdetexte"/>
              <w:jc w:val="both"/>
            </w:pPr>
            <w:r>
              <w:t>AUTORISATIONS</w:t>
            </w:r>
          </w:p>
        </w:tc>
      </w:tr>
      <w:tr w:rsidR="008C2534" w14:paraId="7FE4E748" w14:textId="77777777">
        <w:trPr>
          <w:jc w:val="center"/>
        </w:trPr>
        <w:tc>
          <w:tcPr>
            <w:tcW w:w="9322" w:type="dxa"/>
            <w:gridSpan w:val="5"/>
            <w:shd w:val="clear" w:color="auto" w:fill="DAEEF3" w:themeFill="accent5" w:themeFillTint="33"/>
          </w:tcPr>
          <w:p w14:paraId="7FE4E747" w14:textId="77777777" w:rsidR="008C2534" w:rsidRDefault="003A75A5">
            <w:pPr>
              <w:pStyle w:val="Corpsdetexte"/>
              <w:jc w:val="both"/>
              <w:rPr>
                <w:b w:val="0"/>
                <w:smallCaps/>
              </w:rPr>
            </w:pPr>
            <w:r>
              <w:rPr>
                <w:smallCaps/>
              </w:rPr>
              <w:t>Comité de Protection des Personnes</w:t>
            </w:r>
          </w:p>
        </w:tc>
      </w:tr>
      <w:tr w:rsidR="008C2534" w14:paraId="7FE4E74C" w14:textId="77777777">
        <w:trPr>
          <w:jc w:val="center"/>
        </w:trPr>
        <w:tc>
          <w:tcPr>
            <w:tcW w:w="1413" w:type="dxa"/>
          </w:tcPr>
          <w:p w14:paraId="7FE4E749" w14:textId="77777777" w:rsidR="008C2534" w:rsidRDefault="003A75A5">
            <w:pPr>
              <w:pStyle w:val="Corpsdetexte"/>
              <w:jc w:val="both"/>
            </w:pPr>
            <w:r>
              <w:t xml:space="preserve">CPP </w:t>
            </w:r>
          </w:p>
        </w:tc>
        <w:tc>
          <w:tcPr>
            <w:tcW w:w="3798" w:type="dxa"/>
          </w:tcPr>
          <w:p w14:paraId="7FE4E74A" w14:textId="77777777" w:rsidR="008C2534" w:rsidRDefault="003A75A5">
            <w:pPr>
              <w:pStyle w:val="Corpsdetexte"/>
              <w:jc w:val="both"/>
            </w:pPr>
            <w:r>
              <w:t xml:space="preserve">Numéro dossier : </w:t>
            </w:r>
          </w:p>
        </w:tc>
        <w:tc>
          <w:tcPr>
            <w:tcW w:w="4111" w:type="dxa"/>
            <w:gridSpan w:val="3"/>
          </w:tcPr>
          <w:p w14:paraId="7FE4E74B" w14:textId="77777777" w:rsidR="008C2534" w:rsidRDefault="003A75A5">
            <w:pPr>
              <w:pStyle w:val="Corpsdetexte"/>
              <w:jc w:val="both"/>
            </w:pPr>
            <w:r>
              <w:t xml:space="preserve">Date de l'avis favorable : </w:t>
            </w:r>
          </w:p>
        </w:tc>
      </w:tr>
      <w:tr w:rsidR="008C2534" w14:paraId="7FE4E74E" w14:textId="77777777">
        <w:trPr>
          <w:jc w:val="center"/>
        </w:trPr>
        <w:tc>
          <w:tcPr>
            <w:tcW w:w="9322" w:type="dxa"/>
            <w:gridSpan w:val="5"/>
            <w:shd w:val="clear" w:color="auto" w:fill="DAEEF3" w:themeFill="accent5" w:themeFillTint="33"/>
          </w:tcPr>
          <w:p w14:paraId="7FE4E74D" w14:textId="77777777" w:rsidR="008C2534" w:rsidRDefault="003A75A5">
            <w:pPr>
              <w:pStyle w:val="Corpsdetexte"/>
              <w:jc w:val="both"/>
              <w:rPr>
                <w:b w:val="0"/>
                <w:smallCaps/>
              </w:rPr>
            </w:pPr>
            <w:r>
              <w:rPr>
                <w:smallCaps/>
              </w:rPr>
              <w:t xml:space="preserve">Autorité </w:t>
            </w:r>
            <w:r>
              <w:rPr>
                <w:smallCaps/>
                <w:shd w:val="clear" w:color="auto" w:fill="DAEEF3" w:themeFill="accent5" w:themeFillTint="33"/>
              </w:rPr>
              <w:t>Compétente</w:t>
            </w:r>
          </w:p>
        </w:tc>
      </w:tr>
      <w:tr w:rsidR="008C2534" w14:paraId="7FE4E751" w14:textId="77777777">
        <w:trPr>
          <w:jc w:val="center"/>
        </w:trPr>
        <w:tc>
          <w:tcPr>
            <w:tcW w:w="1413" w:type="dxa"/>
          </w:tcPr>
          <w:p w14:paraId="7FE4E74F" w14:textId="77777777" w:rsidR="008C2534" w:rsidRDefault="003A75A5">
            <w:pPr>
              <w:pStyle w:val="Corpsdetexte"/>
              <w:jc w:val="both"/>
            </w:pPr>
            <w:r>
              <w:t>ANSM</w:t>
            </w:r>
          </w:p>
        </w:tc>
        <w:tc>
          <w:tcPr>
            <w:tcW w:w="7909" w:type="dxa"/>
            <w:gridSpan w:val="4"/>
          </w:tcPr>
          <w:p w14:paraId="7FE4E750" w14:textId="77777777" w:rsidR="008C2534" w:rsidRDefault="003A75A5">
            <w:pPr>
              <w:pStyle w:val="Corpsdetexte"/>
              <w:jc w:val="both"/>
            </w:pPr>
            <w:r>
              <w:t xml:space="preserve">Date de transmission pour information: </w:t>
            </w:r>
          </w:p>
        </w:tc>
      </w:tr>
      <w:tr w:rsidR="008C2534" w14:paraId="7FE4E753" w14:textId="77777777">
        <w:trPr>
          <w:jc w:val="center"/>
        </w:trPr>
        <w:tc>
          <w:tcPr>
            <w:tcW w:w="9322" w:type="dxa"/>
            <w:gridSpan w:val="5"/>
            <w:shd w:val="clear" w:color="auto" w:fill="DAEEF3" w:themeFill="accent5" w:themeFillTint="33"/>
          </w:tcPr>
          <w:p w14:paraId="7FE4E752" w14:textId="77777777" w:rsidR="008C2534" w:rsidRDefault="003A75A5">
            <w:pPr>
              <w:pStyle w:val="Corpsdetexte"/>
              <w:jc w:val="both"/>
              <w:rPr>
                <w:b w:val="0"/>
                <w:smallCaps/>
              </w:rPr>
            </w:pPr>
            <w:r>
              <w:rPr>
                <w:smallCaps/>
              </w:rPr>
              <w:t>Commission Nationale Informatique et Liberté </w:t>
            </w:r>
          </w:p>
        </w:tc>
      </w:tr>
      <w:tr w:rsidR="008C2534" w14:paraId="7FE4E755" w14:textId="77777777">
        <w:trPr>
          <w:jc w:val="center"/>
        </w:trPr>
        <w:tc>
          <w:tcPr>
            <w:tcW w:w="9322" w:type="dxa"/>
            <w:gridSpan w:val="5"/>
          </w:tcPr>
          <w:p w14:paraId="7FE4E754" w14:textId="77777777" w:rsidR="008C2534" w:rsidRDefault="003A75A5">
            <w:pPr>
              <w:pStyle w:val="Corpsdetexte"/>
              <w:jc w:val="both"/>
              <w:rPr>
                <w:b w:val="0"/>
              </w:rPr>
            </w:pPr>
            <w:r>
              <w:t xml:space="preserve">Déclaration de conformité à la méthodologie de référence (MR-001) : </w:t>
            </w:r>
            <w:r>
              <w:rPr>
                <w:highlight w:val="yellow"/>
              </w:rPr>
              <w:t>17 mai 2013</w:t>
            </w:r>
          </w:p>
        </w:tc>
      </w:tr>
    </w:tbl>
    <w:p w14:paraId="7FE4E756" w14:textId="77777777" w:rsidR="008C2534" w:rsidRDefault="008C2534">
      <w:pPr>
        <w:tabs>
          <w:tab w:val="left" w:pos="5287"/>
        </w:tabs>
        <w:rPr>
          <w:rFonts w:eastAsia="Times New Roman" w:cs="Arial"/>
          <w:color w:val="000000"/>
          <w:lang w:eastAsia="fr-FR"/>
        </w:rPr>
      </w:pPr>
    </w:p>
    <w:p w14:paraId="7FE4E757" w14:textId="77777777" w:rsidR="008C2534" w:rsidRDefault="003A75A5">
      <w:pPr>
        <w:tabs>
          <w:tab w:val="left" w:pos="5287"/>
        </w:tabs>
        <w:rPr>
          <w:rFonts w:eastAsia="Times New Roman" w:cs="Arial"/>
          <w:color w:val="000000"/>
          <w:lang w:eastAsia="fr-FR"/>
        </w:rPr>
      </w:pPr>
      <w:r>
        <w:rPr>
          <w:rFonts w:eastAsia="Times New Roman" w:cs="Arial"/>
          <w:color w:val="000000"/>
          <w:lang w:eastAsia="fr-FR"/>
        </w:rPr>
        <w:t xml:space="preserve">CE </w:t>
      </w:r>
      <w:r>
        <w:rPr>
          <w:rFonts w:eastAsia="Times New Roman" w:cs="Arial"/>
          <w:color w:val="000000"/>
          <w:u w:val="single"/>
          <w:lang w:eastAsia="fr-FR"/>
        </w:rPr>
        <w:t>DOCUMENT CONFIDENTIEL</w:t>
      </w:r>
      <w:r>
        <w:rPr>
          <w:rFonts w:eastAsia="Times New Roman" w:cs="Arial"/>
          <w:color w:val="000000"/>
          <w:lang w:eastAsia="fr-FR"/>
        </w:rPr>
        <w:t xml:space="preserve"> EST LA PROPRIETE DU CHR d’ORLEANS AUCUNE INFORMATION NON PUBLIEE FIGURANT DANS CE DOCUMENT NE PEUT ETRE DIVULGUEE SANS AUTORISATION ECRITE PREALABLE DU CENTRE HOSPITALIER.</w:t>
      </w:r>
      <w:r>
        <w:rPr>
          <w:rFonts w:eastAsia="Times New Roman" w:cs="Arial"/>
          <w:color w:val="000000"/>
          <w:lang w:eastAsia="fr-FR"/>
        </w:rPr>
        <w:br w:type="page"/>
      </w:r>
    </w:p>
    <w:p w14:paraId="7FE4E758" w14:textId="77777777" w:rsidR="008C2534" w:rsidRDefault="003A75A5">
      <w:pPr>
        <w:pBdr>
          <w:bottom w:val="single" w:sz="4" w:space="1" w:color="auto"/>
        </w:pBdr>
        <w:jc w:val="center"/>
        <w:rPr>
          <w:rFonts w:asciiTheme="majorHAnsi" w:hAnsiTheme="majorHAnsi"/>
          <w:sz w:val="36"/>
        </w:rPr>
      </w:pPr>
      <w:r>
        <w:rPr>
          <w:rFonts w:asciiTheme="majorHAnsi" w:hAnsiTheme="majorHAnsi"/>
          <w:sz w:val="36"/>
        </w:rPr>
        <w:lastRenderedPageBreak/>
        <w:t>Table des matières</w:t>
      </w:r>
    </w:p>
    <w:sdt>
      <w:sdtPr>
        <w:rPr>
          <w:rFonts w:asciiTheme="minorHAnsi" w:eastAsiaTheme="minorHAnsi" w:hAnsiTheme="minorHAnsi" w:cstheme="minorBidi"/>
          <w:b w:val="0"/>
          <w:bCs w:val="0"/>
          <w:smallCaps w:val="0"/>
          <w:color w:val="auto"/>
          <w:sz w:val="22"/>
          <w:szCs w:val="22"/>
        </w:rPr>
        <w:id w:val="1854228752"/>
        <w:docPartObj>
          <w:docPartGallery w:val="Table of Contents"/>
          <w:docPartUnique/>
        </w:docPartObj>
      </w:sdtPr>
      <w:sdtEndPr/>
      <w:sdtContent>
        <w:p w14:paraId="7FE4E759" w14:textId="77777777" w:rsidR="008C2534" w:rsidRDefault="003A75A5">
          <w:pPr>
            <w:pStyle w:val="Titre1"/>
            <w:numPr>
              <w:ilvl w:val="0"/>
              <w:numId w:val="0"/>
            </w:numPr>
            <w:rPr>
              <w:rFonts w:eastAsiaTheme="minorEastAsia"/>
              <w:noProof/>
              <w:lang w:eastAsia="fr-FR"/>
            </w:rPr>
          </w:pPr>
          <w:r>
            <w:fldChar w:fldCharType="begin"/>
          </w:r>
          <w:r>
            <w:instrText xml:space="preserve"> TOC \o "1-2" \h \z \u </w:instrText>
          </w:r>
          <w:r>
            <w:fldChar w:fldCharType="separate"/>
          </w:r>
        </w:p>
        <w:p w14:paraId="7FE4E75A" w14:textId="77777777" w:rsidR="008C2534" w:rsidRDefault="003A75A5">
          <w:pPr>
            <w:pStyle w:val="TM1"/>
            <w:tabs>
              <w:tab w:val="right" w:leader="dot" w:pos="9060"/>
            </w:tabs>
            <w:rPr>
              <w:rFonts w:eastAsiaTheme="minorEastAsia"/>
              <w:noProof/>
              <w:lang w:eastAsia="fr-FR"/>
            </w:rPr>
          </w:pPr>
          <w:hyperlink w:anchor="_Toc505606777" w:history="1">
            <w:r>
              <w:rPr>
                <w:rStyle w:val="Lienhypertexte"/>
                <w:noProof/>
              </w:rPr>
              <w:t>Résumé</w:t>
            </w:r>
            <w:r>
              <w:rPr>
                <w:noProof/>
                <w:webHidden/>
              </w:rPr>
              <w:tab/>
            </w:r>
            <w:r>
              <w:rPr>
                <w:noProof/>
                <w:webHidden/>
              </w:rPr>
              <w:fldChar w:fldCharType="begin"/>
            </w:r>
            <w:r>
              <w:rPr>
                <w:noProof/>
                <w:webHidden/>
              </w:rPr>
              <w:instrText xml:space="preserve"> PAGEREF _Toc505606777 \h </w:instrText>
            </w:r>
            <w:r>
              <w:rPr>
                <w:noProof/>
                <w:webHidden/>
              </w:rPr>
            </w:r>
            <w:r>
              <w:rPr>
                <w:noProof/>
                <w:webHidden/>
              </w:rPr>
              <w:fldChar w:fldCharType="separate"/>
            </w:r>
            <w:r>
              <w:rPr>
                <w:noProof/>
                <w:webHidden/>
              </w:rPr>
              <w:t>6</w:t>
            </w:r>
            <w:r>
              <w:rPr>
                <w:noProof/>
                <w:webHidden/>
              </w:rPr>
              <w:fldChar w:fldCharType="end"/>
            </w:r>
          </w:hyperlink>
        </w:p>
        <w:p w14:paraId="7FE4E75B" w14:textId="77777777" w:rsidR="008C2534" w:rsidRDefault="003A75A5">
          <w:pPr>
            <w:pStyle w:val="TM1"/>
            <w:tabs>
              <w:tab w:val="left" w:pos="480"/>
              <w:tab w:val="right" w:leader="dot" w:pos="9060"/>
            </w:tabs>
            <w:rPr>
              <w:rFonts w:eastAsiaTheme="minorEastAsia"/>
              <w:noProof/>
              <w:lang w:eastAsia="fr-FR"/>
            </w:rPr>
          </w:pPr>
          <w:hyperlink w:anchor="_Toc505606778" w:history="1">
            <w:r>
              <w:rPr>
                <w:rStyle w:val="Lienhypertexte"/>
                <w:noProof/>
              </w:rPr>
              <w:t>1.</w:t>
            </w:r>
            <w:r>
              <w:rPr>
                <w:rFonts w:eastAsiaTheme="minorEastAsia"/>
                <w:noProof/>
                <w:lang w:eastAsia="fr-FR"/>
              </w:rPr>
              <w:tab/>
            </w:r>
            <w:r>
              <w:rPr>
                <w:rStyle w:val="Lienhypertexte"/>
                <w:noProof/>
              </w:rPr>
              <w:t>Informations générales</w:t>
            </w:r>
            <w:r>
              <w:rPr>
                <w:noProof/>
                <w:webHidden/>
              </w:rPr>
              <w:tab/>
            </w:r>
            <w:r>
              <w:rPr>
                <w:noProof/>
                <w:webHidden/>
              </w:rPr>
              <w:fldChar w:fldCharType="begin"/>
            </w:r>
            <w:r>
              <w:rPr>
                <w:noProof/>
                <w:webHidden/>
              </w:rPr>
              <w:instrText xml:space="preserve"> PAGEREF _Toc505606778 \h </w:instrText>
            </w:r>
            <w:r>
              <w:rPr>
                <w:noProof/>
                <w:webHidden/>
              </w:rPr>
            </w:r>
            <w:r>
              <w:rPr>
                <w:noProof/>
                <w:webHidden/>
              </w:rPr>
              <w:fldChar w:fldCharType="separate"/>
            </w:r>
            <w:r>
              <w:rPr>
                <w:noProof/>
                <w:webHidden/>
              </w:rPr>
              <w:t>9</w:t>
            </w:r>
            <w:r>
              <w:rPr>
                <w:noProof/>
                <w:webHidden/>
              </w:rPr>
              <w:fldChar w:fldCharType="end"/>
            </w:r>
          </w:hyperlink>
        </w:p>
        <w:p w14:paraId="7FE4E75C" w14:textId="77777777" w:rsidR="008C2534" w:rsidRDefault="003A75A5">
          <w:pPr>
            <w:pStyle w:val="TM2"/>
            <w:tabs>
              <w:tab w:val="left" w:pos="960"/>
              <w:tab w:val="right" w:leader="dot" w:pos="9060"/>
            </w:tabs>
            <w:rPr>
              <w:rFonts w:eastAsiaTheme="minorEastAsia"/>
              <w:noProof/>
              <w:lang w:eastAsia="fr-FR"/>
            </w:rPr>
          </w:pPr>
          <w:hyperlink w:anchor="_Toc505606779" w:history="1">
            <w:r>
              <w:rPr>
                <w:rStyle w:val="Lienhypertexte"/>
                <w:noProof/>
              </w:rPr>
              <w:t>1.1.</w:t>
            </w:r>
            <w:r>
              <w:rPr>
                <w:rFonts w:eastAsiaTheme="minorEastAsia"/>
                <w:noProof/>
                <w:lang w:eastAsia="fr-FR"/>
              </w:rPr>
              <w:tab/>
            </w:r>
            <w:r>
              <w:rPr>
                <w:rStyle w:val="Lienhypertexte"/>
                <w:noProof/>
              </w:rPr>
              <w:t>Responsables du projet</w:t>
            </w:r>
            <w:r>
              <w:rPr>
                <w:noProof/>
                <w:webHidden/>
              </w:rPr>
              <w:tab/>
            </w:r>
            <w:r>
              <w:rPr>
                <w:noProof/>
                <w:webHidden/>
              </w:rPr>
              <w:fldChar w:fldCharType="begin"/>
            </w:r>
            <w:r>
              <w:rPr>
                <w:noProof/>
                <w:webHidden/>
              </w:rPr>
              <w:instrText xml:space="preserve"> PAGEREF _Toc505606779 \h </w:instrText>
            </w:r>
            <w:r>
              <w:rPr>
                <w:noProof/>
                <w:webHidden/>
              </w:rPr>
            </w:r>
            <w:r>
              <w:rPr>
                <w:noProof/>
                <w:webHidden/>
              </w:rPr>
              <w:fldChar w:fldCharType="separate"/>
            </w:r>
            <w:r>
              <w:rPr>
                <w:noProof/>
                <w:webHidden/>
              </w:rPr>
              <w:t>9</w:t>
            </w:r>
            <w:r>
              <w:rPr>
                <w:noProof/>
                <w:webHidden/>
              </w:rPr>
              <w:fldChar w:fldCharType="end"/>
            </w:r>
          </w:hyperlink>
        </w:p>
        <w:p w14:paraId="7FE4E75D" w14:textId="77777777" w:rsidR="008C2534" w:rsidRDefault="003A75A5">
          <w:pPr>
            <w:pStyle w:val="TM1"/>
            <w:tabs>
              <w:tab w:val="left" w:pos="480"/>
              <w:tab w:val="right" w:leader="dot" w:pos="9060"/>
            </w:tabs>
            <w:rPr>
              <w:rFonts w:eastAsiaTheme="minorEastAsia"/>
              <w:noProof/>
              <w:lang w:eastAsia="fr-FR"/>
            </w:rPr>
          </w:pPr>
          <w:hyperlink w:anchor="_Toc505606784" w:history="1">
            <w:r>
              <w:rPr>
                <w:rStyle w:val="Lienhypertexte"/>
                <w:noProof/>
              </w:rPr>
              <w:t>2.</w:t>
            </w:r>
            <w:r>
              <w:rPr>
                <w:rFonts w:eastAsiaTheme="minorEastAsia"/>
                <w:noProof/>
                <w:lang w:eastAsia="fr-FR"/>
              </w:rPr>
              <w:tab/>
            </w:r>
            <w:r>
              <w:rPr>
                <w:rStyle w:val="Lienhypertexte"/>
                <w:noProof/>
              </w:rPr>
              <w:t>Contexte et justification scientifique</w:t>
            </w:r>
            <w:r>
              <w:rPr>
                <w:noProof/>
                <w:webHidden/>
              </w:rPr>
              <w:tab/>
            </w:r>
            <w:r>
              <w:rPr>
                <w:noProof/>
                <w:webHidden/>
              </w:rPr>
              <w:fldChar w:fldCharType="begin"/>
            </w:r>
            <w:r>
              <w:rPr>
                <w:noProof/>
                <w:webHidden/>
              </w:rPr>
              <w:instrText xml:space="preserve"> PAGEREF _Toc505606784 \h </w:instrText>
            </w:r>
            <w:r>
              <w:rPr>
                <w:noProof/>
                <w:webHidden/>
              </w:rPr>
            </w:r>
            <w:r>
              <w:rPr>
                <w:noProof/>
                <w:webHidden/>
              </w:rPr>
              <w:fldChar w:fldCharType="separate"/>
            </w:r>
            <w:r>
              <w:rPr>
                <w:noProof/>
                <w:webHidden/>
              </w:rPr>
              <w:t>11</w:t>
            </w:r>
            <w:r>
              <w:rPr>
                <w:noProof/>
                <w:webHidden/>
              </w:rPr>
              <w:fldChar w:fldCharType="end"/>
            </w:r>
          </w:hyperlink>
        </w:p>
        <w:p w14:paraId="7FE4E75E" w14:textId="77777777" w:rsidR="008C2534" w:rsidRDefault="003A75A5">
          <w:pPr>
            <w:pStyle w:val="TM2"/>
            <w:tabs>
              <w:tab w:val="left" w:pos="960"/>
              <w:tab w:val="right" w:leader="dot" w:pos="9060"/>
            </w:tabs>
            <w:rPr>
              <w:rFonts w:eastAsiaTheme="minorEastAsia"/>
              <w:noProof/>
              <w:lang w:eastAsia="fr-FR"/>
            </w:rPr>
          </w:pPr>
          <w:hyperlink w:anchor="_Toc505606785" w:history="1">
            <w:r>
              <w:rPr>
                <w:rStyle w:val="Lienhypertexte"/>
                <w:noProof/>
              </w:rPr>
              <w:t>2.1.</w:t>
            </w:r>
            <w:r>
              <w:rPr>
                <w:rFonts w:eastAsiaTheme="minorEastAsia"/>
                <w:noProof/>
                <w:lang w:eastAsia="fr-FR"/>
              </w:rPr>
              <w:tab/>
            </w:r>
            <w:r>
              <w:rPr>
                <w:rStyle w:val="Lienhypertexte"/>
                <w:noProof/>
              </w:rPr>
              <w:t>Description de la pathologie</w:t>
            </w:r>
            <w:r>
              <w:rPr>
                <w:noProof/>
                <w:webHidden/>
              </w:rPr>
              <w:tab/>
            </w:r>
            <w:r>
              <w:rPr>
                <w:noProof/>
                <w:webHidden/>
              </w:rPr>
              <w:fldChar w:fldCharType="begin"/>
            </w:r>
            <w:r>
              <w:rPr>
                <w:noProof/>
                <w:webHidden/>
              </w:rPr>
              <w:instrText xml:space="preserve"> PAGEREF _Toc505606785 \h </w:instrText>
            </w:r>
            <w:r>
              <w:rPr>
                <w:noProof/>
                <w:webHidden/>
              </w:rPr>
            </w:r>
            <w:r>
              <w:rPr>
                <w:noProof/>
                <w:webHidden/>
              </w:rPr>
              <w:fldChar w:fldCharType="separate"/>
            </w:r>
            <w:r>
              <w:rPr>
                <w:noProof/>
                <w:webHidden/>
              </w:rPr>
              <w:t>12</w:t>
            </w:r>
            <w:r>
              <w:rPr>
                <w:noProof/>
                <w:webHidden/>
              </w:rPr>
              <w:fldChar w:fldCharType="end"/>
            </w:r>
          </w:hyperlink>
        </w:p>
        <w:p w14:paraId="7FE4E75F" w14:textId="77777777" w:rsidR="008C2534" w:rsidRDefault="003A75A5">
          <w:pPr>
            <w:pStyle w:val="TM2"/>
            <w:tabs>
              <w:tab w:val="left" w:pos="960"/>
              <w:tab w:val="right" w:leader="dot" w:pos="9060"/>
            </w:tabs>
            <w:rPr>
              <w:rFonts w:eastAsiaTheme="minorEastAsia"/>
              <w:noProof/>
              <w:lang w:eastAsia="fr-FR"/>
            </w:rPr>
          </w:pPr>
          <w:hyperlink w:anchor="_Toc505606786" w:history="1">
            <w:r>
              <w:rPr>
                <w:rStyle w:val="Lienhypertexte"/>
                <w:noProof/>
              </w:rPr>
              <w:t>2.2.</w:t>
            </w:r>
            <w:r>
              <w:rPr>
                <w:rFonts w:eastAsiaTheme="minorEastAsia"/>
                <w:noProof/>
                <w:lang w:eastAsia="fr-FR"/>
              </w:rPr>
              <w:tab/>
            </w:r>
            <w:r>
              <w:rPr>
                <w:rStyle w:val="Lienhypertexte"/>
                <w:noProof/>
              </w:rPr>
              <w:t>Description de la stratégie étudiée</w:t>
            </w:r>
            <w:r>
              <w:rPr>
                <w:noProof/>
                <w:webHidden/>
              </w:rPr>
              <w:tab/>
            </w:r>
            <w:r>
              <w:rPr>
                <w:noProof/>
                <w:webHidden/>
              </w:rPr>
              <w:fldChar w:fldCharType="begin"/>
            </w:r>
            <w:r>
              <w:rPr>
                <w:noProof/>
                <w:webHidden/>
              </w:rPr>
              <w:instrText xml:space="preserve"> PAGEREF _Toc505606786 \h </w:instrText>
            </w:r>
            <w:r>
              <w:rPr>
                <w:noProof/>
                <w:webHidden/>
              </w:rPr>
            </w:r>
            <w:r>
              <w:rPr>
                <w:noProof/>
                <w:webHidden/>
              </w:rPr>
              <w:fldChar w:fldCharType="separate"/>
            </w:r>
            <w:r>
              <w:rPr>
                <w:noProof/>
                <w:webHidden/>
              </w:rPr>
              <w:t>13</w:t>
            </w:r>
            <w:r>
              <w:rPr>
                <w:noProof/>
                <w:webHidden/>
              </w:rPr>
              <w:fldChar w:fldCharType="end"/>
            </w:r>
          </w:hyperlink>
        </w:p>
        <w:p w14:paraId="7FE4E760" w14:textId="77777777" w:rsidR="008C2534" w:rsidRDefault="003A75A5">
          <w:pPr>
            <w:pStyle w:val="TM2"/>
            <w:tabs>
              <w:tab w:val="left" w:pos="960"/>
              <w:tab w:val="right" w:leader="dot" w:pos="9060"/>
            </w:tabs>
            <w:rPr>
              <w:rFonts w:eastAsiaTheme="minorEastAsia"/>
              <w:noProof/>
              <w:lang w:eastAsia="fr-FR"/>
            </w:rPr>
          </w:pPr>
          <w:hyperlink w:anchor="_Toc505606787" w:history="1">
            <w:r>
              <w:rPr>
                <w:rStyle w:val="Lienhypertexte"/>
                <w:noProof/>
              </w:rPr>
              <w:t>2.3.</w:t>
            </w:r>
            <w:r>
              <w:rPr>
                <w:rFonts w:eastAsiaTheme="minorEastAsia"/>
                <w:noProof/>
                <w:lang w:eastAsia="fr-FR"/>
              </w:rPr>
              <w:tab/>
            </w:r>
            <w:r>
              <w:rPr>
                <w:rStyle w:val="Lienhypertexte"/>
                <w:noProof/>
              </w:rPr>
              <w:t>Résumé des résultats des essais non cliniques et des essais cliniques disponibles</w:t>
            </w:r>
            <w:r>
              <w:rPr>
                <w:noProof/>
                <w:webHidden/>
              </w:rPr>
              <w:tab/>
            </w:r>
            <w:r>
              <w:rPr>
                <w:noProof/>
                <w:webHidden/>
              </w:rPr>
              <w:fldChar w:fldCharType="begin"/>
            </w:r>
            <w:r>
              <w:rPr>
                <w:noProof/>
                <w:webHidden/>
              </w:rPr>
              <w:instrText xml:space="preserve"> PAGEREF _Toc505606787 \h </w:instrText>
            </w:r>
            <w:r>
              <w:rPr>
                <w:noProof/>
                <w:webHidden/>
              </w:rPr>
            </w:r>
            <w:r>
              <w:rPr>
                <w:noProof/>
                <w:webHidden/>
              </w:rPr>
              <w:fldChar w:fldCharType="separate"/>
            </w:r>
            <w:r>
              <w:rPr>
                <w:noProof/>
                <w:webHidden/>
              </w:rPr>
              <w:t>15</w:t>
            </w:r>
            <w:r>
              <w:rPr>
                <w:noProof/>
                <w:webHidden/>
              </w:rPr>
              <w:fldChar w:fldCharType="end"/>
            </w:r>
          </w:hyperlink>
        </w:p>
        <w:p w14:paraId="7FE4E761" w14:textId="77777777" w:rsidR="008C2534" w:rsidRDefault="003A75A5">
          <w:pPr>
            <w:pStyle w:val="TM1"/>
            <w:tabs>
              <w:tab w:val="left" w:pos="480"/>
              <w:tab w:val="right" w:leader="dot" w:pos="9060"/>
            </w:tabs>
            <w:rPr>
              <w:rFonts w:eastAsiaTheme="minorEastAsia"/>
              <w:noProof/>
              <w:lang w:eastAsia="fr-FR"/>
            </w:rPr>
          </w:pPr>
          <w:hyperlink w:anchor="_Toc505606788" w:history="1">
            <w:r>
              <w:rPr>
                <w:rStyle w:val="Lienhypertexte"/>
                <w:noProof/>
              </w:rPr>
              <w:t>3.</w:t>
            </w:r>
            <w:r>
              <w:rPr>
                <w:rFonts w:eastAsiaTheme="minorEastAsia"/>
                <w:noProof/>
                <w:lang w:eastAsia="fr-FR"/>
              </w:rPr>
              <w:tab/>
            </w:r>
            <w:r>
              <w:rPr>
                <w:rStyle w:val="Lienhypertexte"/>
                <w:noProof/>
              </w:rPr>
              <w:t>Objectifs de la recherche</w:t>
            </w:r>
            <w:r>
              <w:rPr>
                <w:noProof/>
                <w:webHidden/>
              </w:rPr>
              <w:tab/>
            </w:r>
            <w:r>
              <w:rPr>
                <w:noProof/>
                <w:webHidden/>
              </w:rPr>
              <w:fldChar w:fldCharType="begin"/>
            </w:r>
            <w:r>
              <w:rPr>
                <w:noProof/>
                <w:webHidden/>
              </w:rPr>
              <w:instrText xml:space="preserve"> PAGEREF _Toc505606788 \h </w:instrText>
            </w:r>
            <w:r>
              <w:rPr>
                <w:noProof/>
                <w:webHidden/>
              </w:rPr>
            </w:r>
            <w:r>
              <w:rPr>
                <w:noProof/>
                <w:webHidden/>
              </w:rPr>
              <w:fldChar w:fldCharType="separate"/>
            </w:r>
            <w:r>
              <w:rPr>
                <w:noProof/>
                <w:webHidden/>
              </w:rPr>
              <w:t>16</w:t>
            </w:r>
            <w:r>
              <w:rPr>
                <w:noProof/>
                <w:webHidden/>
              </w:rPr>
              <w:fldChar w:fldCharType="end"/>
            </w:r>
          </w:hyperlink>
        </w:p>
        <w:p w14:paraId="7FE4E762" w14:textId="77777777" w:rsidR="008C2534" w:rsidRDefault="003A75A5">
          <w:pPr>
            <w:pStyle w:val="TM2"/>
            <w:tabs>
              <w:tab w:val="left" w:pos="960"/>
              <w:tab w:val="right" w:leader="dot" w:pos="9060"/>
            </w:tabs>
            <w:rPr>
              <w:rFonts w:eastAsiaTheme="minorEastAsia"/>
              <w:noProof/>
              <w:lang w:eastAsia="fr-FR"/>
            </w:rPr>
          </w:pPr>
          <w:hyperlink w:anchor="_Toc505606789" w:history="1">
            <w:r>
              <w:rPr>
                <w:rStyle w:val="Lienhypertexte"/>
                <w:noProof/>
              </w:rPr>
              <w:t>3.1.</w:t>
            </w:r>
            <w:r>
              <w:rPr>
                <w:rFonts w:eastAsiaTheme="minorEastAsia"/>
                <w:noProof/>
                <w:lang w:eastAsia="fr-FR"/>
              </w:rPr>
              <w:tab/>
            </w:r>
            <w:r>
              <w:rPr>
                <w:rStyle w:val="Lienhypertexte"/>
                <w:noProof/>
              </w:rPr>
              <w:t>Objectif principal</w:t>
            </w:r>
            <w:r>
              <w:rPr>
                <w:noProof/>
                <w:webHidden/>
              </w:rPr>
              <w:tab/>
            </w:r>
            <w:r>
              <w:rPr>
                <w:noProof/>
                <w:webHidden/>
              </w:rPr>
              <w:fldChar w:fldCharType="begin"/>
            </w:r>
            <w:r>
              <w:rPr>
                <w:noProof/>
                <w:webHidden/>
              </w:rPr>
              <w:instrText xml:space="preserve"> PAGEREF _Toc505606789 \h </w:instrText>
            </w:r>
            <w:r>
              <w:rPr>
                <w:noProof/>
                <w:webHidden/>
              </w:rPr>
            </w:r>
            <w:r>
              <w:rPr>
                <w:noProof/>
                <w:webHidden/>
              </w:rPr>
              <w:fldChar w:fldCharType="separate"/>
            </w:r>
            <w:r>
              <w:rPr>
                <w:noProof/>
                <w:webHidden/>
              </w:rPr>
              <w:t>16</w:t>
            </w:r>
            <w:r>
              <w:rPr>
                <w:noProof/>
                <w:webHidden/>
              </w:rPr>
              <w:fldChar w:fldCharType="end"/>
            </w:r>
          </w:hyperlink>
        </w:p>
        <w:p w14:paraId="7FE4E763" w14:textId="77777777" w:rsidR="008C2534" w:rsidRDefault="003A75A5">
          <w:pPr>
            <w:pStyle w:val="TM2"/>
            <w:tabs>
              <w:tab w:val="left" w:pos="960"/>
              <w:tab w:val="right" w:leader="dot" w:pos="9060"/>
            </w:tabs>
            <w:rPr>
              <w:rFonts w:eastAsiaTheme="minorEastAsia"/>
              <w:noProof/>
              <w:lang w:eastAsia="fr-FR"/>
            </w:rPr>
          </w:pPr>
          <w:hyperlink w:anchor="_Toc505606790" w:history="1">
            <w:r>
              <w:rPr>
                <w:rStyle w:val="Lienhypertexte"/>
                <w:noProof/>
              </w:rPr>
              <w:t>3.2.</w:t>
            </w:r>
            <w:r>
              <w:rPr>
                <w:rFonts w:eastAsiaTheme="minorEastAsia"/>
                <w:noProof/>
                <w:lang w:eastAsia="fr-FR"/>
              </w:rPr>
              <w:tab/>
            </w:r>
            <w:r>
              <w:rPr>
                <w:rStyle w:val="Lienhypertexte"/>
                <w:noProof/>
              </w:rPr>
              <w:t>Objectifs secondaires</w:t>
            </w:r>
            <w:r>
              <w:rPr>
                <w:noProof/>
                <w:webHidden/>
              </w:rPr>
              <w:tab/>
            </w:r>
            <w:r>
              <w:rPr>
                <w:noProof/>
                <w:webHidden/>
              </w:rPr>
              <w:fldChar w:fldCharType="begin"/>
            </w:r>
            <w:r>
              <w:rPr>
                <w:noProof/>
                <w:webHidden/>
              </w:rPr>
              <w:instrText xml:space="preserve"> PAGEREF _Toc505606790 \h </w:instrText>
            </w:r>
            <w:r>
              <w:rPr>
                <w:noProof/>
                <w:webHidden/>
              </w:rPr>
            </w:r>
            <w:r>
              <w:rPr>
                <w:noProof/>
                <w:webHidden/>
              </w:rPr>
              <w:fldChar w:fldCharType="separate"/>
            </w:r>
            <w:r>
              <w:rPr>
                <w:noProof/>
                <w:webHidden/>
              </w:rPr>
              <w:t>16</w:t>
            </w:r>
            <w:r>
              <w:rPr>
                <w:noProof/>
                <w:webHidden/>
              </w:rPr>
              <w:fldChar w:fldCharType="end"/>
            </w:r>
          </w:hyperlink>
        </w:p>
        <w:p w14:paraId="7FE4E764" w14:textId="77777777" w:rsidR="008C2534" w:rsidRDefault="003A75A5">
          <w:pPr>
            <w:pStyle w:val="TM2"/>
            <w:tabs>
              <w:tab w:val="left" w:pos="960"/>
              <w:tab w:val="right" w:leader="dot" w:pos="9060"/>
            </w:tabs>
            <w:rPr>
              <w:rFonts w:eastAsiaTheme="minorEastAsia"/>
              <w:noProof/>
              <w:lang w:eastAsia="fr-FR"/>
            </w:rPr>
          </w:pPr>
          <w:hyperlink w:anchor="_Toc505606791" w:history="1">
            <w:r>
              <w:rPr>
                <w:rStyle w:val="Lienhypertexte"/>
                <w:noProof/>
              </w:rPr>
              <w:t>3.3.</w:t>
            </w:r>
            <w:r>
              <w:rPr>
                <w:rFonts w:eastAsiaTheme="minorEastAsia"/>
                <w:noProof/>
                <w:lang w:eastAsia="fr-FR"/>
              </w:rPr>
              <w:tab/>
            </w:r>
            <w:r>
              <w:rPr>
                <w:rStyle w:val="Lienhypertexte"/>
                <w:noProof/>
              </w:rPr>
              <w:t>Critère d’évaluation principal</w:t>
            </w:r>
            <w:r>
              <w:rPr>
                <w:noProof/>
                <w:webHidden/>
              </w:rPr>
              <w:tab/>
            </w:r>
            <w:r>
              <w:rPr>
                <w:noProof/>
                <w:webHidden/>
              </w:rPr>
              <w:fldChar w:fldCharType="begin"/>
            </w:r>
            <w:r>
              <w:rPr>
                <w:noProof/>
                <w:webHidden/>
              </w:rPr>
              <w:instrText xml:space="preserve"> PAGEREF _Toc505606791 \h </w:instrText>
            </w:r>
            <w:r>
              <w:rPr>
                <w:noProof/>
                <w:webHidden/>
              </w:rPr>
            </w:r>
            <w:r>
              <w:rPr>
                <w:noProof/>
                <w:webHidden/>
              </w:rPr>
              <w:fldChar w:fldCharType="separate"/>
            </w:r>
            <w:r>
              <w:rPr>
                <w:noProof/>
                <w:webHidden/>
              </w:rPr>
              <w:t>16</w:t>
            </w:r>
            <w:r>
              <w:rPr>
                <w:noProof/>
                <w:webHidden/>
              </w:rPr>
              <w:fldChar w:fldCharType="end"/>
            </w:r>
          </w:hyperlink>
        </w:p>
        <w:p w14:paraId="7FE4E765" w14:textId="77777777" w:rsidR="008C2534" w:rsidRDefault="003A75A5">
          <w:pPr>
            <w:pStyle w:val="TM2"/>
            <w:tabs>
              <w:tab w:val="left" w:pos="960"/>
              <w:tab w:val="right" w:leader="dot" w:pos="9060"/>
            </w:tabs>
            <w:rPr>
              <w:rFonts w:eastAsiaTheme="minorEastAsia"/>
              <w:noProof/>
              <w:lang w:eastAsia="fr-FR"/>
            </w:rPr>
          </w:pPr>
          <w:hyperlink w:anchor="_Toc505606792" w:history="1">
            <w:r>
              <w:rPr>
                <w:rStyle w:val="Lienhypertexte"/>
                <w:noProof/>
              </w:rPr>
              <w:t>3.4.</w:t>
            </w:r>
            <w:r>
              <w:rPr>
                <w:rFonts w:eastAsiaTheme="minorEastAsia"/>
                <w:noProof/>
                <w:lang w:eastAsia="fr-FR"/>
              </w:rPr>
              <w:tab/>
            </w:r>
            <w:r>
              <w:rPr>
                <w:rStyle w:val="Lienhypertexte"/>
                <w:noProof/>
              </w:rPr>
              <w:t>Critères d’évaluation secondaires</w:t>
            </w:r>
            <w:r>
              <w:rPr>
                <w:noProof/>
                <w:webHidden/>
              </w:rPr>
              <w:tab/>
            </w:r>
            <w:r>
              <w:rPr>
                <w:noProof/>
                <w:webHidden/>
              </w:rPr>
              <w:fldChar w:fldCharType="begin"/>
            </w:r>
            <w:r>
              <w:rPr>
                <w:noProof/>
                <w:webHidden/>
              </w:rPr>
              <w:instrText xml:space="preserve"> PAGEREF _Toc505606792 \h </w:instrText>
            </w:r>
            <w:r>
              <w:rPr>
                <w:noProof/>
                <w:webHidden/>
              </w:rPr>
            </w:r>
            <w:r>
              <w:rPr>
                <w:noProof/>
                <w:webHidden/>
              </w:rPr>
              <w:fldChar w:fldCharType="separate"/>
            </w:r>
            <w:r>
              <w:rPr>
                <w:noProof/>
                <w:webHidden/>
              </w:rPr>
              <w:t>16</w:t>
            </w:r>
            <w:r>
              <w:rPr>
                <w:noProof/>
                <w:webHidden/>
              </w:rPr>
              <w:fldChar w:fldCharType="end"/>
            </w:r>
          </w:hyperlink>
        </w:p>
        <w:p w14:paraId="7FE4E766" w14:textId="77777777" w:rsidR="008C2534" w:rsidRDefault="003A75A5">
          <w:pPr>
            <w:pStyle w:val="TM1"/>
            <w:tabs>
              <w:tab w:val="left" w:pos="480"/>
              <w:tab w:val="right" w:leader="dot" w:pos="9060"/>
            </w:tabs>
            <w:rPr>
              <w:rFonts w:eastAsiaTheme="minorEastAsia"/>
              <w:noProof/>
              <w:lang w:eastAsia="fr-FR"/>
            </w:rPr>
          </w:pPr>
          <w:hyperlink w:anchor="_Toc505606793" w:history="1">
            <w:r>
              <w:rPr>
                <w:rStyle w:val="Lienhypertexte"/>
                <w:noProof/>
              </w:rPr>
              <w:t>4.</w:t>
            </w:r>
            <w:r>
              <w:rPr>
                <w:rFonts w:eastAsiaTheme="minorEastAsia"/>
                <w:noProof/>
                <w:lang w:eastAsia="fr-FR"/>
              </w:rPr>
              <w:tab/>
            </w:r>
            <w:r>
              <w:rPr>
                <w:rStyle w:val="Lienhypertexte"/>
                <w:noProof/>
              </w:rPr>
              <w:t>Population de l’étude</w:t>
            </w:r>
            <w:r>
              <w:rPr>
                <w:noProof/>
                <w:webHidden/>
              </w:rPr>
              <w:tab/>
            </w:r>
            <w:r>
              <w:rPr>
                <w:noProof/>
                <w:webHidden/>
              </w:rPr>
              <w:fldChar w:fldCharType="begin"/>
            </w:r>
            <w:r>
              <w:rPr>
                <w:noProof/>
                <w:webHidden/>
              </w:rPr>
              <w:instrText xml:space="preserve"> PAGEREF _Toc505606793 \h </w:instrText>
            </w:r>
            <w:r>
              <w:rPr>
                <w:noProof/>
                <w:webHidden/>
              </w:rPr>
            </w:r>
            <w:r>
              <w:rPr>
                <w:noProof/>
                <w:webHidden/>
              </w:rPr>
              <w:fldChar w:fldCharType="separate"/>
            </w:r>
            <w:r>
              <w:rPr>
                <w:noProof/>
                <w:webHidden/>
              </w:rPr>
              <w:t>17</w:t>
            </w:r>
            <w:r>
              <w:rPr>
                <w:noProof/>
                <w:webHidden/>
              </w:rPr>
              <w:fldChar w:fldCharType="end"/>
            </w:r>
          </w:hyperlink>
        </w:p>
        <w:p w14:paraId="7FE4E767" w14:textId="77777777" w:rsidR="008C2534" w:rsidRDefault="003A75A5">
          <w:pPr>
            <w:pStyle w:val="TM2"/>
            <w:tabs>
              <w:tab w:val="left" w:pos="960"/>
              <w:tab w:val="right" w:leader="dot" w:pos="9060"/>
            </w:tabs>
            <w:rPr>
              <w:rFonts w:eastAsiaTheme="minorEastAsia"/>
              <w:noProof/>
              <w:lang w:eastAsia="fr-FR"/>
            </w:rPr>
          </w:pPr>
          <w:hyperlink w:anchor="_Toc505606794" w:history="1">
            <w:r>
              <w:rPr>
                <w:rStyle w:val="Lienhypertexte"/>
                <w:noProof/>
              </w:rPr>
              <w:t>4.1.</w:t>
            </w:r>
            <w:r>
              <w:rPr>
                <w:rFonts w:eastAsiaTheme="minorEastAsia"/>
                <w:noProof/>
                <w:lang w:eastAsia="fr-FR"/>
              </w:rPr>
              <w:tab/>
            </w:r>
            <w:r>
              <w:rPr>
                <w:rStyle w:val="Lienhypertexte"/>
                <w:noProof/>
              </w:rPr>
              <w:t>Critères d’inclusion</w:t>
            </w:r>
            <w:r>
              <w:rPr>
                <w:noProof/>
                <w:webHidden/>
              </w:rPr>
              <w:tab/>
            </w:r>
            <w:r>
              <w:rPr>
                <w:noProof/>
                <w:webHidden/>
              </w:rPr>
              <w:fldChar w:fldCharType="begin"/>
            </w:r>
            <w:r>
              <w:rPr>
                <w:noProof/>
                <w:webHidden/>
              </w:rPr>
              <w:instrText xml:space="preserve"> PAGEREF _Toc505606794 \h </w:instrText>
            </w:r>
            <w:r>
              <w:rPr>
                <w:noProof/>
                <w:webHidden/>
              </w:rPr>
            </w:r>
            <w:r>
              <w:rPr>
                <w:noProof/>
                <w:webHidden/>
              </w:rPr>
              <w:fldChar w:fldCharType="separate"/>
            </w:r>
            <w:r>
              <w:rPr>
                <w:noProof/>
                <w:webHidden/>
              </w:rPr>
              <w:t>17</w:t>
            </w:r>
            <w:r>
              <w:rPr>
                <w:noProof/>
                <w:webHidden/>
              </w:rPr>
              <w:fldChar w:fldCharType="end"/>
            </w:r>
          </w:hyperlink>
        </w:p>
        <w:p w14:paraId="7FE4E768" w14:textId="77777777" w:rsidR="008C2534" w:rsidRDefault="003A75A5">
          <w:pPr>
            <w:pStyle w:val="TM2"/>
            <w:tabs>
              <w:tab w:val="left" w:pos="960"/>
              <w:tab w:val="right" w:leader="dot" w:pos="9060"/>
            </w:tabs>
            <w:rPr>
              <w:rFonts w:eastAsiaTheme="minorEastAsia"/>
              <w:noProof/>
              <w:lang w:eastAsia="fr-FR"/>
            </w:rPr>
          </w:pPr>
          <w:hyperlink w:anchor="_Toc505606795" w:history="1">
            <w:r>
              <w:rPr>
                <w:rStyle w:val="Lienhypertexte"/>
                <w:noProof/>
              </w:rPr>
              <w:t>4.2.</w:t>
            </w:r>
            <w:r>
              <w:rPr>
                <w:rFonts w:eastAsiaTheme="minorEastAsia"/>
                <w:noProof/>
                <w:lang w:eastAsia="fr-FR"/>
              </w:rPr>
              <w:tab/>
            </w:r>
            <w:r>
              <w:rPr>
                <w:rStyle w:val="Lienhypertexte"/>
                <w:noProof/>
              </w:rPr>
              <w:t>Critères de non-inclusion</w:t>
            </w:r>
            <w:r>
              <w:rPr>
                <w:noProof/>
                <w:webHidden/>
              </w:rPr>
              <w:tab/>
            </w:r>
            <w:r>
              <w:rPr>
                <w:noProof/>
                <w:webHidden/>
              </w:rPr>
              <w:fldChar w:fldCharType="begin"/>
            </w:r>
            <w:r>
              <w:rPr>
                <w:noProof/>
                <w:webHidden/>
              </w:rPr>
              <w:instrText xml:space="preserve"> PAGEREF _Toc505606795 \h </w:instrText>
            </w:r>
            <w:r>
              <w:rPr>
                <w:noProof/>
                <w:webHidden/>
              </w:rPr>
            </w:r>
            <w:r>
              <w:rPr>
                <w:noProof/>
                <w:webHidden/>
              </w:rPr>
              <w:fldChar w:fldCharType="separate"/>
            </w:r>
            <w:r>
              <w:rPr>
                <w:noProof/>
                <w:webHidden/>
              </w:rPr>
              <w:t>17</w:t>
            </w:r>
            <w:r>
              <w:rPr>
                <w:noProof/>
                <w:webHidden/>
              </w:rPr>
              <w:fldChar w:fldCharType="end"/>
            </w:r>
          </w:hyperlink>
        </w:p>
        <w:p w14:paraId="7FE4E769" w14:textId="77777777" w:rsidR="008C2534" w:rsidRDefault="003A75A5">
          <w:pPr>
            <w:pStyle w:val="TM2"/>
            <w:tabs>
              <w:tab w:val="left" w:pos="960"/>
              <w:tab w:val="right" w:leader="dot" w:pos="9060"/>
            </w:tabs>
            <w:rPr>
              <w:rFonts w:eastAsiaTheme="minorEastAsia"/>
              <w:noProof/>
              <w:lang w:eastAsia="fr-FR"/>
            </w:rPr>
          </w:pPr>
          <w:hyperlink w:anchor="_Toc505606796" w:history="1">
            <w:r>
              <w:rPr>
                <w:rStyle w:val="Lienhypertexte"/>
                <w:noProof/>
              </w:rPr>
              <w:t>4.3.</w:t>
            </w:r>
            <w:r>
              <w:rPr>
                <w:rFonts w:eastAsiaTheme="minorEastAsia"/>
                <w:noProof/>
                <w:lang w:eastAsia="fr-FR"/>
              </w:rPr>
              <w:tab/>
            </w:r>
            <w:r>
              <w:rPr>
                <w:rStyle w:val="Lienhypertexte"/>
                <w:noProof/>
              </w:rPr>
              <w:t>Modalités de recrutement</w:t>
            </w:r>
            <w:r>
              <w:rPr>
                <w:noProof/>
                <w:webHidden/>
              </w:rPr>
              <w:tab/>
            </w:r>
            <w:r>
              <w:rPr>
                <w:noProof/>
                <w:webHidden/>
              </w:rPr>
              <w:fldChar w:fldCharType="begin"/>
            </w:r>
            <w:r>
              <w:rPr>
                <w:noProof/>
                <w:webHidden/>
              </w:rPr>
              <w:instrText xml:space="preserve"> PAGEREF _Toc505606796 \h </w:instrText>
            </w:r>
            <w:r>
              <w:rPr>
                <w:noProof/>
                <w:webHidden/>
              </w:rPr>
            </w:r>
            <w:r>
              <w:rPr>
                <w:noProof/>
                <w:webHidden/>
              </w:rPr>
              <w:fldChar w:fldCharType="separate"/>
            </w:r>
            <w:r>
              <w:rPr>
                <w:noProof/>
                <w:webHidden/>
              </w:rPr>
              <w:t>17</w:t>
            </w:r>
            <w:r>
              <w:rPr>
                <w:noProof/>
                <w:webHidden/>
              </w:rPr>
              <w:fldChar w:fldCharType="end"/>
            </w:r>
          </w:hyperlink>
        </w:p>
        <w:p w14:paraId="7FE4E76A" w14:textId="77777777" w:rsidR="008C2534" w:rsidRDefault="003A75A5">
          <w:pPr>
            <w:pStyle w:val="TM2"/>
            <w:tabs>
              <w:tab w:val="left" w:pos="960"/>
              <w:tab w:val="right" w:leader="dot" w:pos="9060"/>
            </w:tabs>
            <w:rPr>
              <w:rFonts w:eastAsiaTheme="minorEastAsia"/>
              <w:noProof/>
              <w:lang w:eastAsia="fr-FR"/>
            </w:rPr>
          </w:pPr>
          <w:hyperlink w:anchor="_Toc505606797" w:history="1">
            <w:r>
              <w:rPr>
                <w:rStyle w:val="Lienhypertexte"/>
                <w:noProof/>
              </w:rPr>
              <w:t>4.4.</w:t>
            </w:r>
            <w:r>
              <w:rPr>
                <w:rFonts w:eastAsiaTheme="minorEastAsia"/>
                <w:noProof/>
                <w:lang w:eastAsia="fr-FR"/>
              </w:rPr>
              <w:tab/>
            </w:r>
            <w:r>
              <w:rPr>
                <w:rStyle w:val="Lienhypertexte"/>
                <w:noProof/>
              </w:rPr>
              <w:t>Bénéfice / risque</w:t>
            </w:r>
            <w:r>
              <w:rPr>
                <w:noProof/>
                <w:webHidden/>
              </w:rPr>
              <w:tab/>
            </w:r>
            <w:r>
              <w:rPr>
                <w:noProof/>
                <w:webHidden/>
              </w:rPr>
              <w:fldChar w:fldCharType="begin"/>
            </w:r>
            <w:r>
              <w:rPr>
                <w:noProof/>
                <w:webHidden/>
              </w:rPr>
              <w:instrText xml:space="preserve"> PAGEREF _Toc505606797 \h </w:instrText>
            </w:r>
            <w:r>
              <w:rPr>
                <w:noProof/>
                <w:webHidden/>
              </w:rPr>
            </w:r>
            <w:r>
              <w:rPr>
                <w:noProof/>
                <w:webHidden/>
              </w:rPr>
              <w:fldChar w:fldCharType="separate"/>
            </w:r>
            <w:r>
              <w:rPr>
                <w:noProof/>
                <w:webHidden/>
              </w:rPr>
              <w:t>18</w:t>
            </w:r>
            <w:r>
              <w:rPr>
                <w:noProof/>
                <w:webHidden/>
              </w:rPr>
              <w:fldChar w:fldCharType="end"/>
            </w:r>
          </w:hyperlink>
        </w:p>
        <w:p w14:paraId="7FE4E76B" w14:textId="77777777" w:rsidR="008C2534" w:rsidRDefault="003A75A5">
          <w:pPr>
            <w:pStyle w:val="TM1"/>
            <w:tabs>
              <w:tab w:val="left" w:pos="480"/>
              <w:tab w:val="right" w:leader="dot" w:pos="9060"/>
            </w:tabs>
            <w:rPr>
              <w:rFonts w:eastAsiaTheme="minorEastAsia"/>
              <w:noProof/>
              <w:lang w:eastAsia="fr-FR"/>
            </w:rPr>
          </w:pPr>
          <w:hyperlink w:anchor="_Toc505606798" w:history="1">
            <w:r>
              <w:rPr>
                <w:rStyle w:val="Lienhypertexte"/>
                <w:noProof/>
              </w:rPr>
              <w:t>5.</w:t>
            </w:r>
            <w:r>
              <w:rPr>
                <w:rFonts w:eastAsiaTheme="minorEastAsia"/>
                <w:noProof/>
                <w:lang w:eastAsia="fr-FR"/>
              </w:rPr>
              <w:tab/>
            </w:r>
            <w:r>
              <w:rPr>
                <w:rStyle w:val="Lienhypertexte"/>
                <w:noProof/>
              </w:rPr>
              <w:t>Conception de la recherche</w:t>
            </w:r>
            <w:r>
              <w:rPr>
                <w:noProof/>
                <w:webHidden/>
              </w:rPr>
              <w:tab/>
            </w:r>
            <w:r>
              <w:rPr>
                <w:noProof/>
                <w:webHidden/>
              </w:rPr>
              <w:fldChar w:fldCharType="begin"/>
            </w:r>
            <w:r>
              <w:rPr>
                <w:noProof/>
                <w:webHidden/>
              </w:rPr>
              <w:instrText xml:space="preserve"> PAGEREF _Toc505606798 \h </w:instrText>
            </w:r>
            <w:r>
              <w:rPr>
                <w:noProof/>
                <w:webHidden/>
              </w:rPr>
            </w:r>
            <w:r>
              <w:rPr>
                <w:noProof/>
                <w:webHidden/>
              </w:rPr>
              <w:fldChar w:fldCharType="separate"/>
            </w:r>
            <w:r>
              <w:rPr>
                <w:noProof/>
                <w:webHidden/>
              </w:rPr>
              <w:t>18</w:t>
            </w:r>
            <w:r>
              <w:rPr>
                <w:noProof/>
                <w:webHidden/>
              </w:rPr>
              <w:fldChar w:fldCharType="end"/>
            </w:r>
          </w:hyperlink>
        </w:p>
        <w:p w14:paraId="7FE4E76C" w14:textId="77777777" w:rsidR="008C2534" w:rsidRDefault="003A75A5">
          <w:pPr>
            <w:pStyle w:val="TM2"/>
            <w:tabs>
              <w:tab w:val="left" w:pos="960"/>
              <w:tab w:val="right" w:leader="dot" w:pos="9060"/>
            </w:tabs>
            <w:rPr>
              <w:rFonts w:eastAsiaTheme="minorEastAsia"/>
              <w:noProof/>
              <w:lang w:eastAsia="fr-FR"/>
            </w:rPr>
          </w:pPr>
          <w:hyperlink w:anchor="_Toc505606799" w:history="1">
            <w:r>
              <w:rPr>
                <w:rStyle w:val="Lienhypertexte"/>
                <w:noProof/>
              </w:rPr>
              <w:t>5.1.</w:t>
            </w:r>
            <w:r>
              <w:rPr>
                <w:rFonts w:eastAsiaTheme="minorEastAsia"/>
                <w:noProof/>
                <w:lang w:eastAsia="fr-FR"/>
              </w:rPr>
              <w:tab/>
            </w:r>
            <w:r>
              <w:rPr>
                <w:rStyle w:val="Lienhypertexte"/>
                <w:noProof/>
              </w:rPr>
              <w:t>Méthodologie de la recherche</w:t>
            </w:r>
            <w:r>
              <w:rPr>
                <w:noProof/>
                <w:webHidden/>
              </w:rPr>
              <w:tab/>
            </w:r>
            <w:r>
              <w:rPr>
                <w:noProof/>
                <w:webHidden/>
              </w:rPr>
              <w:fldChar w:fldCharType="begin"/>
            </w:r>
            <w:r>
              <w:rPr>
                <w:noProof/>
                <w:webHidden/>
              </w:rPr>
              <w:instrText xml:space="preserve"> PAGEREF _Toc505606799 \h </w:instrText>
            </w:r>
            <w:r>
              <w:rPr>
                <w:noProof/>
                <w:webHidden/>
              </w:rPr>
            </w:r>
            <w:r>
              <w:rPr>
                <w:noProof/>
                <w:webHidden/>
              </w:rPr>
              <w:fldChar w:fldCharType="separate"/>
            </w:r>
            <w:r>
              <w:rPr>
                <w:noProof/>
                <w:webHidden/>
              </w:rPr>
              <w:t>18</w:t>
            </w:r>
            <w:r>
              <w:rPr>
                <w:noProof/>
                <w:webHidden/>
              </w:rPr>
              <w:fldChar w:fldCharType="end"/>
            </w:r>
          </w:hyperlink>
        </w:p>
        <w:p w14:paraId="7FE4E76D" w14:textId="77777777" w:rsidR="008C2534" w:rsidRDefault="003A75A5">
          <w:pPr>
            <w:pStyle w:val="TM2"/>
            <w:tabs>
              <w:tab w:val="left" w:pos="960"/>
              <w:tab w:val="right" w:leader="dot" w:pos="9060"/>
            </w:tabs>
            <w:rPr>
              <w:rFonts w:eastAsiaTheme="minorEastAsia"/>
              <w:noProof/>
              <w:lang w:eastAsia="fr-FR"/>
            </w:rPr>
          </w:pPr>
          <w:hyperlink w:anchor="_Toc505606800" w:history="1">
            <w:r>
              <w:rPr>
                <w:rStyle w:val="Lienhypertexte"/>
                <w:noProof/>
              </w:rPr>
              <w:t>5.2.</w:t>
            </w:r>
            <w:r>
              <w:rPr>
                <w:rFonts w:eastAsiaTheme="minorEastAsia"/>
                <w:noProof/>
                <w:lang w:eastAsia="fr-FR"/>
              </w:rPr>
              <w:tab/>
            </w:r>
            <w:r>
              <w:rPr>
                <w:rStyle w:val="Lienhypertexte"/>
                <w:noProof/>
              </w:rPr>
              <w:t xml:space="preserve">Procédures </w:t>
            </w:r>
            <w:r>
              <w:rPr>
                <w:rStyle w:val="Lienhypertexte"/>
                <w:noProof/>
              </w:rPr>
              <w:t>spécifiques à La recherche</w:t>
            </w:r>
            <w:r>
              <w:rPr>
                <w:noProof/>
                <w:webHidden/>
              </w:rPr>
              <w:tab/>
            </w:r>
            <w:r>
              <w:rPr>
                <w:noProof/>
                <w:webHidden/>
              </w:rPr>
              <w:fldChar w:fldCharType="begin"/>
            </w:r>
            <w:r>
              <w:rPr>
                <w:noProof/>
                <w:webHidden/>
              </w:rPr>
              <w:instrText xml:space="preserve"> PAGEREF _Toc505606800 \h </w:instrText>
            </w:r>
            <w:r>
              <w:rPr>
                <w:noProof/>
                <w:webHidden/>
              </w:rPr>
            </w:r>
            <w:r>
              <w:rPr>
                <w:noProof/>
                <w:webHidden/>
              </w:rPr>
              <w:fldChar w:fldCharType="separate"/>
            </w:r>
            <w:r>
              <w:rPr>
                <w:noProof/>
                <w:webHidden/>
              </w:rPr>
              <w:t>18</w:t>
            </w:r>
            <w:r>
              <w:rPr>
                <w:noProof/>
                <w:webHidden/>
              </w:rPr>
              <w:fldChar w:fldCharType="end"/>
            </w:r>
          </w:hyperlink>
        </w:p>
        <w:p w14:paraId="7FE4E76E" w14:textId="77777777" w:rsidR="008C2534" w:rsidRDefault="003A75A5">
          <w:pPr>
            <w:pStyle w:val="TM2"/>
            <w:tabs>
              <w:tab w:val="left" w:pos="960"/>
              <w:tab w:val="right" w:leader="dot" w:pos="9060"/>
            </w:tabs>
            <w:rPr>
              <w:rFonts w:eastAsiaTheme="minorEastAsia"/>
              <w:noProof/>
              <w:lang w:eastAsia="fr-FR"/>
            </w:rPr>
          </w:pPr>
          <w:hyperlink w:anchor="_Toc505606801" w:history="1">
            <w:r>
              <w:rPr>
                <w:rStyle w:val="Lienhypertexte"/>
                <w:noProof/>
              </w:rPr>
              <w:t>5.3.</w:t>
            </w:r>
            <w:r>
              <w:rPr>
                <w:rFonts w:eastAsiaTheme="minorEastAsia"/>
                <w:noProof/>
                <w:lang w:eastAsia="fr-FR"/>
              </w:rPr>
              <w:tab/>
            </w:r>
            <w:r>
              <w:rPr>
                <w:rStyle w:val="Lienhypertexte"/>
                <w:noProof/>
              </w:rPr>
              <w:t>Déroulement de l’étude</w:t>
            </w:r>
            <w:r>
              <w:rPr>
                <w:noProof/>
                <w:webHidden/>
              </w:rPr>
              <w:tab/>
            </w:r>
            <w:r>
              <w:rPr>
                <w:noProof/>
                <w:webHidden/>
              </w:rPr>
              <w:fldChar w:fldCharType="begin"/>
            </w:r>
            <w:r>
              <w:rPr>
                <w:noProof/>
                <w:webHidden/>
              </w:rPr>
              <w:instrText xml:space="preserve"> PAGEREF _Toc505606801 \h </w:instrText>
            </w:r>
            <w:r>
              <w:rPr>
                <w:noProof/>
                <w:webHidden/>
              </w:rPr>
            </w:r>
            <w:r>
              <w:rPr>
                <w:noProof/>
                <w:webHidden/>
              </w:rPr>
              <w:fldChar w:fldCharType="separate"/>
            </w:r>
            <w:r>
              <w:rPr>
                <w:noProof/>
                <w:webHidden/>
              </w:rPr>
              <w:t>19</w:t>
            </w:r>
            <w:r>
              <w:rPr>
                <w:noProof/>
                <w:webHidden/>
              </w:rPr>
              <w:fldChar w:fldCharType="end"/>
            </w:r>
          </w:hyperlink>
        </w:p>
        <w:p w14:paraId="7FE4E76F" w14:textId="77777777" w:rsidR="008C2534" w:rsidRDefault="003A75A5">
          <w:pPr>
            <w:pStyle w:val="TM2"/>
            <w:tabs>
              <w:tab w:val="left" w:pos="960"/>
              <w:tab w:val="right" w:leader="dot" w:pos="9060"/>
            </w:tabs>
            <w:rPr>
              <w:rFonts w:eastAsiaTheme="minorEastAsia"/>
              <w:noProof/>
              <w:lang w:eastAsia="fr-FR"/>
            </w:rPr>
          </w:pPr>
          <w:hyperlink w:anchor="_Toc505606802" w:history="1">
            <w:r>
              <w:rPr>
                <w:rStyle w:val="Lienhypertexte"/>
                <w:noProof/>
              </w:rPr>
              <w:t>5.4.</w:t>
            </w:r>
            <w:r>
              <w:rPr>
                <w:rFonts w:eastAsiaTheme="minorEastAsia"/>
                <w:noProof/>
                <w:lang w:eastAsia="fr-FR"/>
              </w:rPr>
              <w:tab/>
            </w:r>
            <w:r>
              <w:rPr>
                <w:rStyle w:val="Lienhypertexte"/>
                <w:noProof/>
              </w:rPr>
              <w:t>Durée de la recherche</w:t>
            </w:r>
            <w:r>
              <w:rPr>
                <w:noProof/>
                <w:webHidden/>
              </w:rPr>
              <w:tab/>
            </w:r>
            <w:r>
              <w:rPr>
                <w:noProof/>
                <w:webHidden/>
              </w:rPr>
              <w:fldChar w:fldCharType="begin"/>
            </w:r>
            <w:r>
              <w:rPr>
                <w:noProof/>
                <w:webHidden/>
              </w:rPr>
              <w:instrText xml:space="preserve"> PAGEREF _Toc505606802 \h </w:instrText>
            </w:r>
            <w:r>
              <w:rPr>
                <w:noProof/>
                <w:webHidden/>
              </w:rPr>
            </w:r>
            <w:r>
              <w:rPr>
                <w:noProof/>
                <w:webHidden/>
              </w:rPr>
              <w:fldChar w:fldCharType="separate"/>
            </w:r>
            <w:r>
              <w:rPr>
                <w:noProof/>
                <w:webHidden/>
              </w:rPr>
              <w:t>19</w:t>
            </w:r>
            <w:r>
              <w:rPr>
                <w:noProof/>
                <w:webHidden/>
              </w:rPr>
              <w:fldChar w:fldCharType="end"/>
            </w:r>
          </w:hyperlink>
        </w:p>
        <w:p w14:paraId="7FE4E770" w14:textId="77777777" w:rsidR="008C2534" w:rsidRDefault="003A75A5">
          <w:pPr>
            <w:pStyle w:val="TM2"/>
            <w:tabs>
              <w:tab w:val="left" w:pos="960"/>
              <w:tab w:val="right" w:leader="dot" w:pos="9060"/>
            </w:tabs>
            <w:rPr>
              <w:rFonts w:eastAsiaTheme="minorEastAsia"/>
              <w:noProof/>
              <w:lang w:eastAsia="fr-FR"/>
            </w:rPr>
          </w:pPr>
          <w:hyperlink w:anchor="_Toc505606803" w:history="1">
            <w:r>
              <w:rPr>
                <w:rStyle w:val="Lienhypertexte"/>
                <w:noProof/>
              </w:rPr>
              <w:t>5.</w:t>
            </w:r>
            <w:r>
              <w:rPr>
                <w:rStyle w:val="Lienhypertexte"/>
                <w:noProof/>
              </w:rPr>
              <w:t>5.</w:t>
            </w:r>
            <w:r>
              <w:rPr>
                <w:rFonts w:eastAsiaTheme="minorEastAsia"/>
                <w:noProof/>
                <w:lang w:eastAsia="fr-FR"/>
              </w:rPr>
              <w:tab/>
            </w:r>
            <w:r>
              <w:rPr>
                <w:rStyle w:val="Lienhypertexte"/>
                <w:noProof/>
              </w:rPr>
              <w:t>Mesure prises pour réduire et éviter les biais</w:t>
            </w:r>
            <w:r>
              <w:rPr>
                <w:noProof/>
                <w:webHidden/>
              </w:rPr>
              <w:tab/>
            </w:r>
            <w:r>
              <w:rPr>
                <w:noProof/>
                <w:webHidden/>
              </w:rPr>
              <w:fldChar w:fldCharType="begin"/>
            </w:r>
            <w:r>
              <w:rPr>
                <w:noProof/>
                <w:webHidden/>
              </w:rPr>
              <w:instrText xml:space="preserve"> PAGEREF _Toc505606803 \h </w:instrText>
            </w:r>
            <w:r>
              <w:rPr>
                <w:noProof/>
                <w:webHidden/>
              </w:rPr>
            </w:r>
            <w:r>
              <w:rPr>
                <w:noProof/>
                <w:webHidden/>
              </w:rPr>
              <w:fldChar w:fldCharType="separate"/>
            </w:r>
            <w:r>
              <w:rPr>
                <w:noProof/>
                <w:webHidden/>
              </w:rPr>
              <w:t>20</w:t>
            </w:r>
            <w:r>
              <w:rPr>
                <w:noProof/>
                <w:webHidden/>
              </w:rPr>
              <w:fldChar w:fldCharType="end"/>
            </w:r>
          </w:hyperlink>
        </w:p>
        <w:p w14:paraId="7FE4E771" w14:textId="77777777" w:rsidR="008C2534" w:rsidRDefault="003A75A5">
          <w:pPr>
            <w:pStyle w:val="TM2"/>
            <w:tabs>
              <w:tab w:val="left" w:pos="480"/>
              <w:tab w:val="right" w:leader="dot" w:pos="9060"/>
            </w:tabs>
            <w:rPr>
              <w:rFonts w:eastAsiaTheme="minorEastAsia"/>
              <w:noProof/>
              <w:lang w:eastAsia="fr-FR"/>
            </w:rPr>
          </w:pPr>
          <w:hyperlink w:anchor="_Toc505606804" w:history="1">
            <w:r>
              <w:rPr>
                <w:rFonts w:eastAsiaTheme="minorEastAsia"/>
                <w:noProof/>
                <w:lang w:eastAsia="fr-FR"/>
              </w:rPr>
              <w:tab/>
            </w:r>
            <w:r>
              <w:rPr>
                <w:rStyle w:val="Lienhypertexte"/>
                <w:noProof/>
              </w:rPr>
              <w:t xml:space="preserve">Données recueillies dans le cahier d’observation </w:t>
            </w:r>
            <w:r>
              <w:rPr>
                <w:noProof/>
                <w:webHidden/>
              </w:rPr>
              <w:tab/>
            </w:r>
            <w:r>
              <w:rPr>
                <w:noProof/>
                <w:webHidden/>
              </w:rPr>
              <w:fldChar w:fldCharType="begin"/>
            </w:r>
            <w:r>
              <w:rPr>
                <w:noProof/>
                <w:webHidden/>
              </w:rPr>
              <w:instrText xml:space="preserve"> PAGEREF _Toc505606804 \h</w:instrText>
            </w:r>
            <w:r>
              <w:rPr>
                <w:noProof/>
                <w:webHidden/>
              </w:rPr>
              <w:instrText xml:space="preserve"> </w:instrText>
            </w:r>
            <w:r>
              <w:rPr>
                <w:noProof/>
                <w:webHidden/>
              </w:rPr>
            </w:r>
            <w:r>
              <w:rPr>
                <w:noProof/>
                <w:webHidden/>
              </w:rPr>
              <w:fldChar w:fldCharType="separate"/>
            </w:r>
            <w:r>
              <w:rPr>
                <w:noProof/>
                <w:webHidden/>
              </w:rPr>
              <w:t>20</w:t>
            </w:r>
            <w:r>
              <w:rPr>
                <w:noProof/>
                <w:webHidden/>
              </w:rPr>
              <w:fldChar w:fldCharType="end"/>
            </w:r>
          </w:hyperlink>
        </w:p>
        <w:p w14:paraId="7FE4E772" w14:textId="77777777" w:rsidR="008C2534" w:rsidRDefault="003A75A5">
          <w:pPr>
            <w:pStyle w:val="TM2"/>
            <w:tabs>
              <w:tab w:val="left" w:pos="960"/>
              <w:tab w:val="right" w:leader="dot" w:pos="9060"/>
            </w:tabs>
            <w:rPr>
              <w:rFonts w:eastAsiaTheme="minorEastAsia"/>
              <w:noProof/>
              <w:lang w:eastAsia="fr-FR"/>
            </w:rPr>
          </w:pPr>
          <w:hyperlink w:anchor="_Toc505606805" w:history="1">
            <w:r>
              <w:rPr>
                <w:rStyle w:val="Lienhypertexte"/>
                <w:noProof/>
              </w:rPr>
              <w:t>5.6.</w:t>
            </w:r>
            <w:r>
              <w:rPr>
                <w:rFonts w:eastAsiaTheme="minorEastAsia"/>
                <w:noProof/>
                <w:lang w:eastAsia="fr-FR"/>
              </w:rPr>
              <w:tab/>
            </w:r>
            <w:r>
              <w:rPr>
                <w:rStyle w:val="Lienhypertexte"/>
                <w:noProof/>
              </w:rPr>
              <w:t>Description des règles d’arrêt définitif ou temporaire</w:t>
            </w:r>
            <w:r>
              <w:rPr>
                <w:noProof/>
                <w:webHidden/>
              </w:rPr>
              <w:tab/>
            </w:r>
            <w:r>
              <w:rPr>
                <w:noProof/>
                <w:webHidden/>
              </w:rPr>
              <w:fldChar w:fldCharType="begin"/>
            </w:r>
            <w:r>
              <w:rPr>
                <w:noProof/>
                <w:webHidden/>
              </w:rPr>
              <w:instrText xml:space="preserve"> PAGEREF _Toc505606805 \h </w:instrText>
            </w:r>
            <w:r>
              <w:rPr>
                <w:noProof/>
                <w:webHidden/>
              </w:rPr>
            </w:r>
            <w:r>
              <w:rPr>
                <w:noProof/>
                <w:webHidden/>
              </w:rPr>
              <w:fldChar w:fldCharType="separate"/>
            </w:r>
            <w:r>
              <w:rPr>
                <w:noProof/>
                <w:webHidden/>
              </w:rPr>
              <w:t>21</w:t>
            </w:r>
            <w:r>
              <w:rPr>
                <w:noProof/>
                <w:webHidden/>
              </w:rPr>
              <w:fldChar w:fldCharType="end"/>
            </w:r>
          </w:hyperlink>
        </w:p>
        <w:p w14:paraId="7FE4E773" w14:textId="77777777" w:rsidR="008C2534" w:rsidRDefault="003A75A5">
          <w:pPr>
            <w:pStyle w:val="TM1"/>
            <w:tabs>
              <w:tab w:val="left" w:pos="480"/>
              <w:tab w:val="right" w:leader="dot" w:pos="9060"/>
            </w:tabs>
            <w:rPr>
              <w:rFonts w:eastAsiaTheme="minorEastAsia"/>
              <w:noProof/>
              <w:lang w:eastAsia="fr-FR"/>
            </w:rPr>
          </w:pPr>
          <w:hyperlink w:anchor="_Toc505606806" w:history="1">
            <w:r>
              <w:rPr>
                <w:rStyle w:val="Lienhypertexte"/>
                <w:noProof/>
              </w:rPr>
              <w:t>6.</w:t>
            </w:r>
            <w:r>
              <w:rPr>
                <w:rFonts w:eastAsiaTheme="minorEastAsia"/>
                <w:noProof/>
                <w:lang w:eastAsia="fr-FR"/>
              </w:rPr>
              <w:tab/>
            </w:r>
            <w:r>
              <w:rPr>
                <w:rStyle w:val="Lienhypertexte"/>
                <w:noProof/>
              </w:rPr>
              <w:t>Produits administrés aux personnes qui se prêtent à la recherche</w:t>
            </w:r>
            <w:r>
              <w:rPr>
                <w:noProof/>
                <w:webHidden/>
              </w:rPr>
              <w:tab/>
            </w:r>
            <w:r>
              <w:rPr>
                <w:noProof/>
                <w:webHidden/>
              </w:rPr>
              <w:fldChar w:fldCharType="begin"/>
            </w:r>
            <w:r>
              <w:rPr>
                <w:noProof/>
                <w:webHidden/>
              </w:rPr>
              <w:instrText xml:space="preserve"> PAGEREF _Toc505606806 \h </w:instrText>
            </w:r>
            <w:r>
              <w:rPr>
                <w:noProof/>
                <w:webHidden/>
              </w:rPr>
            </w:r>
            <w:r>
              <w:rPr>
                <w:noProof/>
                <w:webHidden/>
              </w:rPr>
              <w:fldChar w:fldCharType="separate"/>
            </w:r>
            <w:r>
              <w:rPr>
                <w:noProof/>
                <w:webHidden/>
              </w:rPr>
              <w:t>22</w:t>
            </w:r>
            <w:r>
              <w:rPr>
                <w:noProof/>
                <w:webHidden/>
              </w:rPr>
              <w:fldChar w:fldCharType="end"/>
            </w:r>
          </w:hyperlink>
        </w:p>
        <w:p w14:paraId="7FE4E774" w14:textId="77777777" w:rsidR="008C2534" w:rsidRDefault="003A75A5">
          <w:pPr>
            <w:pStyle w:val="TM2"/>
            <w:tabs>
              <w:tab w:val="left" w:pos="960"/>
              <w:tab w:val="right" w:leader="dot" w:pos="9060"/>
            </w:tabs>
            <w:rPr>
              <w:rFonts w:eastAsiaTheme="minorEastAsia"/>
              <w:noProof/>
              <w:lang w:eastAsia="fr-FR"/>
            </w:rPr>
          </w:pPr>
          <w:hyperlink w:anchor="_Toc505606807" w:history="1">
            <w:r>
              <w:rPr>
                <w:rStyle w:val="Lienhypertexte"/>
                <w:noProof/>
              </w:rPr>
              <w:t>6.1.</w:t>
            </w:r>
            <w:r>
              <w:rPr>
                <w:rFonts w:eastAsiaTheme="minorEastAsia"/>
                <w:noProof/>
                <w:lang w:eastAsia="fr-FR"/>
              </w:rPr>
              <w:tab/>
            </w:r>
            <w:r>
              <w:rPr>
                <w:rStyle w:val="Lienhypertexte"/>
                <w:noProof/>
              </w:rPr>
              <w:t>Traitements autorisés</w:t>
            </w:r>
            <w:r>
              <w:rPr>
                <w:noProof/>
                <w:webHidden/>
              </w:rPr>
              <w:tab/>
            </w:r>
            <w:r>
              <w:rPr>
                <w:noProof/>
                <w:webHidden/>
              </w:rPr>
              <w:fldChar w:fldCharType="begin"/>
            </w:r>
            <w:r>
              <w:rPr>
                <w:noProof/>
                <w:webHidden/>
              </w:rPr>
              <w:instrText xml:space="preserve"> PAGEREF _Toc505606807 \h </w:instrText>
            </w:r>
            <w:r>
              <w:rPr>
                <w:noProof/>
                <w:webHidden/>
              </w:rPr>
            </w:r>
            <w:r>
              <w:rPr>
                <w:noProof/>
                <w:webHidden/>
              </w:rPr>
              <w:fldChar w:fldCharType="separate"/>
            </w:r>
            <w:r>
              <w:rPr>
                <w:noProof/>
                <w:webHidden/>
              </w:rPr>
              <w:t>22</w:t>
            </w:r>
            <w:r>
              <w:rPr>
                <w:noProof/>
                <w:webHidden/>
              </w:rPr>
              <w:fldChar w:fldCharType="end"/>
            </w:r>
          </w:hyperlink>
        </w:p>
        <w:p w14:paraId="7FE4E775" w14:textId="77777777" w:rsidR="008C2534" w:rsidRDefault="003A75A5">
          <w:pPr>
            <w:pStyle w:val="TM2"/>
            <w:tabs>
              <w:tab w:val="left" w:pos="960"/>
              <w:tab w:val="right" w:leader="dot" w:pos="9060"/>
            </w:tabs>
            <w:rPr>
              <w:rFonts w:eastAsiaTheme="minorEastAsia"/>
              <w:noProof/>
              <w:lang w:eastAsia="fr-FR"/>
            </w:rPr>
          </w:pPr>
          <w:hyperlink w:anchor="_Toc505606808" w:history="1">
            <w:r>
              <w:rPr>
                <w:rStyle w:val="Lienhypertexte"/>
                <w:noProof/>
              </w:rPr>
              <w:t>6.2.</w:t>
            </w:r>
            <w:r>
              <w:rPr>
                <w:rFonts w:eastAsiaTheme="minorEastAsia"/>
                <w:noProof/>
                <w:lang w:eastAsia="fr-FR"/>
              </w:rPr>
              <w:tab/>
            </w:r>
            <w:r>
              <w:rPr>
                <w:rStyle w:val="Lienhypertexte"/>
                <w:noProof/>
              </w:rPr>
              <w:t>Traitements non autorisés</w:t>
            </w:r>
            <w:r>
              <w:rPr>
                <w:noProof/>
                <w:webHidden/>
              </w:rPr>
              <w:tab/>
            </w:r>
            <w:r>
              <w:rPr>
                <w:noProof/>
                <w:webHidden/>
              </w:rPr>
              <w:fldChar w:fldCharType="begin"/>
            </w:r>
            <w:r>
              <w:rPr>
                <w:noProof/>
                <w:webHidden/>
              </w:rPr>
              <w:instrText xml:space="preserve"> PAGEREF _Toc505606808 \h </w:instrText>
            </w:r>
            <w:r>
              <w:rPr>
                <w:noProof/>
                <w:webHidden/>
              </w:rPr>
            </w:r>
            <w:r>
              <w:rPr>
                <w:noProof/>
                <w:webHidden/>
              </w:rPr>
              <w:fldChar w:fldCharType="separate"/>
            </w:r>
            <w:r>
              <w:rPr>
                <w:noProof/>
                <w:webHidden/>
              </w:rPr>
              <w:t>22</w:t>
            </w:r>
            <w:r>
              <w:rPr>
                <w:noProof/>
                <w:webHidden/>
              </w:rPr>
              <w:fldChar w:fldCharType="end"/>
            </w:r>
          </w:hyperlink>
        </w:p>
        <w:p w14:paraId="7FE4E776" w14:textId="77777777" w:rsidR="008C2534" w:rsidRDefault="003A75A5">
          <w:pPr>
            <w:pStyle w:val="TM2"/>
            <w:tabs>
              <w:tab w:val="left" w:pos="960"/>
              <w:tab w:val="right" w:leader="dot" w:pos="9060"/>
            </w:tabs>
            <w:rPr>
              <w:rFonts w:eastAsiaTheme="minorEastAsia"/>
              <w:noProof/>
              <w:lang w:eastAsia="fr-FR"/>
            </w:rPr>
          </w:pPr>
          <w:hyperlink w:anchor="_Toc505606809" w:history="1">
            <w:r>
              <w:rPr>
                <w:rStyle w:val="Lienhypertexte"/>
                <w:noProof/>
              </w:rPr>
              <w:t>6.3.</w:t>
            </w:r>
            <w:r>
              <w:rPr>
                <w:rFonts w:eastAsiaTheme="minorEastAsia"/>
                <w:noProof/>
                <w:lang w:eastAsia="fr-FR"/>
              </w:rPr>
              <w:tab/>
            </w:r>
            <w:r>
              <w:rPr>
                <w:rStyle w:val="Lienhypertexte"/>
                <w:noProof/>
              </w:rPr>
              <w:t>Traitement d’urgence</w:t>
            </w:r>
            <w:r>
              <w:rPr>
                <w:noProof/>
                <w:webHidden/>
              </w:rPr>
              <w:tab/>
            </w:r>
            <w:r>
              <w:rPr>
                <w:noProof/>
                <w:webHidden/>
              </w:rPr>
              <w:fldChar w:fldCharType="begin"/>
            </w:r>
            <w:r>
              <w:rPr>
                <w:noProof/>
                <w:webHidden/>
              </w:rPr>
              <w:instrText xml:space="preserve"> PAGEREF _Toc505606809 \h </w:instrText>
            </w:r>
            <w:r>
              <w:rPr>
                <w:noProof/>
                <w:webHidden/>
              </w:rPr>
            </w:r>
            <w:r>
              <w:rPr>
                <w:noProof/>
                <w:webHidden/>
              </w:rPr>
              <w:fldChar w:fldCharType="separate"/>
            </w:r>
            <w:r>
              <w:rPr>
                <w:noProof/>
                <w:webHidden/>
              </w:rPr>
              <w:t>22</w:t>
            </w:r>
            <w:r>
              <w:rPr>
                <w:noProof/>
                <w:webHidden/>
              </w:rPr>
              <w:fldChar w:fldCharType="end"/>
            </w:r>
          </w:hyperlink>
        </w:p>
        <w:p w14:paraId="7FE4E777" w14:textId="77777777" w:rsidR="008C2534" w:rsidRDefault="003A75A5">
          <w:pPr>
            <w:pStyle w:val="TM1"/>
            <w:tabs>
              <w:tab w:val="left" w:pos="480"/>
              <w:tab w:val="right" w:leader="dot" w:pos="9060"/>
            </w:tabs>
            <w:rPr>
              <w:rFonts w:eastAsiaTheme="minorEastAsia"/>
              <w:noProof/>
              <w:lang w:eastAsia="fr-FR"/>
            </w:rPr>
          </w:pPr>
          <w:hyperlink w:anchor="_Toc505606810" w:history="1">
            <w:r>
              <w:rPr>
                <w:rStyle w:val="Lienhypertexte"/>
                <w:noProof/>
              </w:rPr>
              <w:t>7.</w:t>
            </w:r>
            <w:r>
              <w:rPr>
                <w:rFonts w:eastAsiaTheme="minorEastAsia"/>
                <w:noProof/>
                <w:lang w:eastAsia="fr-FR"/>
              </w:rPr>
              <w:tab/>
            </w:r>
            <w:r>
              <w:rPr>
                <w:rStyle w:val="Lienhypertexte"/>
                <w:noProof/>
              </w:rPr>
              <w:t>Evaluation de la sécurité</w:t>
            </w:r>
            <w:r>
              <w:rPr>
                <w:noProof/>
                <w:webHidden/>
              </w:rPr>
              <w:tab/>
            </w:r>
            <w:r>
              <w:rPr>
                <w:noProof/>
                <w:webHidden/>
              </w:rPr>
              <w:fldChar w:fldCharType="begin"/>
            </w:r>
            <w:r>
              <w:rPr>
                <w:noProof/>
                <w:webHidden/>
              </w:rPr>
              <w:instrText xml:space="preserve"> PAGEREF _Toc505606810 \h </w:instrText>
            </w:r>
            <w:r>
              <w:rPr>
                <w:noProof/>
                <w:webHidden/>
              </w:rPr>
            </w:r>
            <w:r>
              <w:rPr>
                <w:noProof/>
                <w:webHidden/>
              </w:rPr>
              <w:fldChar w:fldCharType="separate"/>
            </w:r>
            <w:r>
              <w:rPr>
                <w:noProof/>
                <w:webHidden/>
              </w:rPr>
              <w:t>22</w:t>
            </w:r>
            <w:r>
              <w:rPr>
                <w:noProof/>
                <w:webHidden/>
              </w:rPr>
              <w:fldChar w:fldCharType="end"/>
            </w:r>
          </w:hyperlink>
        </w:p>
        <w:p w14:paraId="7FE4E778" w14:textId="77777777" w:rsidR="008C2534" w:rsidRDefault="003A75A5">
          <w:pPr>
            <w:pStyle w:val="TM2"/>
            <w:tabs>
              <w:tab w:val="left" w:pos="960"/>
              <w:tab w:val="right" w:leader="dot" w:pos="9060"/>
            </w:tabs>
            <w:rPr>
              <w:rFonts w:eastAsiaTheme="minorEastAsia"/>
              <w:noProof/>
              <w:lang w:eastAsia="fr-FR"/>
            </w:rPr>
          </w:pPr>
          <w:hyperlink w:anchor="_Toc505606812" w:history="1">
            <w:r>
              <w:rPr>
                <w:rStyle w:val="Lienhypertexte"/>
                <w:noProof/>
              </w:rPr>
              <w:t>7.1.</w:t>
            </w:r>
            <w:r>
              <w:rPr>
                <w:rFonts w:eastAsiaTheme="minorEastAsia"/>
                <w:noProof/>
                <w:lang w:eastAsia="fr-FR"/>
              </w:rPr>
              <w:tab/>
            </w:r>
            <w:r>
              <w:rPr>
                <w:rStyle w:val="Lienhypertexte"/>
                <w:noProof/>
              </w:rPr>
              <w:t>Procédures mises en place en vue de l’enregistrement et de la</w:t>
            </w:r>
            <w:r>
              <w:rPr>
                <w:rStyle w:val="Lienhypertexte"/>
                <w:noProof/>
              </w:rPr>
              <w:t xml:space="preserve"> notification des événements indésirables</w:t>
            </w:r>
            <w:r>
              <w:rPr>
                <w:noProof/>
                <w:webHidden/>
              </w:rPr>
              <w:tab/>
            </w:r>
            <w:r>
              <w:rPr>
                <w:noProof/>
                <w:webHidden/>
              </w:rPr>
              <w:fldChar w:fldCharType="begin"/>
            </w:r>
            <w:r>
              <w:rPr>
                <w:noProof/>
                <w:webHidden/>
              </w:rPr>
              <w:instrText xml:space="preserve"> PAGEREF _Toc505606812 \h </w:instrText>
            </w:r>
            <w:r>
              <w:rPr>
                <w:noProof/>
                <w:webHidden/>
              </w:rPr>
            </w:r>
            <w:r>
              <w:rPr>
                <w:noProof/>
                <w:webHidden/>
              </w:rPr>
              <w:fldChar w:fldCharType="separate"/>
            </w:r>
            <w:r>
              <w:rPr>
                <w:noProof/>
                <w:webHidden/>
              </w:rPr>
              <w:t>22</w:t>
            </w:r>
            <w:r>
              <w:rPr>
                <w:noProof/>
                <w:webHidden/>
              </w:rPr>
              <w:fldChar w:fldCharType="end"/>
            </w:r>
          </w:hyperlink>
        </w:p>
        <w:p w14:paraId="7FE4E779" w14:textId="77777777" w:rsidR="008C2534" w:rsidRDefault="003A75A5">
          <w:pPr>
            <w:pStyle w:val="TM1"/>
            <w:tabs>
              <w:tab w:val="left" w:pos="480"/>
              <w:tab w:val="right" w:leader="dot" w:pos="9060"/>
            </w:tabs>
            <w:rPr>
              <w:rFonts w:eastAsiaTheme="minorEastAsia"/>
              <w:noProof/>
              <w:lang w:eastAsia="fr-FR"/>
            </w:rPr>
          </w:pPr>
          <w:hyperlink w:anchor="_Toc505606813" w:history="1">
            <w:r>
              <w:rPr>
                <w:rStyle w:val="Lienhypertexte"/>
                <w:noProof/>
              </w:rPr>
              <w:t>8.</w:t>
            </w:r>
            <w:r>
              <w:rPr>
                <w:rFonts w:eastAsiaTheme="minorEastAsia"/>
                <w:noProof/>
                <w:lang w:eastAsia="fr-FR"/>
              </w:rPr>
              <w:tab/>
            </w:r>
            <w:r>
              <w:rPr>
                <w:rStyle w:val="Lienhypertexte"/>
                <w:noProof/>
              </w:rPr>
              <w:t>Statistiques</w:t>
            </w:r>
            <w:r>
              <w:rPr>
                <w:noProof/>
                <w:webHidden/>
              </w:rPr>
              <w:tab/>
            </w:r>
            <w:r>
              <w:rPr>
                <w:noProof/>
                <w:webHidden/>
              </w:rPr>
              <w:fldChar w:fldCharType="begin"/>
            </w:r>
            <w:r>
              <w:rPr>
                <w:noProof/>
                <w:webHidden/>
              </w:rPr>
              <w:instrText xml:space="preserve"> PAGEREF _Toc505606813 \h </w:instrText>
            </w:r>
            <w:r>
              <w:rPr>
                <w:noProof/>
                <w:webHidden/>
              </w:rPr>
            </w:r>
            <w:r>
              <w:rPr>
                <w:noProof/>
                <w:webHidden/>
              </w:rPr>
              <w:fldChar w:fldCharType="separate"/>
            </w:r>
            <w:r>
              <w:rPr>
                <w:noProof/>
                <w:webHidden/>
              </w:rPr>
              <w:t>23</w:t>
            </w:r>
            <w:r>
              <w:rPr>
                <w:noProof/>
                <w:webHidden/>
              </w:rPr>
              <w:fldChar w:fldCharType="end"/>
            </w:r>
          </w:hyperlink>
        </w:p>
        <w:p w14:paraId="7FE4E77A" w14:textId="77777777" w:rsidR="008C2534" w:rsidRDefault="003A75A5">
          <w:pPr>
            <w:pStyle w:val="TM2"/>
            <w:tabs>
              <w:tab w:val="left" w:pos="960"/>
              <w:tab w:val="right" w:leader="dot" w:pos="9060"/>
            </w:tabs>
            <w:rPr>
              <w:rFonts w:eastAsiaTheme="minorEastAsia"/>
              <w:noProof/>
              <w:lang w:eastAsia="fr-FR"/>
            </w:rPr>
          </w:pPr>
          <w:hyperlink w:anchor="_Toc505606814" w:history="1">
            <w:r>
              <w:rPr>
                <w:rStyle w:val="Lienhypertexte"/>
                <w:i/>
                <w:noProof/>
              </w:rPr>
              <w:t>8.1.</w:t>
            </w:r>
            <w:r>
              <w:rPr>
                <w:rFonts w:eastAsiaTheme="minorEastAsia"/>
                <w:noProof/>
                <w:lang w:eastAsia="fr-FR"/>
              </w:rPr>
              <w:tab/>
            </w:r>
            <w:r>
              <w:rPr>
                <w:rStyle w:val="Lienhypertexte"/>
                <w:noProof/>
              </w:rPr>
              <w:t>méthodes statistiques prévues</w:t>
            </w:r>
            <w:r>
              <w:rPr>
                <w:noProof/>
                <w:webHidden/>
              </w:rPr>
              <w:tab/>
            </w:r>
            <w:r>
              <w:rPr>
                <w:noProof/>
                <w:webHidden/>
              </w:rPr>
              <w:fldChar w:fldCharType="begin"/>
            </w:r>
            <w:r>
              <w:rPr>
                <w:noProof/>
                <w:webHidden/>
              </w:rPr>
              <w:instrText xml:space="preserve"> PAGEREF _Toc505606814 \h </w:instrText>
            </w:r>
            <w:r>
              <w:rPr>
                <w:noProof/>
                <w:webHidden/>
              </w:rPr>
            </w:r>
            <w:r>
              <w:rPr>
                <w:noProof/>
                <w:webHidden/>
              </w:rPr>
              <w:fldChar w:fldCharType="separate"/>
            </w:r>
            <w:r>
              <w:rPr>
                <w:noProof/>
                <w:webHidden/>
              </w:rPr>
              <w:t>23</w:t>
            </w:r>
            <w:r>
              <w:rPr>
                <w:noProof/>
                <w:webHidden/>
              </w:rPr>
              <w:fldChar w:fldCharType="end"/>
            </w:r>
          </w:hyperlink>
        </w:p>
        <w:p w14:paraId="7FE4E77B" w14:textId="77777777" w:rsidR="008C2534" w:rsidRDefault="003A75A5">
          <w:pPr>
            <w:pStyle w:val="TM2"/>
            <w:tabs>
              <w:tab w:val="left" w:pos="960"/>
              <w:tab w:val="right" w:leader="dot" w:pos="9060"/>
            </w:tabs>
            <w:rPr>
              <w:rFonts w:eastAsiaTheme="minorEastAsia"/>
              <w:noProof/>
              <w:lang w:eastAsia="fr-FR"/>
            </w:rPr>
          </w:pPr>
          <w:hyperlink w:anchor="_Toc505606815" w:history="1">
            <w:r>
              <w:rPr>
                <w:rStyle w:val="Lienhypertexte"/>
                <w:noProof/>
              </w:rPr>
              <w:t>8.2.</w:t>
            </w:r>
            <w:r>
              <w:rPr>
                <w:rFonts w:eastAsiaTheme="minorEastAsia"/>
                <w:noProof/>
                <w:lang w:eastAsia="fr-FR"/>
              </w:rPr>
              <w:tab/>
            </w:r>
            <w:r>
              <w:rPr>
                <w:rStyle w:val="Lienhypertexte"/>
                <w:noProof/>
              </w:rPr>
              <w:t>Nombre prévu de personnes</w:t>
            </w:r>
            <w:r>
              <w:rPr>
                <w:rStyle w:val="Lienhypertexte"/>
                <w:noProof/>
              </w:rPr>
              <w:t xml:space="preserve"> à inclure dans la recherche</w:t>
            </w:r>
            <w:r>
              <w:rPr>
                <w:noProof/>
                <w:webHidden/>
              </w:rPr>
              <w:tab/>
            </w:r>
            <w:r>
              <w:rPr>
                <w:noProof/>
                <w:webHidden/>
              </w:rPr>
              <w:fldChar w:fldCharType="begin"/>
            </w:r>
            <w:r>
              <w:rPr>
                <w:noProof/>
                <w:webHidden/>
              </w:rPr>
              <w:instrText xml:space="preserve"> PAGEREF _Toc505606815 \h </w:instrText>
            </w:r>
            <w:r>
              <w:rPr>
                <w:noProof/>
                <w:webHidden/>
              </w:rPr>
            </w:r>
            <w:r>
              <w:rPr>
                <w:noProof/>
                <w:webHidden/>
              </w:rPr>
              <w:fldChar w:fldCharType="separate"/>
            </w:r>
            <w:r>
              <w:rPr>
                <w:noProof/>
                <w:webHidden/>
              </w:rPr>
              <w:t>24</w:t>
            </w:r>
            <w:r>
              <w:rPr>
                <w:noProof/>
                <w:webHidden/>
              </w:rPr>
              <w:fldChar w:fldCharType="end"/>
            </w:r>
          </w:hyperlink>
        </w:p>
        <w:p w14:paraId="7FE4E77C" w14:textId="77777777" w:rsidR="008C2534" w:rsidRDefault="003A75A5">
          <w:pPr>
            <w:pStyle w:val="TM2"/>
            <w:tabs>
              <w:tab w:val="left" w:pos="960"/>
              <w:tab w:val="right" w:leader="dot" w:pos="9060"/>
            </w:tabs>
            <w:rPr>
              <w:rFonts w:eastAsiaTheme="minorEastAsia"/>
              <w:noProof/>
              <w:lang w:eastAsia="fr-FR"/>
            </w:rPr>
          </w:pPr>
          <w:hyperlink w:anchor="_Toc505606816" w:history="1">
            <w:r>
              <w:rPr>
                <w:rStyle w:val="Lienhypertexte"/>
                <w:noProof/>
              </w:rPr>
              <w:t>8.3.</w:t>
            </w:r>
            <w:r>
              <w:rPr>
                <w:rFonts w:eastAsiaTheme="minorEastAsia"/>
                <w:noProof/>
                <w:lang w:eastAsia="fr-FR"/>
              </w:rPr>
              <w:tab/>
            </w:r>
            <w:r>
              <w:rPr>
                <w:rStyle w:val="Lienhypertexte"/>
                <w:noProof/>
              </w:rPr>
              <w:t>Degré de signification statistique prévu</w:t>
            </w:r>
            <w:r>
              <w:rPr>
                <w:noProof/>
                <w:webHidden/>
              </w:rPr>
              <w:tab/>
            </w:r>
            <w:r>
              <w:rPr>
                <w:noProof/>
                <w:webHidden/>
              </w:rPr>
              <w:fldChar w:fldCharType="begin"/>
            </w:r>
            <w:r>
              <w:rPr>
                <w:noProof/>
                <w:webHidden/>
              </w:rPr>
              <w:instrText xml:space="preserve"> PAGEREF _Toc505606816 \h </w:instrText>
            </w:r>
            <w:r>
              <w:rPr>
                <w:noProof/>
                <w:webHidden/>
              </w:rPr>
            </w:r>
            <w:r>
              <w:rPr>
                <w:noProof/>
                <w:webHidden/>
              </w:rPr>
              <w:fldChar w:fldCharType="separate"/>
            </w:r>
            <w:r>
              <w:rPr>
                <w:noProof/>
                <w:webHidden/>
              </w:rPr>
              <w:t>24</w:t>
            </w:r>
            <w:r>
              <w:rPr>
                <w:noProof/>
                <w:webHidden/>
              </w:rPr>
              <w:fldChar w:fldCharType="end"/>
            </w:r>
          </w:hyperlink>
        </w:p>
        <w:p w14:paraId="7FE4E77D" w14:textId="77777777" w:rsidR="008C2534" w:rsidRDefault="003A75A5">
          <w:pPr>
            <w:pStyle w:val="TM2"/>
            <w:tabs>
              <w:tab w:val="left" w:pos="960"/>
              <w:tab w:val="right" w:leader="dot" w:pos="9060"/>
            </w:tabs>
            <w:rPr>
              <w:rFonts w:eastAsiaTheme="minorEastAsia"/>
              <w:noProof/>
              <w:lang w:eastAsia="fr-FR"/>
            </w:rPr>
          </w:pPr>
          <w:hyperlink w:anchor="_Toc505606817" w:history="1">
            <w:r>
              <w:rPr>
                <w:rStyle w:val="Lienhypertexte"/>
                <w:noProof/>
              </w:rPr>
              <w:t>8.4.</w:t>
            </w:r>
            <w:r>
              <w:rPr>
                <w:rFonts w:eastAsiaTheme="minorEastAsia"/>
                <w:noProof/>
                <w:lang w:eastAsia="fr-FR"/>
              </w:rPr>
              <w:tab/>
            </w:r>
            <w:r>
              <w:rPr>
                <w:rStyle w:val="Lienhypertexte"/>
                <w:noProof/>
              </w:rPr>
              <w:t>Critères statistiques d’arrêt de la recherche</w:t>
            </w:r>
            <w:r>
              <w:rPr>
                <w:noProof/>
                <w:webHidden/>
              </w:rPr>
              <w:tab/>
            </w:r>
            <w:r>
              <w:rPr>
                <w:noProof/>
                <w:webHidden/>
              </w:rPr>
              <w:fldChar w:fldCharType="begin"/>
            </w:r>
            <w:r>
              <w:rPr>
                <w:noProof/>
                <w:webHidden/>
              </w:rPr>
              <w:instrText xml:space="preserve"> PAGEREF _Toc505606817 \h </w:instrText>
            </w:r>
            <w:r>
              <w:rPr>
                <w:noProof/>
                <w:webHidden/>
              </w:rPr>
            </w:r>
            <w:r>
              <w:rPr>
                <w:noProof/>
                <w:webHidden/>
              </w:rPr>
              <w:fldChar w:fldCharType="separate"/>
            </w:r>
            <w:r>
              <w:rPr>
                <w:noProof/>
                <w:webHidden/>
              </w:rPr>
              <w:t>24</w:t>
            </w:r>
            <w:r>
              <w:rPr>
                <w:noProof/>
                <w:webHidden/>
              </w:rPr>
              <w:fldChar w:fldCharType="end"/>
            </w:r>
          </w:hyperlink>
        </w:p>
        <w:p w14:paraId="7FE4E77E" w14:textId="77777777" w:rsidR="008C2534" w:rsidRDefault="003A75A5">
          <w:pPr>
            <w:pStyle w:val="TM2"/>
            <w:tabs>
              <w:tab w:val="left" w:pos="960"/>
              <w:tab w:val="right" w:leader="dot" w:pos="9060"/>
            </w:tabs>
            <w:rPr>
              <w:rFonts w:eastAsiaTheme="minorEastAsia"/>
              <w:noProof/>
              <w:lang w:eastAsia="fr-FR"/>
            </w:rPr>
          </w:pPr>
          <w:hyperlink w:anchor="_Toc505606818" w:history="1">
            <w:r>
              <w:rPr>
                <w:rStyle w:val="Lienhypertexte"/>
                <w:noProof/>
              </w:rPr>
              <w:t>8.5.</w:t>
            </w:r>
            <w:r>
              <w:rPr>
                <w:rFonts w:eastAsiaTheme="minorEastAsia"/>
                <w:noProof/>
                <w:lang w:eastAsia="fr-FR"/>
              </w:rPr>
              <w:tab/>
            </w:r>
            <w:r>
              <w:rPr>
                <w:rStyle w:val="Lienhypertexte"/>
                <w:noProof/>
              </w:rPr>
              <w:t>Méthode de prise en compte des données manquantes, inutilisées ou non valides</w:t>
            </w:r>
            <w:r>
              <w:rPr>
                <w:noProof/>
                <w:webHidden/>
              </w:rPr>
              <w:tab/>
            </w:r>
            <w:r>
              <w:rPr>
                <w:noProof/>
                <w:webHidden/>
              </w:rPr>
              <w:fldChar w:fldCharType="begin"/>
            </w:r>
            <w:r>
              <w:rPr>
                <w:noProof/>
                <w:webHidden/>
              </w:rPr>
              <w:instrText xml:space="preserve"> PAGEREF _Toc505606818 \h </w:instrText>
            </w:r>
            <w:r>
              <w:rPr>
                <w:noProof/>
                <w:webHidden/>
              </w:rPr>
            </w:r>
            <w:r>
              <w:rPr>
                <w:noProof/>
                <w:webHidden/>
              </w:rPr>
              <w:fldChar w:fldCharType="separate"/>
            </w:r>
            <w:r>
              <w:rPr>
                <w:noProof/>
                <w:webHidden/>
              </w:rPr>
              <w:t>24</w:t>
            </w:r>
            <w:r>
              <w:rPr>
                <w:noProof/>
                <w:webHidden/>
              </w:rPr>
              <w:fldChar w:fldCharType="end"/>
            </w:r>
          </w:hyperlink>
        </w:p>
        <w:p w14:paraId="7FE4E77F" w14:textId="77777777" w:rsidR="008C2534" w:rsidRDefault="003A75A5">
          <w:pPr>
            <w:pStyle w:val="TM2"/>
            <w:tabs>
              <w:tab w:val="left" w:pos="960"/>
              <w:tab w:val="right" w:leader="dot" w:pos="9060"/>
            </w:tabs>
            <w:rPr>
              <w:rFonts w:eastAsiaTheme="minorEastAsia"/>
              <w:noProof/>
              <w:lang w:eastAsia="fr-FR"/>
            </w:rPr>
          </w:pPr>
          <w:hyperlink w:anchor="_Toc505606819" w:history="1">
            <w:r>
              <w:rPr>
                <w:rStyle w:val="Lienhypertexte"/>
                <w:noProof/>
              </w:rPr>
              <w:t>8.6.</w:t>
            </w:r>
            <w:r>
              <w:rPr>
                <w:rFonts w:eastAsiaTheme="minorEastAsia"/>
                <w:noProof/>
                <w:lang w:eastAsia="fr-FR"/>
              </w:rPr>
              <w:tab/>
            </w:r>
            <w:r>
              <w:rPr>
                <w:rStyle w:val="Lienhypertexte"/>
                <w:noProof/>
              </w:rPr>
              <w:t>Choix des personn</w:t>
            </w:r>
            <w:r>
              <w:rPr>
                <w:rStyle w:val="Lienhypertexte"/>
                <w:noProof/>
              </w:rPr>
              <w:t>es à inclure dans les analyses</w:t>
            </w:r>
            <w:r>
              <w:rPr>
                <w:noProof/>
                <w:webHidden/>
              </w:rPr>
              <w:tab/>
            </w:r>
            <w:r>
              <w:rPr>
                <w:noProof/>
                <w:webHidden/>
              </w:rPr>
              <w:fldChar w:fldCharType="begin"/>
            </w:r>
            <w:r>
              <w:rPr>
                <w:noProof/>
                <w:webHidden/>
              </w:rPr>
              <w:instrText xml:space="preserve"> PAGEREF _Toc505606819 \h </w:instrText>
            </w:r>
            <w:r>
              <w:rPr>
                <w:noProof/>
                <w:webHidden/>
              </w:rPr>
            </w:r>
            <w:r>
              <w:rPr>
                <w:noProof/>
                <w:webHidden/>
              </w:rPr>
              <w:fldChar w:fldCharType="separate"/>
            </w:r>
            <w:r>
              <w:rPr>
                <w:noProof/>
                <w:webHidden/>
              </w:rPr>
              <w:t>24</w:t>
            </w:r>
            <w:r>
              <w:rPr>
                <w:noProof/>
                <w:webHidden/>
              </w:rPr>
              <w:fldChar w:fldCharType="end"/>
            </w:r>
          </w:hyperlink>
        </w:p>
        <w:p w14:paraId="7FE4E780" w14:textId="77777777" w:rsidR="008C2534" w:rsidRDefault="003A75A5">
          <w:pPr>
            <w:pStyle w:val="TM1"/>
            <w:tabs>
              <w:tab w:val="left" w:pos="480"/>
              <w:tab w:val="right" w:leader="dot" w:pos="9060"/>
            </w:tabs>
            <w:rPr>
              <w:rFonts w:eastAsiaTheme="minorEastAsia"/>
              <w:noProof/>
              <w:lang w:eastAsia="fr-FR"/>
            </w:rPr>
          </w:pPr>
          <w:hyperlink w:anchor="_Toc505606820" w:history="1">
            <w:r>
              <w:rPr>
                <w:rStyle w:val="Lienhypertexte"/>
                <w:noProof/>
              </w:rPr>
              <w:t>9.</w:t>
            </w:r>
            <w:r>
              <w:rPr>
                <w:rFonts w:eastAsiaTheme="minorEastAsia"/>
                <w:noProof/>
                <w:lang w:eastAsia="fr-FR"/>
              </w:rPr>
              <w:tab/>
            </w:r>
            <w:r>
              <w:rPr>
                <w:rStyle w:val="Lienhypertexte"/>
                <w:noProof/>
              </w:rPr>
              <w:t>Droit d’accès aux données et documents source</w:t>
            </w:r>
            <w:r>
              <w:rPr>
                <w:noProof/>
                <w:webHidden/>
              </w:rPr>
              <w:tab/>
            </w:r>
            <w:r>
              <w:rPr>
                <w:noProof/>
                <w:webHidden/>
              </w:rPr>
              <w:fldChar w:fldCharType="begin"/>
            </w:r>
            <w:r>
              <w:rPr>
                <w:noProof/>
                <w:webHidden/>
              </w:rPr>
              <w:instrText xml:space="preserve"> PAGEREF _Toc505606820 \h </w:instrText>
            </w:r>
            <w:r>
              <w:rPr>
                <w:noProof/>
                <w:webHidden/>
              </w:rPr>
            </w:r>
            <w:r>
              <w:rPr>
                <w:noProof/>
                <w:webHidden/>
              </w:rPr>
              <w:fldChar w:fldCharType="separate"/>
            </w:r>
            <w:r>
              <w:rPr>
                <w:noProof/>
                <w:webHidden/>
              </w:rPr>
              <w:t>24</w:t>
            </w:r>
            <w:r>
              <w:rPr>
                <w:noProof/>
                <w:webHidden/>
              </w:rPr>
              <w:fldChar w:fldCharType="end"/>
            </w:r>
          </w:hyperlink>
        </w:p>
        <w:p w14:paraId="7FE4E781" w14:textId="77777777" w:rsidR="008C2534" w:rsidRDefault="003A75A5">
          <w:pPr>
            <w:pStyle w:val="TM2"/>
            <w:tabs>
              <w:tab w:val="left" w:pos="960"/>
              <w:tab w:val="right" w:leader="dot" w:pos="9060"/>
            </w:tabs>
            <w:rPr>
              <w:rFonts w:eastAsiaTheme="minorEastAsia"/>
              <w:noProof/>
              <w:lang w:eastAsia="fr-FR"/>
            </w:rPr>
          </w:pPr>
          <w:hyperlink w:anchor="_Toc505606821" w:history="1">
            <w:r>
              <w:rPr>
                <w:rStyle w:val="Lienhypertexte"/>
                <w:noProof/>
              </w:rPr>
              <w:t>9.1.</w:t>
            </w:r>
            <w:r>
              <w:rPr>
                <w:rFonts w:eastAsiaTheme="minorEastAsia"/>
                <w:noProof/>
                <w:lang w:eastAsia="fr-FR"/>
              </w:rPr>
              <w:tab/>
            </w:r>
            <w:r>
              <w:rPr>
                <w:rStyle w:val="Lienhypertexte"/>
                <w:noProof/>
              </w:rPr>
              <w:t>Accès aux données</w:t>
            </w:r>
            <w:r>
              <w:rPr>
                <w:noProof/>
                <w:webHidden/>
              </w:rPr>
              <w:tab/>
            </w:r>
            <w:r>
              <w:rPr>
                <w:noProof/>
                <w:webHidden/>
              </w:rPr>
              <w:fldChar w:fldCharType="begin"/>
            </w:r>
            <w:r>
              <w:rPr>
                <w:noProof/>
                <w:webHidden/>
              </w:rPr>
              <w:instrText xml:space="preserve"> PAGEREF _Toc505606821 \h </w:instrText>
            </w:r>
            <w:r>
              <w:rPr>
                <w:noProof/>
                <w:webHidden/>
              </w:rPr>
            </w:r>
            <w:r>
              <w:rPr>
                <w:noProof/>
                <w:webHidden/>
              </w:rPr>
              <w:fldChar w:fldCharType="separate"/>
            </w:r>
            <w:r>
              <w:rPr>
                <w:noProof/>
                <w:webHidden/>
              </w:rPr>
              <w:t>24</w:t>
            </w:r>
            <w:r>
              <w:rPr>
                <w:noProof/>
                <w:webHidden/>
              </w:rPr>
              <w:fldChar w:fldCharType="end"/>
            </w:r>
          </w:hyperlink>
        </w:p>
        <w:p w14:paraId="7FE4E782" w14:textId="77777777" w:rsidR="008C2534" w:rsidRDefault="003A75A5">
          <w:pPr>
            <w:pStyle w:val="TM2"/>
            <w:tabs>
              <w:tab w:val="left" w:pos="960"/>
              <w:tab w:val="right" w:leader="dot" w:pos="9060"/>
            </w:tabs>
            <w:rPr>
              <w:rFonts w:eastAsiaTheme="minorEastAsia"/>
              <w:noProof/>
              <w:lang w:eastAsia="fr-FR"/>
            </w:rPr>
          </w:pPr>
          <w:hyperlink w:anchor="_Toc505606822" w:history="1">
            <w:r>
              <w:rPr>
                <w:rStyle w:val="Lienhypertexte"/>
                <w:noProof/>
              </w:rPr>
              <w:t>9.2.</w:t>
            </w:r>
            <w:r>
              <w:rPr>
                <w:rFonts w:eastAsiaTheme="minorEastAsia"/>
                <w:noProof/>
                <w:lang w:eastAsia="fr-FR"/>
              </w:rPr>
              <w:tab/>
            </w:r>
            <w:r>
              <w:rPr>
                <w:rStyle w:val="Lienhypertexte"/>
                <w:noProof/>
              </w:rPr>
              <w:t>Documents source</w:t>
            </w:r>
            <w:r>
              <w:rPr>
                <w:noProof/>
                <w:webHidden/>
              </w:rPr>
              <w:tab/>
            </w:r>
            <w:r>
              <w:rPr>
                <w:noProof/>
                <w:webHidden/>
              </w:rPr>
              <w:fldChar w:fldCharType="begin"/>
            </w:r>
            <w:r>
              <w:rPr>
                <w:noProof/>
                <w:webHidden/>
              </w:rPr>
              <w:instrText xml:space="preserve"> PAGEREF _Toc505606822 \h </w:instrText>
            </w:r>
            <w:r>
              <w:rPr>
                <w:noProof/>
                <w:webHidden/>
              </w:rPr>
            </w:r>
            <w:r>
              <w:rPr>
                <w:noProof/>
                <w:webHidden/>
              </w:rPr>
              <w:fldChar w:fldCharType="separate"/>
            </w:r>
            <w:r>
              <w:rPr>
                <w:noProof/>
                <w:webHidden/>
              </w:rPr>
              <w:t>24</w:t>
            </w:r>
            <w:r>
              <w:rPr>
                <w:noProof/>
                <w:webHidden/>
              </w:rPr>
              <w:fldChar w:fldCharType="end"/>
            </w:r>
          </w:hyperlink>
        </w:p>
        <w:p w14:paraId="7FE4E783" w14:textId="77777777" w:rsidR="008C2534" w:rsidRDefault="003A75A5">
          <w:pPr>
            <w:pStyle w:val="TM2"/>
            <w:tabs>
              <w:tab w:val="left" w:pos="960"/>
              <w:tab w:val="right" w:leader="dot" w:pos="9060"/>
            </w:tabs>
            <w:rPr>
              <w:rFonts w:eastAsiaTheme="minorEastAsia"/>
              <w:noProof/>
              <w:lang w:eastAsia="fr-FR"/>
            </w:rPr>
          </w:pPr>
          <w:hyperlink w:anchor="_Toc505606823" w:history="1">
            <w:r>
              <w:rPr>
                <w:rStyle w:val="Lienhypertexte"/>
                <w:noProof/>
              </w:rPr>
              <w:t>9.3.</w:t>
            </w:r>
            <w:r>
              <w:rPr>
                <w:rFonts w:eastAsiaTheme="minorEastAsia"/>
                <w:noProof/>
                <w:lang w:eastAsia="fr-FR"/>
              </w:rPr>
              <w:tab/>
            </w:r>
            <w:r>
              <w:rPr>
                <w:rStyle w:val="Lienhypertexte"/>
                <w:noProof/>
              </w:rPr>
              <w:t>C</w:t>
            </w:r>
            <w:r>
              <w:rPr>
                <w:rStyle w:val="Lienhypertexte"/>
                <w:noProof/>
              </w:rPr>
              <w:t>onfidentialité des données</w:t>
            </w:r>
            <w:r>
              <w:rPr>
                <w:noProof/>
                <w:webHidden/>
              </w:rPr>
              <w:tab/>
            </w:r>
            <w:r>
              <w:rPr>
                <w:noProof/>
                <w:webHidden/>
              </w:rPr>
              <w:fldChar w:fldCharType="begin"/>
            </w:r>
            <w:r>
              <w:rPr>
                <w:noProof/>
                <w:webHidden/>
              </w:rPr>
              <w:instrText xml:space="preserve"> PAGEREF _Toc505606823 \h </w:instrText>
            </w:r>
            <w:r>
              <w:rPr>
                <w:noProof/>
                <w:webHidden/>
              </w:rPr>
            </w:r>
            <w:r>
              <w:rPr>
                <w:noProof/>
                <w:webHidden/>
              </w:rPr>
              <w:fldChar w:fldCharType="separate"/>
            </w:r>
            <w:r>
              <w:rPr>
                <w:noProof/>
                <w:webHidden/>
              </w:rPr>
              <w:t>25</w:t>
            </w:r>
            <w:r>
              <w:rPr>
                <w:noProof/>
                <w:webHidden/>
              </w:rPr>
              <w:fldChar w:fldCharType="end"/>
            </w:r>
          </w:hyperlink>
        </w:p>
        <w:p w14:paraId="7FE4E784" w14:textId="77777777" w:rsidR="008C2534" w:rsidRDefault="003A75A5">
          <w:pPr>
            <w:pStyle w:val="TM1"/>
            <w:tabs>
              <w:tab w:val="left" w:pos="660"/>
              <w:tab w:val="right" w:leader="dot" w:pos="9060"/>
            </w:tabs>
            <w:rPr>
              <w:rFonts w:eastAsiaTheme="minorEastAsia"/>
              <w:noProof/>
              <w:lang w:eastAsia="fr-FR"/>
            </w:rPr>
          </w:pPr>
          <w:hyperlink w:anchor="_Toc505606824" w:history="1">
            <w:r>
              <w:rPr>
                <w:rStyle w:val="Lienhypertexte"/>
                <w:noProof/>
              </w:rPr>
              <w:t>10.</w:t>
            </w:r>
            <w:r>
              <w:rPr>
                <w:rFonts w:eastAsiaTheme="minorEastAsia"/>
                <w:noProof/>
                <w:lang w:eastAsia="fr-FR"/>
              </w:rPr>
              <w:tab/>
            </w:r>
            <w:r>
              <w:rPr>
                <w:rStyle w:val="Lienhypertexte"/>
                <w:noProof/>
              </w:rPr>
              <w:t>Contrôle et assurance de la qualité</w:t>
            </w:r>
            <w:r>
              <w:rPr>
                <w:noProof/>
                <w:webHidden/>
              </w:rPr>
              <w:tab/>
            </w:r>
            <w:r>
              <w:rPr>
                <w:noProof/>
                <w:webHidden/>
              </w:rPr>
              <w:fldChar w:fldCharType="begin"/>
            </w:r>
            <w:r>
              <w:rPr>
                <w:noProof/>
                <w:webHidden/>
              </w:rPr>
              <w:instrText xml:space="preserve"> PAGEREF _Toc505606824 \h </w:instrText>
            </w:r>
            <w:r>
              <w:rPr>
                <w:noProof/>
                <w:webHidden/>
              </w:rPr>
            </w:r>
            <w:r>
              <w:rPr>
                <w:noProof/>
                <w:webHidden/>
              </w:rPr>
              <w:fldChar w:fldCharType="separate"/>
            </w:r>
            <w:r>
              <w:rPr>
                <w:noProof/>
                <w:webHidden/>
              </w:rPr>
              <w:t>25</w:t>
            </w:r>
            <w:r>
              <w:rPr>
                <w:noProof/>
                <w:webHidden/>
              </w:rPr>
              <w:fldChar w:fldCharType="end"/>
            </w:r>
          </w:hyperlink>
        </w:p>
        <w:p w14:paraId="7FE4E785" w14:textId="77777777" w:rsidR="008C2534" w:rsidRDefault="003A75A5">
          <w:pPr>
            <w:pStyle w:val="TM1"/>
            <w:tabs>
              <w:tab w:val="left" w:pos="660"/>
              <w:tab w:val="right" w:leader="dot" w:pos="9060"/>
            </w:tabs>
            <w:rPr>
              <w:rFonts w:eastAsiaTheme="minorEastAsia"/>
              <w:noProof/>
              <w:lang w:eastAsia="fr-FR"/>
            </w:rPr>
          </w:pPr>
          <w:hyperlink w:anchor="_Toc505606825" w:history="1">
            <w:r>
              <w:rPr>
                <w:rStyle w:val="Lienhypertexte"/>
                <w:noProof/>
              </w:rPr>
              <w:t>11.</w:t>
            </w:r>
            <w:r>
              <w:rPr>
                <w:rFonts w:eastAsiaTheme="minorEastAsia"/>
                <w:noProof/>
                <w:lang w:eastAsia="fr-FR"/>
              </w:rPr>
              <w:tab/>
            </w:r>
            <w:r>
              <w:rPr>
                <w:rStyle w:val="Lienhypertexte"/>
                <w:noProof/>
              </w:rPr>
              <w:t>Considérations éthiques</w:t>
            </w:r>
            <w:r>
              <w:rPr>
                <w:noProof/>
                <w:webHidden/>
              </w:rPr>
              <w:tab/>
            </w:r>
            <w:r>
              <w:rPr>
                <w:noProof/>
                <w:webHidden/>
              </w:rPr>
              <w:fldChar w:fldCharType="begin"/>
            </w:r>
            <w:r>
              <w:rPr>
                <w:noProof/>
                <w:webHidden/>
              </w:rPr>
              <w:instrText xml:space="preserve"> PAGEREF _Toc505606825 \h </w:instrText>
            </w:r>
            <w:r>
              <w:rPr>
                <w:noProof/>
                <w:webHidden/>
              </w:rPr>
            </w:r>
            <w:r>
              <w:rPr>
                <w:noProof/>
                <w:webHidden/>
              </w:rPr>
              <w:fldChar w:fldCharType="separate"/>
            </w:r>
            <w:r>
              <w:rPr>
                <w:noProof/>
                <w:webHidden/>
              </w:rPr>
              <w:t>26</w:t>
            </w:r>
            <w:r>
              <w:rPr>
                <w:noProof/>
                <w:webHidden/>
              </w:rPr>
              <w:fldChar w:fldCharType="end"/>
            </w:r>
          </w:hyperlink>
        </w:p>
        <w:p w14:paraId="7FE4E786" w14:textId="77777777" w:rsidR="008C2534" w:rsidRDefault="003A75A5">
          <w:pPr>
            <w:pStyle w:val="TM2"/>
            <w:tabs>
              <w:tab w:val="left" w:pos="960"/>
              <w:tab w:val="right" w:leader="dot" w:pos="9060"/>
            </w:tabs>
            <w:rPr>
              <w:rFonts w:eastAsiaTheme="minorEastAsia"/>
              <w:noProof/>
              <w:lang w:eastAsia="fr-FR"/>
            </w:rPr>
          </w:pPr>
          <w:hyperlink w:anchor="_Toc505606826" w:history="1">
            <w:r>
              <w:rPr>
                <w:rStyle w:val="Lienhypertexte"/>
                <w:noProof/>
              </w:rPr>
              <w:t>11.1.</w:t>
            </w:r>
            <w:r>
              <w:rPr>
                <w:rFonts w:eastAsiaTheme="minorEastAsia"/>
                <w:noProof/>
                <w:lang w:eastAsia="fr-FR"/>
              </w:rPr>
              <w:tab/>
            </w:r>
            <w:r>
              <w:rPr>
                <w:rStyle w:val="Lienhypertexte"/>
                <w:noProof/>
              </w:rPr>
              <w:t>Comité de Protection des Personnes</w:t>
            </w:r>
            <w:r>
              <w:rPr>
                <w:noProof/>
                <w:webHidden/>
              </w:rPr>
              <w:tab/>
            </w:r>
            <w:r>
              <w:rPr>
                <w:noProof/>
                <w:webHidden/>
              </w:rPr>
              <w:fldChar w:fldCharType="begin"/>
            </w:r>
            <w:r>
              <w:rPr>
                <w:noProof/>
                <w:webHidden/>
              </w:rPr>
              <w:instrText xml:space="preserve"> PAGEREF _Toc505606826 \h </w:instrText>
            </w:r>
            <w:r>
              <w:rPr>
                <w:noProof/>
                <w:webHidden/>
              </w:rPr>
            </w:r>
            <w:r>
              <w:rPr>
                <w:noProof/>
                <w:webHidden/>
              </w:rPr>
              <w:fldChar w:fldCharType="separate"/>
            </w:r>
            <w:r>
              <w:rPr>
                <w:noProof/>
                <w:webHidden/>
              </w:rPr>
              <w:t>26</w:t>
            </w:r>
            <w:r>
              <w:rPr>
                <w:noProof/>
                <w:webHidden/>
              </w:rPr>
              <w:fldChar w:fldCharType="end"/>
            </w:r>
          </w:hyperlink>
        </w:p>
        <w:p w14:paraId="7FE4E787" w14:textId="77777777" w:rsidR="008C2534" w:rsidRDefault="003A75A5">
          <w:pPr>
            <w:pStyle w:val="TM2"/>
            <w:tabs>
              <w:tab w:val="left" w:pos="960"/>
              <w:tab w:val="right" w:leader="dot" w:pos="9060"/>
            </w:tabs>
            <w:rPr>
              <w:rFonts w:eastAsiaTheme="minorEastAsia"/>
              <w:noProof/>
              <w:lang w:eastAsia="fr-FR"/>
            </w:rPr>
          </w:pPr>
          <w:hyperlink w:anchor="_Toc505606827" w:history="1">
            <w:r>
              <w:rPr>
                <w:rStyle w:val="Lienhypertexte"/>
                <w:rFonts w:cs="Times New Roman"/>
                <w:noProof/>
              </w:rPr>
              <w:t>11.2.</w:t>
            </w:r>
            <w:r>
              <w:rPr>
                <w:rFonts w:eastAsiaTheme="minorEastAsia"/>
                <w:noProof/>
                <w:lang w:eastAsia="fr-FR"/>
              </w:rPr>
              <w:tab/>
            </w:r>
            <w:r>
              <w:rPr>
                <w:rStyle w:val="Lienhypertexte"/>
                <w:noProof/>
              </w:rPr>
              <w:t>Modifications substantielles</w:t>
            </w:r>
            <w:r>
              <w:rPr>
                <w:noProof/>
                <w:webHidden/>
              </w:rPr>
              <w:tab/>
            </w:r>
            <w:r>
              <w:rPr>
                <w:noProof/>
                <w:webHidden/>
              </w:rPr>
              <w:fldChar w:fldCharType="begin"/>
            </w:r>
            <w:r>
              <w:rPr>
                <w:noProof/>
                <w:webHidden/>
              </w:rPr>
              <w:instrText xml:space="preserve"> PAGEREF _Toc505606</w:instrText>
            </w:r>
            <w:r>
              <w:rPr>
                <w:noProof/>
                <w:webHidden/>
              </w:rPr>
              <w:instrText xml:space="preserve">827 \h </w:instrText>
            </w:r>
            <w:r>
              <w:rPr>
                <w:noProof/>
                <w:webHidden/>
              </w:rPr>
            </w:r>
            <w:r>
              <w:rPr>
                <w:noProof/>
                <w:webHidden/>
              </w:rPr>
              <w:fldChar w:fldCharType="separate"/>
            </w:r>
            <w:r>
              <w:rPr>
                <w:noProof/>
                <w:webHidden/>
              </w:rPr>
              <w:t>26</w:t>
            </w:r>
            <w:r>
              <w:rPr>
                <w:noProof/>
                <w:webHidden/>
              </w:rPr>
              <w:fldChar w:fldCharType="end"/>
            </w:r>
          </w:hyperlink>
        </w:p>
        <w:p w14:paraId="7FE4E788" w14:textId="77777777" w:rsidR="008C2534" w:rsidRDefault="003A75A5">
          <w:pPr>
            <w:pStyle w:val="TM2"/>
            <w:tabs>
              <w:tab w:val="left" w:pos="960"/>
              <w:tab w:val="right" w:leader="dot" w:pos="9060"/>
            </w:tabs>
            <w:rPr>
              <w:rFonts w:eastAsiaTheme="minorEastAsia"/>
              <w:noProof/>
              <w:lang w:eastAsia="fr-FR"/>
            </w:rPr>
          </w:pPr>
          <w:hyperlink w:anchor="_Toc505606828" w:history="1">
            <w:r>
              <w:rPr>
                <w:rStyle w:val="Lienhypertexte"/>
                <w:rFonts w:cs="Times New Roman"/>
                <w:noProof/>
              </w:rPr>
              <w:t>11.3.</w:t>
            </w:r>
            <w:r>
              <w:rPr>
                <w:rFonts w:eastAsiaTheme="minorEastAsia"/>
                <w:noProof/>
                <w:lang w:eastAsia="fr-FR"/>
              </w:rPr>
              <w:tab/>
            </w:r>
            <w:r>
              <w:rPr>
                <w:rStyle w:val="Lienhypertexte"/>
                <w:noProof/>
              </w:rPr>
              <w:t>Information du patient et consentement exprès</w:t>
            </w:r>
            <w:r>
              <w:rPr>
                <w:noProof/>
                <w:webHidden/>
              </w:rPr>
              <w:tab/>
            </w:r>
            <w:r>
              <w:rPr>
                <w:noProof/>
                <w:webHidden/>
              </w:rPr>
              <w:fldChar w:fldCharType="begin"/>
            </w:r>
            <w:r>
              <w:rPr>
                <w:noProof/>
                <w:webHidden/>
              </w:rPr>
              <w:instrText xml:space="preserve"> PAGEREF _Toc505606828 \h </w:instrText>
            </w:r>
            <w:r>
              <w:rPr>
                <w:noProof/>
                <w:webHidden/>
              </w:rPr>
            </w:r>
            <w:r>
              <w:rPr>
                <w:noProof/>
                <w:webHidden/>
              </w:rPr>
              <w:fldChar w:fldCharType="separate"/>
            </w:r>
            <w:r>
              <w:rPr>
                <w:noProof/>
                <w:webHidden/>
              </w:rPr>
              <w:t>26</w:t>
            </w:r>
            <w:r>
              <w:rPr>
                <w:noProof/>
                <w:webHidden/>
              </w:rPr>
              <w:fldChar w:fldCharType="end"/>
            </w:r>
          </w:hyperlink>
        </w:p>
        <w:p w14:paraId="7FE4E789" w14:textId="77777777" w:rsidR="008C2534" w:rsidRDefault="003A75A5">
          <w:pPr>
            <w:pStyle w:val="TM2"/>
            <w:tabs>
              <w:tab w:val="left" w:pos="960"/>
              <w:tab w:val="right" w:leader="dot" w:pos="9060"/>
            </w:tabs>
            <w:rPr>
              <w:rFonts w:eastAsiaTheme="minorEastAsia"/>
              <w:noProof/>
              <w:lang w:eastAsia="fr-FR"/>
            </w:rPr>
          </w:pPr>
          <w:hyperlink w:anchor="_Toc505606829" w:history="1">
            <w:r>
              <w:rPr>
                <w:rStyle w:val="Lienhypertexte"/>
                <w:noProof/>
              </w:rPr>
              <w:t>11.4.</w:t>
            </w:r>
            <w:r>
              <w:rPr>
                <w:rFonts w:eastAsiaTheme="minorEastAsia"/>
                <w:noProof/>
                <w:lang w:eastAsia="fr-FR"/>
              </w:rPr>
              <w:tab/>
            </w:r>
            <w:r>
              <w:rPr>
                <w:rStyle w:val="Lienhypertexte"/>
                <w:noProof/>
              </w:rPr>
              <w:t>Inscription au fichier national des personnes se prêtant à une recherche biomédicale</w:t>
            </w:r>
            <w:r>
              <w:rPr>
                <w:noProof/>
                <w:webHidden/>
              </w:rPr>
              <w:tab/>
            </w:r>
            <w:r>
              <w:rPr>
                <w:noProof/>
                <w:webHidden/>
              </w:rPr>
              <w:fldChar w:fldCharType="begin"/>
            </w:r>
            <w:r>
              <w:rPr>
                <w:noProof/>
                <w:webHidden/>
              </w:rPr>
              <w:instrText xml:space="preserve"> PAGEREF _Toc505606829 \h </w:instrText>
            </w:r>
            <w:r>
              <w:rPr>
                <w:noProof/>
                <w:webHidden/>
              </w:rPr>
            </w:r>
            <w:r>
              <w:rPr>
                <w:noProof/>
                <w:webHidden/>
              </w:rPr>
              <w:fldChar w:fldCharType="separate"/>
            </w:r>
            <w:r>
              <w:rPr>
                <w:noProof/>
                <w:webHidden/>
              </w:rPr>
              <w:t>27</w:t>
            </w:r>
            <w:r>
              <w:rPr>
                <w:noProof/>
                <w:webHidden/>
              </w:rPr>
              <w:fldChar w:fldCharType="end"/>
            </w:r>
          </w:hyperlink>
        </w:p>
        <w:p w14:paraId="7FE4E78A" w14:textId="77777777" w:rsidR="008C2534" w:rsidRDefault="003A75A5">
          <w:pPr>
            <w:pStyle w:val="TM1"/>
            <w:tabs>
              <w:tab w:val="left" w:pos="660"/>
              <w:tab w:val="right" w:leader="dot" w:pos="9060"/>
            </w:tabs>
            <w:rPr>
              <w:rFonts w:eastAsiaTheme="minorEastAsia"/>
              <w:noProof/>
              <w:lang w:eastAsia="fr-FR"/>
            </w:rPr>
          </w:pPr>
          <w:hyperlink w:anchor="_Toc505606830" w:history="1">
            <w:r>
              <w:rPr>
                <w:rStyle w:val="Lienhypertexte"/>
                <w:noProof/>
              </w:rPr>
              <w:t>12.</w:t>
            </w:r>
            <w:r>
              <w:rPr>
                <w:rFonts w:eastAsiaTheme="minorEastAsia"/>
                <w:noProof/>
                <w:lang w:eastAsia="fr-FR"/>
              </w:rPr>
              <w:tab/>
            </w:r>
            <w:r>
              <w:rPr>
                <w:rStyle w:val="Lienhypertexte"/>
                <w:noProof/>
              </w:rPr>
              <w:t>Produit des données et conservation des documents et données</w:t>
            </w:r>
            <w:r>
              <w:rPr>
                <w:noProof/>
                <w:webHidden/>
              </w:rPr>
              <w:tab/>
            </w:r>
            <w:r>
              <w:rPr>
                <w:noProof/>
                <w:webHidden/>
              </w:rPr>
              <w:fldChar w:fldCharType="begin"/>
            </w:r>
            <w:r>
              <w:rPr>
                <w:noProof/>
                <w:webHidden/>
              </w:rPr>
              <w:instrText xml:space="preserve"> PAGEREF _Toc505606830 \h </w:instrText>
            </w:r>
            <w:r>
              <w:rPr>
                <w:noProof/>
                <w:webHidden/>
              </w:rPr>
            </w:r>
            <w:r>
              <w:rPr>
                <w:noProof/>
                <w:webHidden/>
              </w:rPr>
              <w:fldChar w:fldCharType="separate"/>
            </w:r>
            <w:r>
              <w:rPr>
                <w:noProof/>
                <w:webHidden/>
              </w:rPr>
              <w:t>27</w:t>
            </w:r>
            <w:r>
              <w:rPr>
                <w:noProof/>
                <w:webHidden/>
              </w:rPr>
              <w:fldChar w:fldCharType="end"/>
            </w:r>
          </w:hyperlink>
        </w:p>
        <w:p w14:paraId="7FE4E78B" w14:textId="77777777" w:rsidR="008C2534" w:rsidRDefault="003A75A5">
          <w:pPr>
            <w:pStyle w:val="TM2"/>
            <w:tabs>
              <w:tab w:val="left" w:pos="960"/>
              <w:tab w:val="right" w:leader="dot" w:pos="9060"/>
            </w:tabs>
            <w:rPr>
              <w:rFonts w:eastAsiaTheme="minorEastAsia"/>
              <w:noProof/>
              <w:lang w:eastAsia="fr-FR"/>
            </w:rPr>
          </w:pPr>
          <w:hyperlink w:anchor="_Toc505606831" w:history="1">
            <w:r>
              <w:rPr>
                <w:rStyle w:val="Lienhypertexte"/>
                <w:noProof/>
              </w:rPr>
              <w:t>12.1.</w:t>
            </w:r>
            <w:r>
              <w:rPr>
                <w:rFonts w:eastAsiaTheme="minorEastAsia"/>
                <w:noProof/>
                <w:lang w:eastAsia="fr-FR"/>
              </w:rPr>
              <w:tab/>
            </w:r>
            <w:r>
              <w:rPr>
                <w:rStyle w:val="Lienhypertexte"/>
                <w:noProof/>
              </w:rPr>
              <w:t>Fiche d’observation</w:t>
            </w:r>
            <w:r>
              <w:rPr>
                <w:noProof/>
                <w:webHidden/>
              </w:rPr>
              <w:tab/>
            </w:r>
            <w:r>
              <w:rPr>
                <w:noProof/>
                <w:webHidden/>
              </w:rPr>
              <w:fldChar w:fldCharType="begin"/>
            </w:r>
            <w:r>
              <w:rPr>
                <w:noProof/>
                <w:webHidden/>
              </w:rPr>
              <w:instrText xml:space="preserve"> PAGEREF _Toc505606831 \h </w:instrText>
            </w:r>
            <w:r>
              <w:rPr>
                <w:noProof/>
                <w:webHidden/>
              </w:rPr>
            </w:r>
            <w:r>
              <w:rPr>
                <w:noProof/>
                <w:webHidden/>
              </w:rPr>
              <w:fldChar w:fldCharType="separate"/>
            </w:r>
            <w:r>
              <w:rPr>
                <w:noProof/>
                <w:webHidden/>
              </w:rPr>
              <w:t>27</w:t>
            </w:r>
            <w:r>
              <w:rPr>
                <w:noProof/>
                <w:webHidden/>
              </w:rPr>
              <w:fldChar w:fldCharType="end"/>
            </w:r>
          </w:hyperlink>
        </w:p>
        <w:p w14:paraId="7FE4E78C" w14:textId="77777777" w:rsidR="008C2534" w:rsidRDefault="003A75A5">
          <w:pPr>
            <w:pStyle w:val="TM2"/>
            <w:tabs>
              <w:tab w:val="left" w:pos="960"/>
              <w:tab w:val="right" w:leader="dot" w:pos="9060"/>
            </w:tabs>
            <w:rPr>
              <w:rFonts w:eastAsiaTheme="minorEastAsia"/>
              <w:noProof/>
              <w:lang w:eastAsia="fr-FR"/>
            </w:rPr>
          </w:pPr>
          <w:hyperlink w:anchor="_Toc505606832" w:history="1">
            <w:r>
              <w:rPr>
                <w:rStyle w:val="Lienhypertexte"/>
                <w:noProof/>
              </w:rPr>
              <w:t>12.2.</w:t>
            </w:r>
            <w:r>
              <w:rPr>
                <w:rFonts w:eastAsiaTheme="minorEastAsia"/>
                <w:noProof/>
                <w:lang w:eastAsia="fr-FR"/>
              </w:rPr>
              <w:tab/>
            </w:r>
            <w:r>
              <w:rPr>
                <w:rStyle w:val="Lienhypertexte"/>
                <w:noProof/>
              </w:rPr>
              <w:t>Saisie et produit des données</w:t>
            </w:r>
            <w:r>
              <w:rPr>
                <w:noProof/>
                <w:webHidden/>
              </w:rPr>
              <w:tab/>
            </w:r>
            <w:r>
              <w:rPr>
                <w:noProof/>
                <w:webHidden/>
              </w:rPr>
              <w:fldChar w:fldCharType="begin"/>
            </w:r>
            <w:r>
              <w:rPr>
                <w:noProof/>
                <w:webHidden/>
              </w:rPr>
              <w:instrText xml:space="preserve"> PAGEREF _Toc505606832 \h </w:instrText>
            </w:r>
            <w:r>
              <w:rPr>
                <w:noProof/>
                <w:webHidden/>
              </w:rPr>
            </w:r>
            <w:r>
              <w:rPr>
                <w:noProof/>
                <w:webHidden/>
              </w:rPr>
              <w:fldChar w:fldCharType="separate"/>
            </w:r>
            <w:r>
              <w:rPr>
                <w:noProof/>
                <w:webHidden/>
              </w:rPr>
              <w:t>27</w:t>
            </w:r>
            <w:r>
              <w:rPr>
                <w:noProof/>
                <w:webHidden/>
              </w:rPr>
              <w:fldChar w:fldCharType="end"/>
            </w:r>
          </w:hyperlink>
        </w:p>
        <w:p w14:paraId="7FE4E78D" w14:textId="77777777" w:rsidR="008C2534" w:rsidRDefault="003A75A5">
          <w:pPr>
            <w:pStyle w:val="TM2"/>
            <w:tabs>
              <w:tab w:val="left" w:pos="960"/>
              <w:tab w:val="right" w:leader="dot" w:pos="9060"/>
            </w:tabs>
            <w:rPr>
              <w:rFonts w:eastAsiaTheme="minorEastAsia"/>
              <w:noProof/>
              <w:lang w:eastAsia="fr-FR"/>
            </w:rPr>
          </w:pPr>
          <w:hyperlink w:anchor="_Toc505606833" w:history="1">
            <w:r>
              <w:rPr>
                <w:rStyle w:val="Lienhypertexte"/>
                <w:noProof/>
              </w:rPr>
              <w:t>12.3.</w:t>
            </w:r>
            <w:r>
              <w:rPr>
                <w:rFonts w:eastAsiaTheme="minorEastAsia"/>
                <w:noProof/>
                <w:lang w:eastAsia="fr-FR"/>
              </w:rPr>
              <w:tab/>
            </w:r>
            <w:r>
              <w:rPr>
                <w:rStyle w:val="Lienhypertexte"/>
                <w:noProof/>
              </w:rPr>
              <w:t>CNIL</w:t>
            </w:r>
            <w:r>
              <w:rPr>
                <w:noProof/>
                <w:webHidden/>
              </w:rPr>
              <w:tab/>
            </w:r>
            <w:r>
              <w:rPr>
                <w:noProof/>
                <w:webHidden/>
              </w:rPr>
              <w:fldChar w:fldCharType="begin"/>
            </w:r>
            <w:r>
              <w:rPr>
                <w:noProof/>
                <w:webHidden/>
              </w:rPr>
              <w:instrText xml:space="preserve"> PAGEREF _Toc505606833 \h </w:instrText>
            </w:r>
            <w:r>
              <w:rPr>
                <w:noProof/>
                <w:webHidden/>
              </w:rPr>
            </w:r>
            <w:r>
              <w:rPr>
                <w:noProof/>
                <w:webHidden/>
              </w:rPr>
              <w:fldChar w:fldCharType="separate"/>
            </w:r>
            <w:r>
              <w:rPr>
                <w:noProof/>
                <w:webHidden/>
              </w:rPr>
              <w:t>27</w:t>
            </w:r>
            <w:r>
              <w:rPr>
                <w:noProof/>
                <w:webHidden/>
              </w:rPr>
              <w:fldChar w:fldCharType="end"/>
            </w:r>
          </w:hyperlink>
        </w:p>
        <w:p w14:paraId="7FE4E78E" w14:textId="77777777" w:rsidR="008C2534" w:rsidRDefault="003A75A5">
          <w:pPr>
            <w:pStyle w:val="TM2"/>
            <w:tabs>
              <w:tab w:val="left" w:pos="960"/>
              <w:tab w:val="right" w:leader="dot" w:pos="9060"/>
            </w:tabs>
            <w:rPr>
              <w:rFonts w:eastAsiaTheme="minorEastAsia"/>
              <w:noProof/>
              <w:lang w:eastAsia="fr-FR"/>
            </w:rPr>
          </w:pPr>
          <w:hyperlink w:anchor="_Toc505606834" w:history="1">
            <w:r>
              <w:rPr>
                <w:rStyle w:val="Lienhypertexte"/>
                <w:noProof/>
              </w:rPr>
              <w:t>12.4.</w:t>
            </w:r>
            <w:r>
              <w:rPr>
                <w:rFonts w:eastAsiaTheme="minorEastAsia"/>
                <w:noProof/>
                <w:lang w:eastAsia="fr-FR"/>
              </w:rPr>
              <w:tab/>
            </w:r>
            <w:r>
              <w:rPr>
                <w:rStyle w:val="Lienhypertexte"/>
                <w:noProof/>
              </w:rPr>
              <w:t>Archivage</w:t>
            </w:r>
            <w:r>
              <w:rPr>
                <w:noProof/>
                <w:webHidden/>
              </w:rPr>
              <w:tab/>
            </w:r>
            <w:r>
              <w:rPr>
                <w:noProof/>
                <w:webHidden/>
              </w:rPr>
              <w:fldChar w:fldCharType="begin"/>
            </w:r>
            <w:r>
              <w:rPr>
                <w:noProof/>
                <w:webHidden/>
              </w:rPr>
              <w:instrText xml:space="preserve"> PAG</w:instrText>
            </w:r>
            <w:r>
              <w:rPr>
                <w:noProof/>
                <w:webHidden/>
              </w:rPr>
              <w:instrText xml:space="preserve">EREF _Toc505606834 \h </w:instrText>
            </w:r>
            <w:r>
              <w:rPr>
                <w:noProof/>
                <w:webHidden/>
              </w:rPr>
            </w:r>
            <w:r>
              <w:rPr>
                <w:noProof/>
                <w:webHidden/>
              </w:rPr>
              <w:fldChar w:fldCharType="separate"/>
            </w:r>
            <w:r>
              <w:rPr>
                <w:noProof/>
                <w:webHidden/>
              </w:rPr>
              <w:t>28</w:t>
            </w:r>
            <w:r>
              <w:rPr>
                <w:noProof/>
                <w:webHidden/>
              </w:rPr>
              <w:fldChar w:fldCharType="end"/>
            </w:r>
          </w:hyperlink>
        </w:p>
        <w:p w14:paraId="7FE4E78F" w14:textId="77777777" w:rsidR="008C2534" w:rsidRDefault="003A75A5">
          <w:pPr>
            <w:pStyle w:val="TM1"/>
            <w:tabs>
              <w:tab w:val="left" w:pos="660"/>
              <w:tab w:val="right" w:leader="dot" w:pos="9060"/>
            </w:tabs>
            <w:rPr>
              <w:rFonts w:eastAsiaTheme="minorEastAsia"/>
              <w:noProof/>
              <w:lang w:eastAsia="fr-FR"/>
            </w:rPr>
          </w:pPr>
          <w:hyperlink w:anchor="_Toc505606835" w:history="1">
            <w:r>
              <w:rPr>
                <w:rStyle w:val="Lienhypertexte"/>
                <w:noProof/>
              </w:rPr>
              <w:t>13.</w:t>
            </w:r>
            <w:r>
              <w:rPr>
                <w:rFonts w:eastAsiaTheme="minorEastAsia"/>
                <w:noProof/>
                <w:lang w:eastAsia="fr-FR"/>
              </w:rPr>
              <w:tab/>
            </w:r>
            <w:r>
              <w:rPr>
                <w:rStyle w:val="Lienhypertexte"/>
                <w:noProof/>
              </w:rPr>
              <w:t>Financement et assurance</w:t>
            </w:r>
            <w:r>
              <w:rPr>
                <w:noProof/>
                <w:webHidden/>
              </w:rPr>
              <w:tab/>
            </w:r>
            <w:r>
              <w:rPr>
                <w:noProof/>
                <w:webHidden/>
              </w:rPr>
              <w:fldChar w:fldCharType="begin"/>
            </w:r>
            <w:r>
              <w:rPr>
                <w:noProof/>
                <w:webHidden/>
              </w:rPr>
              <w:instrText xml:space="preserve"> PAGEREF _Toc505606835 \h </w:instrText>
            </w:r>
            <w:r>
              <w:rPr>
                <w:noProof/>
                <w:webHidden/>
              </w:rPr>
            </w:r>
            <w:r>
              <w:rPr>
                <w:noProof/>
                <w:webHidden/>
              </w:rPr>
              <w:fldChar w:fldCharType="separate"/>
            </w:r>
            <w:r>
              <w:rPr>
                <w:noProof/>
                <w:webHidden/>
              </w:rPr>
              <w:t>28</w:t>
            </w:r>
            <w:r>
              <w:rPr>
                <w:noProof/>
                <w:webHidden/>
              </w:rPr>
              <w:fldChar w:fldCharType="end"/>
            </w:r>
          </w:hyperlink>
        </w:p>
        <w:p w14:paraId="7FE4E790" w14:textId="77777777" w:rsidR="008C2534" w:rsidRDefault="003A75A5">
          <w:pPr>
            <w:pStyle w:val="TM2"/>
            <w:tabs>
              <w:tab w:val="left" w:pos="960"/>
              <w:tab w:val="right" w:leader="dot" w:pos="9060"/>
            </w:tabs>
            <w:rPr>
              <w:rFonts w:eastAsiaTheme="minorEastAsia"/>
              <w:noProof/>
              <w:lang w:eastAsia="fr-FR"/>
            </w:rPr>
          </w:pPr>
          <w:hyperlink w:anchor="_Toc505606836" w:history="1">
            <w:r>
              <w:rPr>
                <w:rStyle w:val="Lienhypertexte"/>
                <w:noProof/>
              </w:rPr>
              <w:t>13.1.</w:t>
            </w:r>
            <w:r>
              <w:rPr>
                <w:rFonts w:eastAsiaTheme="minorEastAsia"/>
                <w:noProof/>
                <w:lang w:eastAsia="fr-FR"/>
              </w:rPr>
              <w:tab/>
            </w:r>
            <w:r>
              <w:rPr>
                <w:rStyle w:val="Lienhypertexte"/>
                <w:noProof/>
              </w:rPr>
              <w:t>Budget de l’étude</w:t>
            </w:r>
            <w:r>
              <w:rPr>
                <w:noProof/>
                <w:webHidden/>
              </w:rPr>
              <w:tab/>
            </w:r>
            <w:r>
              <w:rPr>
                <w:noProof/>
                <w:webHidden/>
              </w:rPr>
              <w:fldChar w:fldCharType="begin"/>
            </w:r>
            <w:r>
              <w:rPr>
                <w:noProof/>
                <w:webHidden/>
              </w:rPr>
              <w:instrText xml:space="preserve"> PAGEREF _Toc505606836 \h </w:instrText>
            </w:r>
            <w:r>
              <w:rPr>
                <w:noProof/>
                <w:webHidden/>
              </w:rPr>
            </w:r>
            <w:r>
              <w:rPr>
                <w:noProof/>
                <w:webHidden/>
              </w:rPr>
              <w:fldChar w:fldCharType="separate"/>
            </w:r>
            <w:r>
              <w:rPr>
                <w:noProof/>
                <w:webHidden/>
              </w:rPr>
              <w:t>28</w:t>
            </w:r>
            <w:r>
              <w:rPr>
                <w:noProof/>
                <w:webHidden/>
              </w:rPr>
              <w:fldChar w:fldCharType="end"/>
            </w:r>
          </w:hyperlink>
        </w:p>
        <w:p w14:paraId="7FE4E791" w14:textId="77777777" w:rsidR="008C2534" w:rsidRDefault="003A75A5">
          <w:pPr>
            <w:pStyle w:val="TM2"/>
            <w:tabs>
              <w:tab w:val="left" w:pos="960"/>
              <w:tab w:val="right" w:leader="dot" w:pos="9060"/>
            </w:tabs>
            <w:rPr>
              <w:rFonts w:eastAsiaTheme="minorEastAsia"/>
              <w:noProof/>
              <w:lang w:eastAsia="fr-FR"/>
            </w:rPr>
          </w:pPr>
          <w:hyperlink w:anchor="_Toc505606837" w:history="1">
            <w:r>
              <w:rPr>
                <w:rStyle w:val="Lienhypertexte"/>
                <w:noProof/>
              </w:rPr>
              <w:t>13.2.</w:t>
            </w:r>
            <w:r>
              <w:rPr>
                <w:rFonts w:eastAsiaTheme="minorEastAsia"/>
                <w:noProof/>
                <w:lang w:eastAsia="fr-FR"/>
              </w:rPr>
              <w:tab/>
            </w:r>
            <w:r>
              <w:rPr>
                <w:rStyle w:val="Lienhypertexte"/>
                <w:noProof/>
              </w:rPr>
              <w:t>Assurance</w:t>
            </w:r>
            <w:r>
              <w:rPr>
                <w:noProof/>
                <w:webHidden/>
              </w:rPr>
              <w:tab/>
            </w:r>
            <w:r>
              <w:rPr>
                <w:noProof/>
                <w:webHidden/>
              </w:rPr>
              <w:fldChar w:fldCharType="begin"/>
            </w:r>
            <w:r>
              <w:rPr>
                <w:noProof/>
                <w:webHidden/>
              </w:rPr>
              <w:instrText xml:space="preserve"> PAGEREF _Toc505606837 \h </w:instrText>
            </w:r>
            <w:r>
              <w:rPr>
                <w:noProof/>
                <w:webHidden/>
              </w:rPr>
            </w:r>
            <w:r>
              <w:rPr>
                <w:noProof/>
                <w:webHidden/>
              </w:rPr>
              <w:fldChar w:fldCharType="separate"/>
            </w:r>
            <w:r>
              <w:rPr>
                <w:noProof/>
                <w:webHidden/>
              </w:rPr>
              <w:t>29</w:t>
            </w:r>
            <w:r>
              <w:rPr>
                <w:noProof/>
                <w:webHidden/>
              </w:rPr>
              <w:fldChar w:fldCharType="end"/>
            </w:r>
          </w:hyperlink>
        </w:p>
        <w:p w14:paraId="7FE4E792" w14:textId="77777777" w:rsidR="008C2534" w:rsidRDefault="003A75A5">
          <w:pPr>
            <w:pStyle w:val="TM1"/>
            <w:tabs>
              <w:tab w:val="left" w:pos="660"/>
              <w:tab w:val="right" w:leader="dot" w:pos="9060"/>
            </w:tabs>
            <w:rPr>
              <w:rFonts w:eastAsiaTheme="minorEastAsia"/>
              <w:noProof/>
              <w:lang w:eastAsia="fr-FR"/>
            </w:rPr>
          </w:pPr>
          <w:hyperlink w:anchor="_Toc505606838" w:history="1">
            <w:r>
              <w:rPr>
                <w:rStyle w:val="Lienhypertexte"/>
                <w:noProof/>
              </w:rPr>
              <w:t>14.</w:t>
            </w:r>
            <w:r>
              <w:rPr>
                <w:rFonts w:eastAsiaTheme="minorEastAsia"/>
                <w:noProof/>
                <w:lang w:eastAsia="fr-FR"/>
              </w:rPr>
              <w:tab/>
            </w:r>
            <w:r>
              <w:rPr>
                <w:rStyle w:val="Lienhypertexte"/>
                <w:noProof/>
              </w:rPr>
              <w:t>Faisabilité de l'étude</w:t>
            </w:r>
            <w:r>
              <w:rPr>
                <w:noProof/>
                <w:webHidden/>
              </w:rPr>
              <w:tab/>
            </w:r>
            <w:r>
              <w:rPr>
                <w:noProof/>
                <w:webHidden/>
              </w:rPr>
              <w:fldChar w:fldCharType="begin"/>
            </w:r>
            <w:r>
              <w:rPr>
                <w:noProof/>
                <w:webHidden/>
              </w:rPr>
              <w:instrText xml:space="preserve"> PAGEREF _Toc505606838 \h </w:instrText>
            </w:r>
            <w:r>
              <w:rPr>
                <w:noProof/>
                <w:webHidden/>
              </w:rPr>
            </w:r>
            <w:r>
              <w:rPr>
                <w:noProof/>
                <w:webHidden/>
              </w:rPr>
              <w:fldChar w:fldCharType="separate"/>
            </w:r>
            <w:r>
              <w:rPr>
                <w:noProof/>
                <w:webHidden/>
              </w:rPr>
              <w:t>29</w:t>
            </w:r>
            <w:r>
              <w:rPr>
                <w:noProof/>
                <w:webHidden/>
              </w:rPr>
              <w:fldChar w:fldCharType="end"/>
            </w:r>
          </w:hyperlink>
        </w:p>
        <w:p w14:paraId="7FE4E793" w14:textId="77777777" w:rsidR="008C2534" w:rsidRDefault="003A75A5">
          <w:pPr>
            <w:pStyle w:val="TM1"/>
            <w:tabs>
              <w:tab w:val="left" w:pos="660"/>
              <w:tab w:val="right" w:leader="dot" w:pos="9060"/>
            </w:tabs>
            <w:rPr>
              <w:rFonts w:eastAsiaTheme="minorEastAsia"/>
              <w:noProof/>
              <w:lang w:eastAsia="fr-FR"/>
            </w:rPr>
          </w:pPr>
          <w:hyperlink w:anchor="_Toc505606839" w:history="1">
            <w:r>
              <w:rPr>
                <w:rStyle w:val="Lienhypertexte"/>
                <w:noProof/>
              </w:rPr>
              <w:t>15.</w:t>
            </w:r>
            <w:r>
              <w:rPr>
                <w:rFonts w:eastAsiaTheme="minorEastAsia"/>
                <w:noProof/>
                <w:lang w:eastAsia="fr-FR"/>
              </w:rPr>
              <w:tab/>
            </w:r>
            <w:r>
              <w:rPr>
                <w:rStyle w:val="Lienhypertexte"/>
                <w:noProof/>
              </w:rPr>
              <w:t xml:space="preserve">Règles relatives à la </w:t>
            </w:r>
            <w:r>
              <w:rPr>
                <w:rStyle w:val="Lienhypertexte"/>
                <w:noProof/>
              </w:rPr>
              <w:t>publication</w:t>
            </w:r>
            <w:r>
              <w:rPr>
                <w:noProof/>
                <w:webHidden/>
              </w:rPr>
              <w:tab/>
            </w:r>
            <w:r>
              <w:rPr>
                <w:noProof/>
                <w:webHidden/>
              </w:rPr>
              <w:fldChar w:fldCharType="begin"/>
            </w:r>
            <w:r>
              <w:rPr>
                <w:noProof/>
                <w:webHidden/>
              </w:rPr>
              <w:instrText xml:space="preserve"> PAGEREF _Toc505606839 \h </w:instrText>
            </w:r>
            <w:r>
              <w:rPr>
                <w:noProof/>
                <w:webHidden/>
              </w:rPr>
            </w:r>
            <w:r>
              <w:rPr>
                <w:noProof/>
                <w:webHidden/>
              </w:rPr>
              <w:fldChar w:fldCharType="separate"/>
            </w:r>
            <w:r>
              <w:rPr>
                <w:noProof/>
                <w:webHidden/>
              </w:rPr>
              <w:t>29</w:t>
            </w:r>
            <w:r>
              <w:rPr>
                <w:noProof/>
                <w:webHidden/>
              </w:rPr>
              <w:fldChar w:fldCharType="end"/>
            </w:r>
          </w:hyperlink>
        </w:p>
        <w:p w14:paraId="7FE4E794" w14:textId="77777777" w:rsidR="008C2534" w:rsidRDefault="003A75A5">
          <w:pPr>
            <w:pStyle w:val="TM1"/>
            <w:tabs>
              <w:tab w:val="left" w:pos="660"/>
              <w:tab w:val="right" w:leader="dot" w:pos="9060"/>
            </w:tabs>
            <w:rPr>
              <w:rFonts w:eastAsiaTheme="minorEastAsia"/>
              <w:noProof/>
              <w:lang w:eastAsia="fr-FR"/>
            </w:rPr>
          </w:pPr>
          <w:hyperlink w:anchor="_Toc505606840" w:history="1">
            <w:r>
              <w:rPr>
                <w:rStyle w:val="Lienhypertexte"/>
                <w:noProof/>
              </w:rPr>
              <w:t>16.</w:t>
            </w:r>
            <w:r>
              <w:rPr>
                <w:rFonts w:eastAsiaTheme="minorEastAsia"/>
                <w:noProof/>
                <w:lang w:eastAsia="fr-FR"/>
              </w:rPr>
              <w:tab/>
            </w:r>
            <w:r>
              <w:rPr>
                <w:rStyle w:val="Lienhypertexte"/>
                <w:noProof/>
              </w:rPr>
              <w:t>Bibliographie</w:t>
            </w:r>
            <w:r>
              <w:rPr>
                <w:noProof/>
                <w:webHidden/>
              </w:rPr>
              <w:tab/>
            </w:r>
            <w:r>
              <w:rPr>
                <w:noProof/>
                <w:webHidden/>
              </w:rPr>
              <w:fldChar w:fldCharType="begin"/>
            </w:r>
            <w:r>
              <w:rPr>
                <w:noProof/>
                <w:webHidden/>
              </w:rPr>
              <w:instrText xml:space="preserve"> PAGEREF _Toc505606840 \h </w:instrText>
            </w:r>
            <w:r>
              <w:rPr>
                <w:noProof/>
                <w:webHidden/>
              </w:rPr>
            </w:r>
            <w:r>
              <w:rPr>
                <w:noProof/>
                <w:webHidden/>
              </w:rPr>
              <w:fldChar w:fldCharType="separate"/>
            </w:r>
            <w:r>
              <w:rPr>
                <w:noProof/>
                <w:webHidden/>
              </w:rPr>
              <w:t>30</w:t>
            </w:r>
            <w:r>
              <w:rPr>
                <w:noProof/>
                <w:webHidden/>
              </w:rPr>
              <w:fldChar w:fldCharType="end"/>
            </w:r>
          </w:hyperlink>
        </w:p>
        <w:p w14:paraId="7FE4E795" w14:textId="77777777" w:rsidR="008C2534" w:rsidRDefault="003A75A5">
          <w:pPr>
            <w:pStyle w:val="TM1"/>
            <w:tabs>
              <w:tab w:val="left" w:pos="660"/>
              <w:tab w:val="right" w:leader="dot" w:pos="9060"/>
            </w:tabs>
            <w:rPr>
              <w:rFonts w:eastAsiaTheme="minorEastAsia"/>
              <w:noProof/>
              <w:lang w:eastAsia="fr-FR"/>
            </w:rPr>
          </w:pPr>
          <w:hyperlink w:anchor="_Toc505606841" w:history="1">
            <w:r>
              <w:rPr>
                <w:rStyle w:val="Lienhypertexte"/>
                <w:noProof/>
              </w:rPr>
              <w:t>17.</w:t>
            </w:r>
            <w:r>
              <w:rPr>
                <w:rFonts w:eastAsiaTheme="minorEastAsia"/>
                <w:noProof/>
                <w:lang w:eastAsia="fr-FR"/>
              </w:rPr>
              <w:tab/>
            </w:r>
            <w:r>
              <w:rPr>
                <w:rStyle w:val="Lienhypertexte"/>
                <w:noProof/>
              </w:rPr>
              <w:t>Liste des annexes</w:t>
            </w:r>
            <w:r>
              <w:rPr>
                <w:noProof/>
                <w:webHidden/>
              </w:rPr>
              <w:tab/>
            </w:r>
            <w:r>
              <w:rPr>
                <w:noProof/>
                <w:webHidden/>
              </w:rPr>
              <w:fldChar w:fldCharType="begin"/>
            </w:r>
            <w:r>
              <w:rPr>
                <w:noProof/>
                <w:webHidden/>
              </w:rPr>
              <w:instrText xml:space="preserve"> PAGEREF _Toc505606841 \h </w:instrText>
            </w:r>
            <w:r>
              <w:rPr>
                <w:noProof/>
                <w:webHidden/>
              </w:rPr>
            </w:r>
            <w:r>
              <w:rPr>
                <w:noProof/>
                <w:webHidden/>
              </w:rPr>
              <w:fldChar w:fldCharType="separate"/>
            </w:r>
            <w:r>
              <w:rPr>
                <w:noProof/>
                <w:webHidden/>
              </w:rPr>
              <w:t>30</w:t>
            </w:r>
            <w:r>
              <w:rPr>
                <w:noProof/>
                <w:webHidden/>
              </w:rPr>
              <w:fldChar w:fldCharType="end"/>
            </w:r>
          </w:hyperlink>
        </w:p>
        <w:p w14:paraId="7FE4E796" w14:textId="77777777" w:rsidR="008C2534" w:rsidRDefault="003A75A5">
          <w:r>
            <w:fldChar w:fldCharType="end"/>
          </w:r>
        </w:p>
      </w:sdtContent>
    </w:sdt>
    <w:p w14:paraId="7FE4E797" w14:textId="77777777" w:rsidR="008C2534" w:rsidRDefault="003A75A5">
      <w:r>
        <w:br w:type="page"/>
      </w:r>
    </w:p>
    <w:p w14:paraId="7FE4E798" w14:textId="77777777" w:rsidR="008C2534" w:rsidRDefault="003A75A5">
      <w:pPr>
        <w:pStyle w:val="Titre1"/>
        <w:numPr>
          <w:ilvl w:val="0"/>
          <w:numId w:val="0"/>
        </w:numPr>
        <w:ind w:left="360" w:hanging="360"/>
        <w:jc w:val="center"/>
        <w:rPr>
          <w:b w:val="0"/>
        </w:rPr>
      </w:pPr>
      <w:bookmarkStart w:id="0" w:name="_Toc505606776"/>
      <w:r>
        <w:rPr>
          <w:b w:val="0"/>
        </w:rPr>
        <w:lastRenderedPageBreak/>
        <w:t>Accord du protocole</w:t>
      </w:r>
      <w:bookmarkEnd w:id="0"/>
    </w:p>
    <w:p w14:paraId="7FE4E799" w14:textId="77777777" w:rsidR="008C2534" w:rsidRDefault="003A75A5">
      <w:pPr>
        <w:rPr>
          <w:rFonts w:ascii="Calibri" w:hAnsi="Calibri"/>
        </w:rPr>
      </w:pPr>
      <w:bookmarkStart w:id="1" w:name="_Toc127761845"/>
      <w:bookmarkStart w:id="2" w:name="_Toc184116488"/>
      <w:bookmarkStart w:id="3" w:name="_Toc197939117"/>
      <w:r>
        <w:rPr>
          <w:rFonts w:ascii="Calibri" w:hAnsi="Calibri"/>
        </w:rPr>
        <w:t xml:space="preserve">SIGNATURE DE </w:t>
      </w:r>
      <w:bookmarkEnd w:id="1"/>
      <w:bookmarkEnd w:id="2"/>
      <w:r>
        <w:rPr>
          <w:rFonts w:ascii="Calibri" w:hAnsi="Calibri"/>
        </w:rPr>
        <w:t>L'INVESTIGATEUR</w:t>
      </w:r>
      <w:bookmarkEnd w:id="3"/>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38"/>
      </w:tblGrid>
      <w:tr w:rsidR="008C2534" w14:paraId="7FE4E7A3" w14:textId="77777777">
        <w:trPr>
          <w:cantSplit/>
        </w:trPr>
        <w:tc>
          <w:tcPr>
            <w:tcW w:w="8838" w:type="dxa"/>
            <w:tcBorders>
              <w:top w:val="single" w:sz="6" w:space="0" w:color="auto"/>
            </w:tcBorders>
          </w:tcPr>
          <w:p w14:paraId="7FE4E79A" w14:textId="77777777" w:rsidR="008C2534" w:rsidRDefault="003A75A5">
            <w:pPr>
              <w:pStyle w:val="paragraph"/>
              <w:rPr>
                <w:rFonts w:ascii="Calibri" w:hAnsi="Calibri"/>
              </w:rPr>
            </w:pPr>
            <w:r>
              <w:rPr>
                <w:rFonts w:ascii="Calibri" w:hAnsi="Calibri"/>
              </w:rPr>
              <w:t>J'ai lu l’ensemble des pages du protocole de l</w:t>
            </w:r>
            <w:r>
              <w:rPr>
                <w:rFonts w:ascii="Calibri" w:hAnsi="Calibri"/>
              </w:rPr>
              <w:t>’essai clinique dont le CHR d’ORLEANS est le promoteur. Je confirme qu'il contient toutes les informations nécessaires à la conduite de l’essai. Je m'engage à réaliser l’essai en respectant le protocole et les termes et conditions qui y sont définis. Je m'</w:t>
            </w:r>
            <w:r>
              <w:rPr>
                <w:rFonts w:ascii="Calibri" w:hAnsi="Calibri"/>
              </w:rPr>
              <w:t>engage à réaliser l’essai en respectant :</w:t>
            </w:r>
          </w:p>
          <w:p w14:paraId="7FE4E79B" w14:textId="77777777" w:rsidR="008C2534" w:rsidRDefault="008C2534">
            <w:pPr>
              <w:pStyle w:val="paragraph"/>
              <w:spacing w:before="0"/>
              <w:rPr>
                <w:rFonts w:ascii="Calibri" w:hAnsi="Calibri"/>
              </w:rPr>
            </w:pPr>
          </w:p>
          <w:p w14:paraId="7FE4E79C" w14:textId="77777777" w:rsidR="008C2534" w:rsidRDefault="003A75A5">
            <w:pPr>
              <w:pStyle w:val="paragraph"/>
              <w:numPr>
                <w:ilvl w:val="0"/>
                <w:numId w:val="2"/>
              </w:numPr>
              <w:spacing w:before="0"/>
              <w:rPr>
                <w:rFonts w:ascii="Calibri" w:hAnsi="Calibri"/>
                <w:snapToGrid w:val="0"/>
                <w:lang w:eastAsia="en-US"/>
              </w:rPr>
            </w:pPr>
            <w:r>
              <w:rPr>
                <w:rFonts w:ascii="Calibri" w:hAnsi="Calibri"/>
                <w:snapToGrid w:val="0"/>
                <w:lang w:eastAsia="en-US"/>
              </w:rPr>
              <w:t xml:space="preserve">les principes de la “Déclaration d’Helsinki”, </w:t>
            </w:r>
          </w:p>
          <w:p w14:paraId="7FE4E79D" w14:textId="77777777" w:rsidR="008C2534" w:rsidRDefault="003A75A5">
            <w:pPr>
              <w:pStyle w:val="paragraph"/>
              <w:numPr>
                <w:ilvl w:val="0"/>
                <w:numId w:val="2"/>
              </w:numPr>
              <w:spacing w:before="0"/>
              <w:rPr>
                <w:rFonts w:ascii="Calibri" w:hAnsi="Calibri"/>
                <w:snapToGrid w:val="0"/>
                <w:lang w:eastAsia="en-US"/>
              </w:rPr>
            </w:pPr>
            <w:r>
              <w:rPr>
                <w:rFonts w:ascii="Calibri" w:hAnsi="Calibri"/>
                <w:snapToGrid w:val="0"/>
                <w:lang w:eastAsia="en-US"/>
              </w:rPr>
              <w:t xml:space="preserve">les règles et recommandations de bonnes pratiques cliniques internationales (ICH) et française (règles de bonnes pratiques cliniques pour les recherches </w:t>
            </w:r>
            <w:r>
              <w:rPr>
                <w:rFonts w:ascii="Calibri" w:hAnsi="Calibri"/>
                <w:snapToGrid w:val="0"/>
                <w:lang w:eastAsia="en-US"/>
              </w:rPr>
              <w:t>biomédicales portant sur des médicaments à usage humain)</w:t>
            </w:r>
          </w:p>
          <w:p w14:paraId="7FE4E79E" w14:textId="77777777" w:rsidR="008C2534" w:rsidRDefault="003A75A5">
            <w:pPr>
              <w:pStyle w:val="paragraph"/>
              <w:numPr>
                <w:ilvl w:val="0"/>
                <w:numId w:val="2"/>
              </w:numPr>
              <w:spacing w:before="0"/>
              <w:rPr>
                <w:rFonts w:ascii="Calibri" w:hAnsi="Calibri"/>
              </w:rPr>
            </w:pPr>
            <w:r>
              <w:rPr>
                <w:rFonts w:ascii="Calibri" w:hAnsi="Calibri"/>
                <w:snapToGrid w:val="0"/>
                <w:lang w:eastAsia="en-US"/>
              </w:rPr>
              <w:t>la législation nationale et la réglementation relative aux essais cliniques,</w:t>
            </w:r>
          </w:p>
          <w:p w14:paraId="7FE4E79F" w14:textId="77777777" w:rsidR="008C2534" w:rsidRDefault="003A75A5">
            <w:pPr>
              <w:pStyle w:val="paragraph"/>
              <w:numPr>
                <w:ilvl w:val="0"/>
                <w:numId w:val="2"/>
              </w:numPr>
              <w:spacing w:before="0"/>
              <w:rPr>
                <w:rFonts w:ascii="Calibri" w:hAnsi="Calibri"/>
              </w:rPr>
            </w:pPr>
            <w:r>
              <w:rPr>
                <w:rFonts w:ascii="Calibri" w:hAnsi="Calibri"/>
                <w:snapToGrid w:val="0"/>
                <w:lang w:eastAsia="en-US"/>
              </w:rPr>
              <w:t>la conformité avec la Directive Essais Cliniques de l’UE [2001/20/EC].</w:t>
            </w:r>
          </w:p>
          <w:p w14:paraId="7FE4E7A0" w14:textId="77777777" w:rsidR="008C2534" w:rsidRDefault="008C2534">
            <w:pPr>
              <w:pStyle w:val="paragraph"/>
              <w:spacing w:before="0"/>
              <w:rPr>
                <w:rFonts w:ascii="Calibri" w:hAnsi="Calibri"/>
              </w:rPr>
            </w:pPr>
          </w:p>
          <w:p w14:paraId="7FE4E7A1" w14:textId="77777777" w:rsidR="008C2534" w:rsidRDefault="003A75A5">
            <w:pPr>
              <w:pStyle w:val="paragraph"/>
              <w:spacing w:before="0"/>
              <w:rPr>
                <w:rFonts w:ascii="Calibri" w:hAnsi="Calibri"/>
              </w:rPr>
            </w:pPr>
            <w:r>
              <w:rPr>
                <w:rFonts w:ascii="Calibri" w:hAnsi="Calibri"/>
              </w:rPr>
              <w:t>Je m'engage également à ce que les investigateurs et les autres membres qualifiés de mon équipe aient accès aux copies de ce protocole et des documents relatifs à la conduite de l’essai pour leur permettre de travailler dans le respect des dispositions fig</w:t>
            </w:r>
            <w:r>
              <w:rPr>
                <w:rFonts w:ascii="Calibri" w:hAnsi="Calibri"/>
              </w:rPr>
              <w:t xml:space="preserve">urant dans ces documents. </w:t>
            </w:r>
          </w:p>
          <w:p w14:paraId="7FE4E7A2" w14:textId="77777777" w:rsidR="008C2534" w:rsidRDefault="008C2534">
            <w:pPr>
              <w:pStyle w:val="paragraph"/>
              <w:spacing w:before="0"/>
              <w:rPr>
                <w:rFonts w:ascii="Calibri" w:hAnsi="Calibri"/>
              </w:rPr>
            </w:pPr>
          </w:p>
        </w:tc>
      </w:tr>
      <w:tr w:rsidR="008C2534" w14:paraId="7FE4E7A9" w14:textId="77777777">
        <w:tc>
          <w:tcPr>
            <w:tcW w:w="8838" w:type="dxa"/>
            <w:tcBorders>
              <w:bottom w:val="single" w:sz="6" w:space="0" w:color="auto"/>
            </w:tcBorders>
          </w:tcPr>
          <w:p w14:paraId="7FE4E7A4" w14:textId="77777777" w:rsidR="008C2534" w:rsidRDefault="008C2534">
            <w:pPr>
              <w:rPr>
                <w:rFonts w:ascii="Calibri" w:hAnsi="Calibri"/>
                <w:b/>
              </w:rPr>
            </w:pPr>
          </w:p>
          <w:p w14:paraId="7FE4E7A5" w14:textId="77777777" w:rsidR="008C2534" w:rsidRDefault="003A75A5">
            <w:pPr>
              <w:rPr>
                <w:rFonts w:ascii="Calibri" w:hAnsi="Calibri"/>
              </w:rPr>
            </w:pPr>
            <w:r>
              <w:rPr>
                <w:rFonts w:ascii="Calibri" w:hAnsi="Calibri"/>
                <w:b/>
              </w:rPr>
              <w:t xml:space="preserve">NOM : </w:t>
            </w:r>
          </w:p>
          <w:p w14:paraId="7FE4E7A6" w14:textId="77777777" w:rsidR="008C2534" w:rsidRDefault="003A75A5">
            <w:pPr>
              <w:rPr>
                <w:rFonts w:ascii="Calibri" w:hAnsi="Calibri"/>
              </w:rPr>
            </w:pPr>
            <w:r>
              <w:rPr>
                <w:rFonts w:ascii="Calibri" w:hAnsi="Calibri"/>
              </w:rPr>
              <w:t>Signature :                                                                             Date : ___________________</w:t>
            </w:r>
          </w:p>
          <w:p w14:paraId="7FE4E7A7" w14:textId="77777777" w:rsidR="008C2534" w:rsidRDefault="008C2534">
            <w:pPr>
              <w:rPr>
                <w:rFonts w:ascii="Calibri" w:hAnsi="Calibri"/>
              </w:rPr>
            </w:pPr>
          </w:p>
          <w:p w14:paraId="7FE4E7A8" w14:textId="77777777" w:rsidR="008C2534" w:rsidRDefault="003A75A5">
            <w:pPr>
              <w:jc w:val="both"/>
              <w:rPr>
                <w:rFonts w:ascii="Calibri" w:hAnsi="Calibri"/>
              </w:rPr>
            </w:pPr>
            <w:r>
              <w:rPr>
                <w:rFonts w:ascii="Calibri" w:hAnsi="Calibri"/>
                <w:i/>
                <w:sz w:val="20"/>
              </w:rPr>
              <w:t>Conformément aux dispositions de la loi relative à l’informatique, aux fichiers et aux libertés, vous d</w:t>
            </w:r>
            <w:r>
              <w:rPr>
                <w:rFonts w:ascii="Calibri" w:hAnsi="Calibri"/>
                <w:i/>
                <w:sz w:val="20"/>
              </w:rPr>
              <w:t>isposez à tout moment d’un droit d’accès et de rectification des données informatisées vous concernant (loi n° 2004-801 du 6 août 2004 modifiant la loi n° 78-17 du 6 janvier 1978 relative à l’informatique, aux fichiers et aux libertés).</w:t>
            </w:r>
          </w:p>
        </w:tc>
      </w:tr>
    </w:tbl>
    <w:p w14:paraId="7FE4E7AA" w14:textId="77777777" w:rsidR="008C2534" w:rsidRDefault="008C2534">
      <w:pPr>
        <w:pStyle w:val="Corpsdetexte"/>
        <w:jc w:val="both"/>
        <w:rPr>
          <w:rFonts w:ascii="Calibri" w:hAnsi="Calibri"/>
        </w:rPr>
      </w:pPr>
      <w:bookmarkStart w:id="4" w:name="_Toc127761844"/>
      <w:bookmarkStart w:id="5" w:name="_Toc184116487"/>
      <w:bookmarkStart w:id="6" w:name="_Toc197939116"/>
    </w:p>
    <w:p w14:paraId="7FE4E7AB" w14:textId="77777777" w:rsidR="008C2534" w:rsidRDefault="003A75A5">
      <w:pPr>
        <w:pStyle w:val="Corpsdetexte"/>
        <w:jc w:val="both"/>
        <w:rPr>
          <w:rFonts w:ascii="Calibri" w:hAnsi="Calibri"/>
        </w:rPr>
      </w:pPr>
      <w:r>
        <w:rPr>
          <w:rFonts w:ascii="Calibri" w:hAnsi="Calibri"/>
        </w:rPr>
        <w:t>SIGNATURE DU PROMOTEUR</w:t>
      </w:r>
      <w:bookmarkEnd w:id="4"/>
      <w:bookmarkEnd w:id="5"/>
      <w:bookmarkEnd w:id="6"/>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8"/>
        <w:gridCol w:w="3150"/>
      </w:tblGrid>
      <w:tr w:rsidR="008C2534" w14:paraId="7FE4E7AD" w14:textId="77777777">
        <w:trPr>
          <w:cantSplit/>
        </w:trPr>
        <w:tc>
          <w:tcPr>
            <w:tcW w:w="8838" w:type="dxa"/>
            <w:gridSpan w:val="2"/>
            <w:tcBorders>
              <w:top w:val="single" w:sz="6" w:space="0" w:color="auto"/>
            </w:tcBorders>
          </w:tcPr>
          <w:p w14:paraId="7FE4E7AC" w14:textId="77777777" w:rsidR="008C2534" w:rsidRDefault="003A75A5">
            <w:pPr>
              <w:spacing w:before="120" w:after="120"/>
              <w:rPr>
                <w:rFonts w:ascii="Calibri" w:hAnsi="Calibri"/>
              </w:rPr>
            </w:pPr>
            <w:r>
              <w:rPr>
                <w:rFonts w:ascii="Calibri" w:hAnsi="Calibri"/>
                <w:b/>
              </w:rPr>
              <w:t xml:space="preserve">Promoteur : </w:t>
            </w:r>
          </w:p>
        </w:tc>
      </w:tr>
      <w:tr w:rsidR="008C2534" w14:paraId="7FE4E7B8" w14:textId="77777777">
        <w:tc>
          <w:tcPr>
            <w:tcW w:w="5688" w:type="dxa"/>
          </w:tcPr>
          <w:p w14:paraId="7FE4E7AE" w14:textId="77777777" w:rsidR="008C2534" w:rsidRDefault="008C2534">
            <w:pPr>
              <w:pStyle w:val="En-tte"/>
              <w:rPr>
                <w:rFonts w:ascii="Calibri" w:hAnsi="Calibri"/>
              </w:rPr>
            </w:pPr>
          </w:p>
          <w:p w14:paraId="7FE4E7AF" w14:textId="77777777" w:rsidR="008C2534" w:rsidRDefault="003A75A5">
            <w:pPr>
              <w:pStyle w:val="En-tte"/>
              <w:rPr>
                <w:rFonts w:ascii="Calibri" w:hAnsi="Calibri"/>
              </w:rPr>
            </w:pPr>
            <w:r>
              <w:rPr>
                <w:rFonts w:ascii="Calibri" w:hAnsi="Calibri"/>
              </w:rPr>
              <w:t>NOM : Antoine LEBRERE</w:t>
            </w:r>
          </w:p>
          <w:p w14:paraId="7FE4E7B0" w14:textId="77777777" w:rsidR="008C2534" w:rsidRDefault="003A75A5">
            <w:pPr>
              <w:pStyle w:val="En-tte"/>
              <w:rPr>
                <w:rFonts w:ascii="Calibri" w:hAnsi="Calibri"/>
              </w:rPr>
            </w:pPr>
            <w:r>
              <w:rPr>
                <w:rFonts w:ascii="Calibri" w:hAnsi="Calibri"/>
              </w:rPr>
              <w:t xml:space="preserve">Directeur des affaires médicales et de la Recherche </w:t>
            </w:r>
          </w:p>
          <w:p w14:paraId="7FE4E7B1" w14:textId="77777777" w:rsidR="008C2534" w:rsidRDefault="008C2534">
            <w:pPr>
              <w:pStyle w:val="En-tte"/>
              <w:rPr>
                <w:rFonts w:ascii="Calibri" w:hAnsi="Calibri"/>
              </w:rPr>
            </w:pPr>
          </w:p>
          <w:p w14:paraId="7FE4E7B2" w14:textId="77777777" w:rsidR="008C2534" w:rsidRDefault="003A75A5">
            <w:pPr>
              <w:rPr>
                <w:rFonts w:ascii="Calibri" w:hAnsi="Calibri"/>
              </w:rPr>
            </w:pPr>
            <w:r>
              <w:rPr>
                <w:rFonts w:ascii="Calibri" w:hAnsi="Calibri"/>
              </w:rPr>
              <w:t>Signature :</w:t>
            </w:r>
          </w:p>
          <w:p w14:paraId="7FE4E7B3" w14:textId="77777777" w:rsidR="008C2534" w:rsidRDefault="008C2534">
            <w:pPr>
              <w:rPr>
                <w:rFonts w:ascii="Calibri" w:hAnsi="Calibri"/>
              </w:rPr>
            </w:pPr>
          </w:p>
        </w:tc>
        <w:tc>
          <w:tcPr>
            <w:tcW w:w="3150" w:type="dxa"/>
          </w:tcPr>
          <w:p w14:paraId="7FE4E7B4" w14:textId="77777777" w:rsidR="008C2534" w:rsidRDefault="008C2534">
            <w:pPr>
              <w:rPr>
                <w:rFonts w:ascii="Calibri" w:hAnsi="Calibri"/>
              </w:rPr>
            </w:pPr>
          </w:p>
          <w:p w14:paraId="7FE4E7B5" w14:textId="77777777" w:rsidR="008C2534" w:rsidRDefault="008C2534">
            <w:pPr>
              <w:rPr>
                <w:rFonts w:ascii="Calibri" w:hAnsi="Calibri"/>
              </w:rPr>
            </w:pPr>
          </w:p>
          <w:p w14:paraId="7FE4E7B6" w14:textId="77777777" w:rsidR="008C2534" w:rsidRDefault="003A75A5">
            <w:pPr>
              <w:rPr>
                <w:rFonts w:ascii="Calibri" w:hAnsi="Calibri"/>
              </w:rPr>
            </w:pPr>
            <w:r>
              <w:rPr>
                <w:rFonts w:ascii="Calibri" w:hAnsi="Calibri"/>
              </w:rPr>
              <w:t>Date : ___________________</w:t>
            </w:r>
          </w:p>
          <w:p w14:paraId="7FE4E7B7" w14:textId="77777777" w:rsidR="008C2534" w:rsidRDefault="008C2534">
            <w:pPr>
              <w:rPr>
                <w:rFonts w:ascii="Calibri" w:hAnsi="Calibri"/>
              </w:rPr>
            </w:pPr>
          </w:p>
        </w:tc>
      </w:tr>
    </w:tbl>
    <w:p w14:paraId="7FE4E7B9" w14:textId="77777777" w:rsidR="008C2534" w:rsidRDefault="003A75A5">
      <w:pPr>
        <w:pStyle w:val="Titre1"/>
        <w:numPr>
          <w:ilvl w:val="0"/>
          <w:numId w:val="0"/>
        </w:numPr>
        <w:ind w:left="360" w:hanging="360"/>
        <w:jc w:val="center"/>
        <w:rPr>
          <w:b w:val="0"/>
        </w:rPr>
      </w:pPr>
      <w:bookmarkStart w:id="7" w:name="_Toc505606777"/>
      <w:r>
        <w:rPr>
          <w:b w:val="0"/>
        </w:rPr>
        <w:lastRenderedPageBreak/>
        <w:t>Résumé</w:t>
      </w:r>
      <w:bookmarkEnd w:id="7"/>
      <w:r>
        <w:rPr>
          <w:b w:val="0"/>
        </w:rPr>
        <w:t xml:space="preserve"> </w:t>
      </w:r>
    </w:p>
    <w:p w14:paraId="7FE4E7BA" w14:textId="77777777" w:rsidR="008C2534" w:rsidRDefault="008C2534">
      <w:pPr>
        <w:jc w:val="both"/>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448"/>
      </w:tblGrid>
      <w:tr w:rsidR="008C2534" w14:paraId="7FE4E7BD" w14:textId="77777777">
        <w:tc>
          <w:tcPr>
            <w:tcW w:w="2764" w:type="dxa"/>
          </w:tcPr>
          <w:p w14:paraId="7FE4E7BB" w14:textId="77777777" w:rsidR="008C2534" w:rsidRDefault="003A75A5">
            <w:pPr>
              <w:pStyle w:val="Corpsdetexte"/>
              <w:rPr>
                <w:smallCaps/>
                <w:sz w:val="22"/>
              </w:rPr>
            </w:pPr>
            <w:r>
              <w:rPr>
                <w:rFonts w:cs="Tahoma"/>
                <w:b w:val="0"/>
                <w:bCs w:val="0"/>
                <w:smallCaps/>
                <w:sz w:val="22"/>
              </w:rPr>
              <w:t>Titre</w:t>
            </w:r>
          </w:p>
        </w:tc>
        <w:tc>
          <w:tcPr>
            <w:tcW w:w="6448" w:type="dxa"/>
          </w:tcPr>
          <w:p w14:paraId="7FE4E7BC" w14:textId="77777777" w:rsidR="008C2534" w:rsidRDefault="003A75A5">
            <w:pPr>
              <w:jc w:val="both"/>
              <w:rPr>
                <w:i/>
                <w:color w:val="008000"/>
              </w:rPr>
            </w:pPr>
            <w:r>
              <w:rPr>
                <w:bCs/>
              </w:rPr>
              <w:t xml:space="preserve">Comparaison d’un nouveau collimateur GE LEHRS vs Siemens LEHR sur la qualité </w:t>
            </w:r>
            <w:r>
              <w:rPr>
                <w:bCs/>
              </w:rPr>
              <w:t>d’image en scintigraphie.</w:t>
            </w:r>
          </w:p>
        </w:tc>
      </w:tr>
      <w:tr w:rsidR="008C2534" w14:paraId="7FE4E7C0" w14:textId="77777777">
        <w:tc>
          <w:tcPr>
            <w:tcW w:w="2764" w:type="dxa"/>
          </w:tcPr>
          <w:p w14:paraId="7FE4E7BE" w14:textId="77777777" w:rsidR="008C2534" w:rsidRDefault="003A75A5">
            <w:pPr>
              <w:pStyle w:val="Corpsdetexte"/>
              <w:rPr>
                <w:rFonts w:cs="Tahoma"/>
                <w:b w:val="0"/>
                <w:bCs w:val="0"/>
                <w:smallCaps/>
                <w:sz w:val="22"/>
              </w:rPr>
            </w:pPr>
            <w:r>
              <w:rPr>
                <w:rFonts w:cs="Tahoma"/>
                <w:b w:val="0"/>
                <w:bCs w:val="0"/>
                <w:smallCaps/>
                <w:sz w:val="22"/>
              </w:rPr>
              <w:t>Acronyme</w:t>
            </w:r>
          </w:p>
        </w:tc>
        <w:tc>
          <w:tcPr>
            <w:tcW w:w="6448" w:type="dxa"/>
          </w:tcPr>
          <w:p w14:paraId="7FE4E7BF" w14:textId="77777777" w:rsidR="008C2534" w:rsidRDefault="003A75A5">
            <w:pPr>
              <w:jc w:val="both"/>
              <w:rPr>
                <w:bCs/>
              </w:rPr>
            </w:pPr>
            <w:r>
              <w:rPr>
                <w:bCs/>
              </w:rPr>
              <w:t>LEHRS</w:t>
            </w:r>
          </w:p>
        </w:tc>
      </w:tr>
      <w:tr w:rsidR="008C2534" w14:paraId="7FE4E7C4" w14:textId="77777777">
        <w:tc>
          <w:tcPr>
            <w:tcW w:w="2764" w:type="dxa"/>
          </w:tcPr>
          <w:p w14:paraId="7FE4E7C1" w14:textId="77777777" w:rsidR="008C2534" w:rsidRDefault="003A75A5">
            <w:pPr>
              <w:pStyle w:val="Corpsdetexte"/>
              <w:rPr>
                <w:b w:val="0"/>
                <w:smallCaps/>
                <w:sz w:val="22"/>
              </w:rPr>
            </w:pPr>
            <w:r>
              <w:rPr>
                <w:rFonts w:cs="Tahoma"/>
                <w:b w:val="0"/>
                <w:bCs w:val="0"/>
                <w:smallCaps/>
                <w:sz w:val="22"/>
              </w:rPr>
              <w:t>Promoteur</w:t>
            </w:r>
          </w:p>
        </w:tc>
        <w:tc>
          <w:tcPr>
            <w:tcW w:w="6448" w:type="dxa"/>
          </w:tcPr>
          <w:p w14:paraId="7FE4E7C2" w14:textId="77777777" w:rsidR="008C2534" w:rsidRDefault="003A75A5">
            <w:pPr>
              <w:spacing w:before="40" w:after="0" w:line="240" w:lineRule="auto"/>
            </w:pPr>
            <w:r>
              <w:rPr>
                <w:b/>
              </w:rPr>
              <w:t>Centre Hospitalier Régional d’Orléans</w:t>
            </w:r>
            <w:r>
              <w:br/>
              <w:t>Direction des affaires médicales et de la recherche</w:t>
            </w:r>
            <w:r>
              <w:br/>
              <w:t>14 avenue de l’hôpital</w:t>
            </w:r>
          </w:p>
          <w:p w14:paraId="7FE4E7C3" w14:textId="77777777" w:rsidR="008C2534" w:rsidRDefault="003A75A5">
            <w:pPr>
              <w:jc w:val="both"/>
              <w:rPr>
                <w:i/>
                <w:color w:val="008000"/>
              </w:rPr>
            </w:pPr>
            <w:r>
              <w:t>45067 Orléans Cedex 02</w:t>
            </w:r>
          </w:p>
        </w:tc>
      </w:tr>
      <w:tr w:rsidR="008C2534" w14:paraId="7FE4E7C9" w14:textId="77777777">
        <w:tc>
          <w:tcPr>
            <w:tcW w:w="2764" w:type="dxa"/>
          </w:tcPr>
          <w:p w14:paraId="7FE4E7C5" w14:textId="77777777" w:rsidR="008C2534" w:rsidRDefault="003A75A5">
            <w:pPr>
              <w:pStyle w:val="Corpsdetexte"/>
              <w:rPr>
                <w:b w:val="0"/>
                <w:smallCaps/>
                <w:sz w:val="22"/>
              </w:rPr>
            </w:pPr>
            <w:r>
              <w:rPr>
                <w:rFonts w:cs="Tahoma"/>
                <w:b w:val="0"/>
                <w:bCs w:val="0"/>
                <w:smallCaps/>
                <w:sz w:val="22"/>
              </w:rPr>
              <w:t>Investigateur principal</w:t>
            </w:r>
            <w:r>
              <w:rPr>
                <w:smallCaps/>
                <w:sz w:val="22"/>
              </w:rPr>
              <w:t xml:space="preserve"> </w:t>
            </w:r>
          </w:p>
        </w:tc>
        <w:tc>
          <w:tcPr>
            <w:tcW w:w="6448" w:type="dxa"/>
          </w:tcPr>
          <w:p w14:paraId="7FE4E7C6" w14:textId="77777777" w:rsidR="008C2534" w:rsidRDefault="003A75A5">
            <w:pPr>
              <w:spacing w:before="40" w:after="0" w:line="240" w:lineRule="auto"/>
              <w:rPr>
                <w:b/>
              </w:rPr>
            </w:pPr>
            <w:r>
              <w:rPr>
                <w:b/>
              </w:rPr>
              <w:t>Dr Gilles METRARD</w:t>
            </w:r>
          </w:p>
          <w:p w14:paraId="7FE4E7C7" w14:textId="77777777" w:rsidR="008C2534" w:rsidRDefault="003A75A5">
            <w:pPr>
              <w:spacing w:before="40" w:after="0" w:line="240" w:lineRule="auto"/>
            </w:pPr>
            <w:r>
              <w:rPr>
                <w:b/>
              </w:rPr>
              <w:t xml:space="preserve">Centre </w:t>
            </w:r>
            <w:r>
              <w:rPr>
                <w:b/>
              </w:rPr>
              <w:t>Hospitalier Régional d’Orléans</w:t>
            </w:r>
            <w:r>
              <w:br/>
              <w:t xml:space="preserve"> Service de médecine nucléaire</w:t>
            </w:r>
            <w:r>
              <w:br/>
              <w:t>14 avenue de l’hôpital</w:t>
            </w:r>
          </w:p>
          <w:p w14:paraId="7FE4E7C8" w14:textId="77777777" w:rsidR="008C2534" w:rsidRDefault="003A75A5">
            <w:pPr>
              <w:jc w:val="both"/>
              <w:rPr>
                <w:i/>
                <w:color w:val="008000"/>
              </w:rPr>
            </w:pPr>
            <w:r>
              <w:t xml:space="preserve">45067 Orléans Cedex 02 </w:t>
            </w:r>
          </w:p>
        </w:tc>
      </w:tr>
      <w:tr w:rsidR="008C2534" w14:paraId="7FE4E7CC" w14:textId="77777777">
        <w:tc>
          <w:tcPr>
            <w:tcW w:w="2764" w:type="dxa"/>
          </w:tcPr>
          <w:p w14:paraId="7FE4E7CA" w14:textId="77777777" w:rsidR="008C2534" w:rsidRDefault="003A75A5">
            <w:pPr>
              <w:pStyle w:val="Corpsdetexte"/>
              <w:rPr>
                <w:b w:val="0"/>
                <w:smallCaps/>
                <w:sz w:val="22"/>
              </w:rPr>
            </w:pPr>
            <w:r>
              <w:rPr>
                <w:rFonts w:cs="Tahoma"/>
                <w:b w:val="0"/>
                <w:bCs w:val="0"/>
                <w:smallCaps/>
                <w:sz w:val="22"/>
              </w:rPr>
              <w:t>Version du protocole</w:t>
            </w:r>
            <w:r>
              <w:rPr>
                <w:b w:val="0"/>
                <w:smallCaps/>
                <w:sz w:val="22"/>
              </w:rPr>
              <w:t xml:space="preserve"> </w:t>
            </w:r>
          </w:p>
        </w:tc>
        <w:tc>
          <w:tcPr>
            <w:tcW w:w="6448" w:type="dxa"/>
          </w:tcPr>
          <w:p w14:paraId="7FE4E7CB" w14:textId="77777777" w:rsidR="008C2534" w:rsidRDefault="003A75A5">
            <w:pPr>
              <w:jc w:val="both"/>
              <w:rPr>
                <w:i/>
                <w:color w:val="008000"/>
              </w:rPr>
            </w:pPr>
            <w:r>
              <w:t>V1.0 du 1er février 2018</w:t>
            </w:r>
          </w:p>
        </w:tc>
      </w:tr>
      <w:tr w:rsidR="008C2534" w14:paraId="7FE4E7CF" w14:textId="77777777">
        <w:tc>
          <w:tcPr>
            <w:tcW w:w="2764" w:type="dxa"/>
          </w:tcPr>
          <w:p w14:paraId="7FE4E7CD" w14:textId="77777777" w:rsidR="008C2534" w:rsidRDefault="003A75A5">
            <w:pPr>
              <w:pStyle w:val="Corpsdetexte"/>
              <w:rPr>
                <w:b w:val="0"/>
                <w:smallCaps/>
                <w:sz w:val="22"/>
              </w:rPr>
            </w:pPr>
            <w:r>
              <w:rPr>
                <w:rFonts w:cs="Tahoma"/>
                <w:b w:val="0"/>
                <w:bCs w:val="0"/>
                <w:smallCaps/>
                <w:sz w:val="22"/>
              </w:rPr>
              <w:t>Justification / contexte</w:t>
            </w:r>
            <w:r>
              <w:rPr>
                <w:b w:val="0"/>
                <w:smallCaps/>
                <w:sz w:val="22"/>
              </w:rPr>
              <w:t xml:space="preserve"> </w:t>
            </w:r>
          </w:p>
        </w:tc>
        <w:tc>
          <w:tcPr>
            <w:tcW w:w="6448" w:type="dxa"/>
          </w:tcPr>
          <w:p w14:paraId="7FE4E7CE" w14:textId="77777777" w:rsidR="008C2534" w:rsidRDefault="003A75A5">
            <w:pPr>
              <w:jc w:val="both"/>
              <w:rPr>
                <w:color w:val="008000"/>
              </w:rPr>
            </w:pPr>
            <w:r>
              <w:t xml:space="preserve">La réalisation d’un examen </w:t>
            </w:r>
            <w:proofErr w:type="spellStart"/>
            <w:r>
              <w:t>scintigraphique</w:t>
            </w:r>
            <w:proofErr w:type="spellEnd"/>
            <w:r>
              <w:t xml:space="preserve"> </w:t>
            </w:r>
            <w:proofErr w:type="spellStart"/>
            <w:r>
              <w:t>monophotonique</w:t>
            </w:r>
            <w:proofErr w:type="spellEnd"/>
            <w:r>
              <w:t xml:space="preserve"> avec une gamma-caméra nécessite l’utilisation obligatoire d’un collimateur. Cette grille perforée fait l’objet d’études industrielles à la recherche du meilleur compromis entre, d’un côté, la taille</w:t>
            </w:r>
            <w:r>
              <w:t xml:space="preserve"> et le nombre de « trous » (déterminant la sensibilité) et, d’un autre côté, l’épaisseur et la longueur des cloisons (conditionnant la résolution). Ces paramètres sont inversement liés car l’augmentation des surfaces ouvertes diminue d’autant la surface de</w:t>
            </w:r>
            <w:r>
              <w:t>s cloisons.</w:t>
            </w:r>
          </w:p>
        </w:tc>
      </w:tr>
      <w:tr w:rsidR="008C2534" w14:paraId="7FE4E7D2" w14:textId="77777777">
        <w:tc>
          <w:tcPr>
            <w:tcW w:w="2764" w:type="dxa"/>
          </w:tcPr>
          <w:p w14:paraId="7FE4E7D0" w14:textId="77777777" w:rsidR="008C2534" w:rsidRDefault="003A75A5">
            <w:pPr>
              <w:pStyle w:val="Corpsdetexte"/>
              <w:rPr>
                <w:b w:val="0"/>
                <w:smallCaps/>
                <w:sz w:val="22"/>
              </w:rPr>
            </w:pPr>
            <w:r>
              <w:rPr>
                <w:rFonts w:cs="Tahoma"/>
                <w:b w:val="0"/>
                <w:bCs w:val="0"/>
                <w:smallCaps/>
                <w:sz w:val="22"/>
              </w:rPr>
              <w:t>Objectif Principal</w:t>
            </w:r>
            <w:r>
              <w:rPr>
                <w:b w:val="0"/>
                <w:smallCaps/>
                <w:sz w:val="22"/>
              </w:rPr>
              <w:t xml:space="preserve"> </w:t>
            </w:r>
          </w:p>
        </w:tc>
        <w:tc>
          <w:tcPr>
            <w:tcW w:w="6448" w:type="dxa"/>
          </w:tcPr>
          <w:p w14:paraId="7FE4E7D1" w14:textId="77777777" w:rsidR="008C2534" w:rsidRDefault="003A75A5">
            <w:pPr>
              <w:jc w:val="both"/>
              <w:rPr>
                <w:color w:val="008000"/>
              </w:rPr>
            </w:pPr>
            <w:r>
              <w:t>Comparer la qualité d’image obtenue avec le nouveau collimateur LEHRS GE à celle obtenue avec un collimateur standard LEHR Siemens dans les examens de scintigraphie osseuse.</w:t>
            </w:r>
          </w:p>
        </w:tc>
      </w:tr>
      <w:tr w:rsidR="008C2534" w14:paraId="7FE4E7D6" w14:textId="77777777">
        <w:tc>
          <w:tcPr>
            <w:tcW w:w="2764" w:type="dxa"/>
          </w:tcPr>
          <w:p w14:paraId="7FE4E7D3" w14:textId="77777777" w:rsidR="008C2534" w:rsidRDefault="003A75A5">
            <w:pPr>
              <w:pStyle w:val="Corpsdetexte"/>
              <w:rPr>
                <w:rFonts w:cs="Tahoma"/>
                <w:b w:val="0"/>
                <w:bCs w:val="0"/>
                <w:smallCaps/>
                <w:sz w:val="22"/>
              </w:rPr>
            </w:pPr>
            <w:r>
              <w:rPr>
                <w:rFonts w:cs="Tahoma"/>
                <w:b w:val="0"/>
                <w:bCs w:val="0"/>
                <w:smallCaps/>
                <w:sz w:val="22"/>
              </w:rPr>
              <w:t xml:space="preserve">Objectifs Secondaires </w:t>
            </w:r>
          </w:p>
        </w:tc>
        <w:tc>
          <w:tcPr>
            <w:tcW w:w="6448" w:type="dxa"/>
          </w:tcPr>
          <w:p w14:paraId="7FE4E7D4" w14:textId="77777777" w:rsidR="008C2534" w:rsidRDefault="003A75A5">
            <w:pPr>
              <w:jc w:val="both"/>
            </w:pPr>
            <w:r>
              <w:t xml:space="preserve">Evaluation de la qualité </w:t>
            </w:r>
            <w:r>
              <w:t xml:space="preserve">d’image dans les scintigraphies pulmonaires, thyroïdiennes, parathyroïdiennes et cérébrales au </w:t>
            </w:r>
            <w:proofErr w:type="spellStart"/>
            <w:r>
              <w:t>DaTSCAN</w:t>
            </w:r>
            <w:proofErr w:type="spellEnd"/>
            <w:r>
              <w:t>.</w:t>
            </w:r>
          </w:p>
          <w:p w14:paraId="7FE4E7D5" w14:textId="77777777" w:rsidR="008C2534" w:rsidRDefault="003A75A5">
            <w:pPr>
              <w:jc w:val="both"/>
              <w:rPr>
                <w:color w:val="008000"/>
              </w:rPr>
            </w:pPr>
            <w:r>
              <w:t>Evaluation des performances sur des objets-tests de mesures physiques.</w:t>
            </w:r>
          </w:p>
        </w:tc>
      </w:tr>
      <w:tr w:rsidR="008C2534" w14:paraId="7FE4E7D9" w14:textId="77777777">
        <w:tc>
          <w:tcPr>
            <w:tcW w:w="2764" w:type="dxa"/>
          </w:tcPr>
          <w:p w14:paraId="7FE4E7D7" w14:textId="77777777" w:rsidR="008C2534" w:rsidRDefault="003A75A5">
            <w:pPr>
              <w:pStyle w:val="Corpsdetexte"/>
              <w:rPr>
                <w:rFonts w:cs="Tahoma"/>
                <w:b w:val="0"/>
                <w:bCs w:val="0"/>
                <w:smallCaps/>
                <w:sz w:val="22"/>
              </w:rPr>
            </w:pPr>
            <w:r>
              <w:rPr>
                <w:rFonts w:cs="Tahoma"/>
                <w:b w:val="0"/>
                <w:bCs w:val="0"/>
                <w:smallCaps/>
                <w:sz w:val="22"/>
              </w:rPr>
              <w:t xml:space="preserve">Critère de Jugement Principal </w:t>
            </w:r>
          </w:p>
        </w:tc>
        <w:tc>
          <w:tcPr>
            <w:tcW w:w="6448" w:type="dxa"/>
          </w:tcPr>
          <w:p w14:paraId="7FE4E7D8" w14:textId="77777777" w:rsidR="008C2534" w:rsidRDefault="003A75A5">
            <w:pPr>
              <w:jc w:val="both"/>
              <w:rPr>
                <w:color w:val="008000"/>
              </w:rPr>
            </w:pPr>
            <w:r>
              <w:t>Taux d’images obtenant un score supérieur ou égal</w:t>
            </w:r>
            <w:r>
              <w:t xml:space="preserve"> à 4 en analyse visuelle de la qualité d’image sur une échelle de type 5 points LIKERT.</w:t>
            </w:r>
          </w:p>
        </w:tc>
      </w:tr>
      <w:tr w:rsidR="008C2534" w14:paraId="7FE4E7DD" w14:textId="77777777">
        <w:tc>
          <w:tcPr>
            <w:tcW w:w="2764" w:type="dxa"/>
          </w:tcPr>
          <w:p w14:paraId="7FE4E7DA" w14:textId="77777777" w:rsidR="008C2534" w:rsidRDefault="003A75A5">
            <w:pPr>
              <w:pStyle w:val="Corpsdetexte"/>
              <w:rPr>
                <w:b w:val="0"/>
                <w:smallCaps/>
                <w:sz w:val="22"/>
              </w:rPr>
            </w:pPr>
            <w:r>
              <w:rPr>
                <w:rFonts w:cs="Tahoma"/>
                <w:b w:val="0"/>
                <w:bCs w:val="0"/>
                <w:smallCaps/>
                <w:sz w:val="22"/>
              </w:rPr>
              <w:t>Critères de Jugement Secondaires</w:t>
            </w:r>
            <w:r>
              <w:rPr>
                <w:b w:val="0"/>
                <w:smallCaps/>
                <w:sz w:val="22"/>
              </w:rPr>
              <w:t xml:space="preserve"> </w:t>
            </w:r>
          </w:p>
        </w:tc>
        <w:tc>
          <w:tcPr>
            <w:tcW w:w="6448" w:type="dxa"/>
          </w:tcPr>
          <w:p w14:paraId="7FE4E7DB" w14:textId="77777777" w:rsidR="008C2534" w:rsidRDefault="003A75A5">
            <w:pPr>
              <w:jc w:val="both"/>
            </w:pPr>
            <w:r>
              <w:t>Mesures de rapports signal sur bruit sur les acquisitions patients.</w:t>
            </w:r>
          </w:p>
          <w:p w14:paraId="7FE4E7DC" w14:textId="77777777" w:rsidR="008C2534" w:rsidRDefault="003A75A5">
            <w:pPr>
              <w:jc w:val="both"/>
              <w:rPr>
                <w:color w:val="008000"/>
              </w:rPr>
            </w:pPr>
            <w:r>
              <w:t xml:space="preserve">Calcul des performances physiques du nouveau collimateur LEHRS à </w:t>
            </w:r>
            <w:r>
              <w:t>l’aide d’objets-tests de mesures physiques.</w:t>
            </w:r>
          </w:p>
        </w:tc>
      </w:tr>
      <w:tr w:rsidR="008C2534" w14:paraId="7FE4E7E0" w14:textId="77777777">
        <w:tc>
          <w:tcPr>
            <w:tcW w:w="2764" w:type="dxa"/>
          </w:tcPr>
          <w:p w14:paraId="7FE4E7DE" w14:textId="77777777" w:rsidR="008C2534" w:rsidRDefault="003A75A5">
            <w:pPr>
              <w:pStyle w:val="Corpsdetexte"/>
              <w:rPr>
                <w:b w:val="0"/>
                <w:smallCaps/>
                <w:sz w:val="22"/>
              </w:rPr>
            </w:pPr>
            <w:r>
              <w:rPr>
                <w:rFonts w:cs="Tahoma"/>
                <w:b w:val="0"/>
                <w:bCs w:val="0"/>
                <w:smallCaps/>
                <w:sz w:val="22"/>
              </w:rPr>
              <w:lastRenderedPageBreak/>
              <w:t>Méthodologie / Schéma de l’</w:t>
            </w:r>
            <w:proofErr w:type="spellStart"/>
            <w:r>
              <w:rPr>
                <w:rFonts w:cs="Tahoma"/>
                <w:b w:val="0"/>
                <w:bCs w:val="0"/>
                <w:smallCaps/>
                <w:sz w:val="22"/>
              </w:rPr>
              <w:t>etude</w:t>
            </w:r>
            <w:proofErr w:type="spellEnd"/>
            <w:r>
              <w:rPr>
                <w:b w:val="0"/>
                <w:smallCaps/>
                <w:sz w:val="22"/>
              </w:rPr>
              <w:t xml:space="preserve"> </w:t>
            </w:r>
          </w:p>
        </w:tc>
        <w:tc>
          <w:tcPr>
            <w:tcW w:w="6448" w:type="dxa"/>
          </w:tcPr>
          <w:p w14:paraId="7FE4E7DF" w14:textId="77777777" w:rsidR="008C2534" w:rsidRDefault="003A75A5">
            <w:pPr>
              <w:jc w:val="both"/>
              <w:rPr>
                <w:color w:val="008000"/>
              </w:rPr>
            </w:pPr>
            <w:proofErr w:type="spellStart"/>
            <w:r>
              <w:t>Etude</w:t>
            </w:r>
            <w:proofErr w:type="spellEnd"/>
            <w:r>
              <w:t xml:space="preserve"> </w:t>
            </w:r>
            <w:proofErr w:type="spellStart"/>
            <w:r>
              <w:t>monocentrique</w:t>
            </w:r>
            <w:proofErr w:type="spellEnd"/>
            <w:r>
              <w:t>, comparative, de non infériorité, avec comparaisons  intra-patients</w:t>
            </w:r>
          </w:p>
        </w:tc>
      </w:tr>
      <w:tr w:rsidR="008C2534" w14:paraId="7FE4E7E3" w14:textId="77777777">
        <w:tc>
          <w:tcPr>
            <w:tcW w:w="2764" w:type="dxa"/>
          </w:tcPr>
          <w:p w14:paraId="7FE4E7E1" w14:textId="77777777" w:rsidR="008C2534" w:rsidRDefault="003A75A5">
            <w:pPr>
              <w:pStyle w:val="Corpsdetexte"/>
              <w:rPr>
                <w:b w:val="0"/>
                <w:smallCaps/>
                <w:sz w:val="22"/>
              </w:rPr>
            </w:pPr>
            <w:r>
              <w:rPr>
                <w:rFonts w:cs="Tahoma"/>
                <w:b w:val="0"/>
                <w:bCs w:val="0"/>
                <w:smallCaps/>
                <w:sz w:val="22"/>
              </w:rPr>
              <w:t>Critères d’Inclusion des Sujets</w:t>
            </w:r>
            <w:r>
              <w:rPr>
                <w:b w:val="0"/>
                <w:smallCaps/>
                <w:sz w:val="22"/>
              </w:rPr>
              <w:t xml:space="preserve"> </w:t>
            </w:r>
          </w:p>
        </w:tc>
        <w:tc>
          <w:tcPr>
            <w:tcW w:w="6448" w:type="dxa"/>
          </w:tcPr>
          <w:p w14:paraId="7FE4E7E2" w14:textId="77777777" w:rsidR="008C2534" w:rsidRDefault="003A75A5">
            <w:pPr>
              <w:jc w:val="both"/>
              <w:rPr>
                <w:color w:val="008000"/>
              </w:rPr>
            </w:pPr>
            <w:r>
              <w:t xml:space="preserve">Patients externes adressés dans le service pour une scintigraphie osseuse, pulmonaire, thyroïdienne, parathyroïdienne ou cérébrale au </w:t>
            </w:r>
            <w:proofErr w:type="spellStart"/>
            <w:r>
              <w:t>DaTSCAN</w:t>
            </w:r>
            <w:proofErr w:type="spellEnd"/>
            <w:r>
              <w:t>.</w:t>
            </w:r>
          </w:p>
        </w:tc>
      </w:tr>
      <w:tr w:rsidR="008C2534" w14:paraId="7FE4E7E6" w14:textId="77777777">
        <w:tc>
          <w:tcPr>
            <w:tcW w:w="2764" w:type="dxa"/>
          </w:tcPr>
          <w:p w14:paraId="7FE4E7E4" w14:textId="77777777" w:rsidR="008C2534" w:rsidRDefault="003A75A5">
            <w:pPr>
              <w:pStyle w:val="Corpsdetexte"/>
              <w:rPr>
                <w:b w:val="0"/>
                <w:smallCaps/>
                <w:sz w:val="22"/>
              </w:rPr>
            </w:pPr>
            <w:r>
              <w:rPr>
                <w:rFonts w:cs="Tahoma"/>
                <w:b w:val="0"/>
                <w:bCs w:val="0"/>
                <w:smallCaps/>
                <w:sz w:val="22"/>
              </w:rPr>
              <w:t>Critères de Non-Inclusion des Sujets</w:t>
            </w:r>
          </w:p>
        </w:tc>
        <w:tc>
          <w:tcPr>
            <w:tcW w:w="6448" w:type="dxa"/>
          </w:tcPr>
          <w:p w14:paraId="7FE4E7E5" w14:textId="77777777" w:rsidR="008C2534" w:rsidRDefault="003A75A5">
            <w:pPr>
              <w:jc w:val="both"/>
              <w:rPr>
                <w:color w:val="008000"/>
              </w:rPr>
            </w:pPr>
            <w:r>
              <w:t>Enfants, femmes enceintes ou à risque de grossesse, Patients sous tutelle o</w:t>
            </w:r>
            <w:r>
              <w:t>u curatelle, insuffisance rénale connue, patients algiques, patients ne pouvant bénéficier d’un examen scintigraphique standard de bonne qualité.</w:t>
            </w:r>
          </w:p>
        </w:tc>
      </w:tr>
      <w:tr w:rsidR="008C2534" w14:paraId="7FE4E7E9" w14:textId="77777777">
        <w:tc>
          <w:tcPr>
            <w:tcW w:w="2764" w:type="dxa"/>
          </w:tcPr>
          <w:p w14:paraId="7FE4E7E7" w14:textId="77777777" w:rsidR="008C2534" w:rsidRDefault="003A75A5">
            <w:pPr>
              <w:pStyle w:val="Corpsdetexte"/>
              <w:rPr>
                <w:b w:val="0"/>
                <w:smallCaps/>
                <w:sz w:val="22"/>
              </w:rPr>
            </w:pPr>
            <w:r>
              <w:rPr>
                <w:rFonts w:cs="Tahoma"/>
                <w:b w:val="0"/>
                <w:bCs w:val="0"/>
                <w:smallCaps/>
                <w:sz w:val="22"/>
              </w:rPr>
              <w:t>Stratégies / Procédures</w:t>
            </w:r>
          </w:p>
        </w:tc>
        <w:tc>
          <w:tcPr>
            <w:tcW w:w="6448" w:type="dxa"/>
          </w:tcPr>
          <w:p w14:paraId="7FE4E7E8" w14:textId="77777777" w:rsidR="008C2534" w:rsidRDefault="003A75A5">
            <w:pPr>
              <w:jc w:val="both"/>
              <w:rPr>
                <w:color w:val="008000"/>
              </w:rPr>
            </w:pPr>
            <w:r>
              <w:t>La scintigraphie des patients sera réalisée sur 2 appareils distincts et les images o</w:t>
            </w:r>
            <w:r>
              <w:t>btenues seront comparées</w:t>
            </w:r>
            <w:r>
              <w:rPr>
                <w:color w:val="008000"/>
              </w:rPr>
              <w:t>.</w:t>
            </w:r>
          </w:p>
        </w:tc>
      </w:tr>
      <w:tr w:rsidR="008C2534" w14:paraId="7FE4E7EC" w14:textId="77777777">
        <w:tc>
          <w:tcPr>
            <w:tcW w:w="2764" w:type="dxa"/>
          </w:tcPr>
          <w:p w14:paraId="7FE4E7EA" w14:textId="77777777" w:rsidR="008C2534" w:rsidRDefault="003A75A5">
            <w:pPr>
              <w:pStyle w:val="Corpsdetexte"/>
              <w:rPr>
                <w:b w:val="0"/>
                <w:smallCaps/>
                <w:sz w:val="22"/>
              </w:rPr>
            </w:pPr>
            <w:r>
              <w:rPr>
                <w:rFonts w:cs="Tahoma"/>
                <w:b w:val="0"/>
                <w:bCs w:val="0"/>
                <w:smallCaps/>
                <w:sz w:val="22"/>
              </w:rPr>
              <w:t>Nombre de Patients</w:t>
            </w:r>
            <w:r>
              <w:rPr>
                <w:b w:val="0"/>
                <w:smallCaps/>
                <w:sz w:val="22"/>
              </w:rPr>
              <w:t xml:space="preserve"> </w:t>
            </w:r>
          </w:p>
        </w:tc>
        <w:tc>
          <w:tcPr>
            <w:tcW w:w="6448" w:type="dxa"/>
          </w:tcPr>
          <w:p w14:paraId="7FE4E7EB" w14:textId="77777777" w:rsidR="008C2534" w:rsidRDefault="003A75A5">
            <w:pPr>
              <w:jc w:val="both"/>
            </w:pPr>
            <w:r>
              <w:t>85 patients dont 70 pour scintigraphie osseuse</w:t>
            </w:r>
          </w:p>
        </w:tc>
      </w:tr>
      <w:tr w:rsidR="008C2534" w14:paraId="7FE4E7F1" w14:textId="77777777">
        <w:tc>
          <w:tcPr>
            <w:tcW w:w="2764" w:type="dxa"/>
          </w:tcPr>
          <w:p w14:paraId="7FE4E7ED" w14:textId="77777777" w:rsidR="008C2534" w:rsidRDefault="003A75A5">
            <w:pPr>
              <w:pStyle w:val="Corpsdetexte"/>
              <w:rPr>
                <w:b w:val="0"/>
                <w:smallCaps/>
                <w:sz w:val="22"/>
              </w:rPr>
            </w:pPr>
            <w:r>
              <w:rPr>
                <w:rFonts w:cs="Tahoma"/>
                <w:b w:val="0"/>
                <w:bCs w:val="0"/>
                <w:smallCaps/>
                <w:sz w:val="22"/>
              </w:rPr>
              <w:t>Durée de la Recherche</w:t>
            </w:r>
            <w:r>
              <w:rPr>
                <w:b w:val="0"/>
                <w:smallCaps/>
                <w:sz w:val="22"/>
              </w:rPr>
              <w:t xml:space="preserve"> </w:t>
            </w:r>
          </w:p>
        </w:tc>
        <w:tc>
          <w:tcPr>
            <w:tcW w:w="6448" w:type="dxa"/>
          </w:tcPr>
          <w:p w14:paraId="7FE4E7EE" w14:textId="77777777" w:rsidR="008C2534" w:rsidRDefault="003A75A5">
            <w:pPr>
              <w:jc w:val="both"/>
            </w:pPr>
            <w:r>
              <w:t>Durée de la période d’inclusion : 1 an</w:t>
            </w:r>
          </w:p>
          <w:p w14:paraId="7FE4E7EF" w14:textId="77777777" w:rsidR="008C2534" w:rsidRDefault="003A75A5">
            <w:pPr>
              <w:jc w:val="both"/>
            </w:pPr>
            <w:r>
              <w:t>Durée de la participation pour chaque patient : inférieure à une demi-journée.</w:t>
            </w:r>
          </w:p>
          <w:p w14:paraId="7FE4E7F0" w14:textId="77777777" w:rsidR="008C2534" w:rsidRDefault="003A75A5">
            <w:pPr>
              <w:jc w:val="both"/>
              <w:rPr>
                <w:color w:val="008000"/>
              </w:rPr>
            </w:pPr>
            <w:r>
              <w:t xml:space="preserve">Durée totale de </w:t>
            </w:r>
            <w:r>
              <w:t>l’étude : 12 mois (inclusion et analyse des données)</w:t>
            </w:r>
          </w:p>
        </w:tc>
      </w:tr>
      <w:tr w:rsidR="008C2534" w14:paraId="7FE4E7F5" w14:textId="77777777">
        <w:tc>
          <w:tcPr>
            <w:tcW w:w="2764" w:type="dxa"/>
          </w:tcPr>
          <w:p w14:paraId="7FE4E7F2" w14:textId="77777777" w:rsidR="008C2534" w:rsidRDefault="003A75A5">
            <w:pPr>
              <w:pStyle w:val="Corpsdetexte"/>
              <w:rPr>
                <w:b w:val="0"/>
                <w:smallCaps/>
                <w:sz w:val="22"/>
              </w:rPr>
            </w:pPr>
            <w:r>
              <w:rPr>
                <w:rFonts w:cs="Tahoma"/>
                <w:b w:val="0"/>
                <w:bCs w:val="0"/>
                <w:smallCaps/>
                <w:sz w:val="22"/>
              </w:rPr>
              <w:t>Retombées attendues</w:t>
            </w:r>
            <w:r>
              <w:rPr>
                <w:b w:val="0"/>
                <w:smallCaps/>
                <w:sz w:val="22"/>
              </w:rPr>
              <w:t xml:space="preserve"> </w:t>
            </w:r>
          </w:p>
        </w:tc>
        <w:tc>
          <w:tcPr>
            <w:tcW w:w="6448" w:type="dxa"/>
          </w:tcPr>
          <w:p w14:paraId="7FE4E7F3" w14:textId="77777777" w:rsidR="008C2534" w:rsidRDefault="003A75A5">
            <w:pPr>
              <w:jc w:val="both"/>
            </w:pPr>
            <w:r>
              <w:t>A titre individuel pour le patient : vraisemblable amélioration de la qualité d’image de son examen, relecture de l’examen par 2 médecins experts.</w:t>
            </w:r>
          </w:p>
          <w:p w14:paraId="7FE4E7F4" w14:textId="77777777" w:rsidR="008C2534" w:rsidRDefault="003A75A5">
            <w:pPr>
              <w:jc w:val="both"/>
              <w:rPr>
                <w:color w:val="008000"/>
              </w:rPr>
            </w:pPr>
            <w:r>
              <w:t xml:space="preserve">A titre collectif : amélioration de la qualité d’image des examens </w:t>
            </w:r>
            <w:proofErr w:type="spellStart"/>
            <w:r>
              <w:t>scintigraphiques</w:t>
            </w:r>
            <w:proofErr w:type="spellEnd"/>
            <w:r>
              <w:t xml:space="preserve"> avec ce collimateur permettant de réduire la durée d’examen et/ou l’activité injectée de médicament radio-pharmaceutique (amélioration de la dosimétrie patient).</w:t>
            </w:r>
          </w:p>
        </w:tc>
      </w:tr>
    </w:tbl>
    <w:p w14:paraId="7FE4E7F6" w14:textId="77777777" w:rsidR="008C2534" w:rsidRDefault="003A75A5">
      <w:r>
        <w:br w:type="page"/>
      </w:r>
    </w:p>
    <w:p w14:paraId="7FE4E7F7" w14:textId="77777777" w:rsidR="008C2534" w:rsidRDefault="003A75A5">
      <w:pPr>
        <w:pBdr>
          <w:bottom w:val="single" w:sz="4" w:space="1" w:color="auto"/>
        </w:pBdr>
        <w:jc w:val="center"/>
        <w:rPr>
          <w:rFonts w:asciiTheme="majorHAnsi" w:eastAsiaTheme="majorEastAsia" w:hAnsiTheme="majorHAnsi" w:cstheme="majorBidi"/>
          <w:smallCaps/>
          <w:color w:val="000000" w:themeColor="text1"/>
          <w:sz w:val="36"/>
          <w:szCs w:val="36"/>
        </w:rPr>
      </w:pPr>
      <w:r>
        <w:rPr>
          <w:rFonts w:asciiTheme="majorHAnsi" w:eastAsiaTheme="majorEastAsia" w:hAnsiTheme="majorHAnsi" w:cstheme="majorBidi"/>
          <w:smallCaps/>
          <w:color w:val="000000" w:themeColor="text1"/>
          <w:sz w:val="36"/>
          <w:szCs w:val="36"/>
        </w:rPr>
        <w:lastRenderedPageBreak/>
        <w:t>Liste d</w:t>
      </w:r>
      <w:r>
        <w:rPr>
          <w:rFonts w:asciiTheme="majorHAnsi" w:eastAsiaTheme="majorEastAsia" w:hAnsiTheme="majorHAnsi" w:cstheme="majorBidi"/>
          <w:smallCaps/>
          <w:color w:val="000000" w:themeColor="text1"/>
          <w:sz w:val="36"/>
          <w:szCs w:val="36"/>
        </w:rPr>
        <w:t>es abréviations</w:t>
      </w:r>
    </w:p>
    <w:p w14:paraId="7FE4E7F8" w14:textId="77777777" w:rsidR="008C2534" w:rsidRDefault="003A75A5">
      <w:r>
        <w:t>Tableau à compléter selon le contenu du protocole ci-après</w:t>
      </w:r>
    </w:p>
    <w:p w14:paraId="7FE4E7F9" w14:textId="77777777" w:rsidR="008C2534" w:rsidRDefault="008C2534">
      <w:pPr>
        <w:jc w:val="both"/>
        <w:outlineLvl w:val="0"/>
        <w:rPr>
          <w:i/>
          <w:color w:val="339966"/>
        </w:rPr>
      </w:pPr>
    </w:p>
    <w:tbl>
      <w:tblPr>
        <w:tblW w:w="0" w:type="auto"/>
        <w:tblInd w:w="198" w:type="dxa"/>
        <w:tblLayout w:type="fixed"/>
        <w:tblLook w:val="0000" w:firstRow="0" w:lastRow="0" w:firstColumn="0" w:lastColumn="0" w:noHBand="0" w:noVBand="0"/>
      </w:tblPr>
      <w:tblGrid>
        <w:gridCol w:w="2320"/>
        <w:gridCol w:w="6693"/>
      </w:tblGrid>
      <w:tr w:rsidR="008C2534" w14:paraId="7FE4E7FC" w14:textId="77777777">
        <w:tc>
          <w:tcPr>
            <w:tcW w:w="2320" w:type="dxa"/>
            <w:vAlign w:val="center"/>
          </w:tcPr>
          <w:p w14:paraId="7FE4E7FA" w14:textId="77777777" w:rsidR="008C2534" w:rsidRDefault="003A75A5">
            <w:r>
              <w:t>ANSM</w:t>
            </w:r>
          </w:p>
        </w:tc>
        <w:tc>
          <w:tcPr>
            <w:tcW w:w="6693" w:type="dxa"/>
            <w:vAlign w:val="center"/>
          </w:tcPr>
          <w:p w14:paraId="7FE4E7FB" w14:textId="77777777" w:rsidR="008C2534" w:rsidRDefault="003A75A5">
            <w:r>
              <w:t>Agence nationale de sécurité du médicament et des produits de santé</w:t>
            </w:r>
          </w:p>
        </w:tc>
      </w:tr>
      <w:tr w:rsidR="008C2534" w14:paraId="7FE4E7FF" w14:textId="77777777">
        <w:tc>
          <w:tcPr>
            <w:tcW w:w="2320" w:type="dxa"/>
            <w:vAlign w:val="center"/>
          </w:tcPr>
          <w:p w14:paraId="7FE4E7FD" w14:textId="77777777" w:rsidR="008C2534" w:rsidRDefault="003A75A5">
            <w:r>
              <w:t>AMM</w:t>
            </w:r>
          </w:p>
        </w:tc>
        <w:tc>
          <w:tcPr>
            <w:tcW w:w="6693" w:type="dxa"/>
            <w:vAlign w:val="center"/>
          </w:tcPr>
          <w:p w14:paraId="7FE4E7FE" w14:textId="77777777" w:rsidR="008C2534" w:rsidRDefault="003A75A5">
            <w:r>
              <w:t>Autorisation de Mise sur le Marché</w:t>
            </w:r>
          </w:p>
        </w:tc>
      </w:tr>
      <w:tr w:rsidR="008C2534" w14:paraId="7FE4E802" w14:textId="77777777">
        <w:tc>
          <w:tcPr>
            <w:tcW w:w="2320" w:type="dxa"/>
            <w:vAlign w:val="center"/>
          </w:tcPr>
          <w:p w14:paraId="7FE4E800" w14:textId="77777777" w:rsidR="008C2534" w:rsidRDefault="003A75A5">
            <w:r>
              <w:t>ARC</w:t>
            </w:r>
          </w:p>
        </w:tc>
        <w:tc>
          <w:tcPr>
            <w:tcW w:w="6693" w:type="dxa"/>
            <w:vAlign w:val="center"/>
          </w:tcPr>
          <w:p w14:paraId="7FE4E801" w14:textId="77777777" w:rsidR="008C2534" w:rsidRDefault="003A75A5">
            <w:r>
              <w:t>Attaché de Recherche Clinique</w:t>
            </w:r>
          </w:p>
        </w:tc>
      </w:tr>
      <w:tr w:rsidR="008C2534" w14:paraId="7FE4E805" w14:textId="77777777">
        <w:tc>
          <w:tcPr>
            <w:tcW w:w="2320" w:type="dxa"/>
            <w:vAlign w:val="center"/>
          </w:tcPr>
          <w:p w14:paraId="7FE4E803" w14:textId="77777777" w:rsidR="008C2534" w:rsidRDefault="003A75A5">
            <w:r>
              <w:t>BPC</w:t>
            </w:r>
          </w:p>
        </w:tc>
        <w:tc>
          <w:tcPr>
            <w:tcW w:w="6693" w:type="dxa"/>
            <w:vAlign w:val="center"/>
          </w:tcPr>
          <w:p w14:paraId="7FE4E804" w14:textId="77777777" w:rsidR="008C2534" w:rsidRDefault="003A75A5">
            <w:r>
              <w:t xml:space="preserve">Bonnes Pratiques </w:t>
            </w:r>
            <w:r>
              <w:t>Cliniques</w:t>
            </w:r>
          </w:p>
        </w:tc>
      </w:tr>
      <w:tr w:rsidR="008C2534" w14:paraId="7FE4E808" w14:textId="77777777">
        <w:tc>
          <w:tcPr>
            <w:tcW w:w="2320" w:type="dxa"/>
            <w:vAlign w:val="center"/>
          </w:tcPr>
          <w:p w14:paraId="7FE4E806" w14:textId="77777777" w:rsidR="008C2534" w:rsidRDefault="003A75A5">
            <w:r>
              <w:t>CPP</w:t>
            </w:r>
          </w:p>
        </w:tc>
        <w:tc>
          <w:tcPr>
            <w:tcW w:w="6693" w:type="dxa"/>
            <w:vAlign w:val="center"/>
          </w:tcPr>
          <w:p w14:paraId="7FE4E807" w14:textId="77777777" w:rsidR="008C2534" w:rsidRDefault="003A75A5">
            <w:r>
              <w:t xml:space="preserve">Comité de Protection des Personnes </w:t>
            </w:r>
          </w:p>
        </w:tc>
      </w:tr>
      <w:tr w:rsidR="008C2534" w14:paraId="7FE4E80B" w14:textId="77777777">
        <w:trPr>
          <w:trHeight w:val="351"/>
        </w:trPr>
        <w:tc>
          <w:tcPr>
            <w:tcW w:w="2320" w:type="dxa"/>
            <w:vAlign w:val="center"/>
          </w:tcPr>
          <w:p w14:paraId="7FE4E809" w14:textId="77777777" w:rsidR="008C2534" w:rsidRDefault="003A75A5">
            <w:r>
              <w:t>CNIL</w:t>
            </w:r>
          </w:p>
        </w:tc>
        <w:tc>
          <w:tcPr>
            <w:tcW w:w="6693" w:type="dxa"/>
            <w:vAlign w:val="center"/>
          </w:tcPr>
          <w:p w14:paraId="7FE4E80A" w14:textId="77777777" w:rsidR="008C2534" w:rsidRDefault="003A75A5">
            <w:r>
              <w:t>Commission Nationale de l’Informatique et des Libertés</w:t>
            </w:r>
          </w:p>
        </w:tc>
      </w:tr>
      <w:tr w:rsidR="008C2534" w:rsidRPr="007F7A31" w14:paraId="7FE4E80E" w14:textId="77777777">
        <w:tc>
          <w:tcPr>
            <w:tcW w:w="2320" w:type="dxa"/>
            <w:vAlign w:val="center"/>
          </w:tcPr>
          <w:p w14:paraId="7FE4E80C" w14:textId="77777777" w:rsidR="008C2534" w:rsidRDefault="003A75A5">
            <w:r>
              <w:t>CRF</w:t>
            </w:r>
          </w:p>
        </w:tc>
        <w:tc>
          <w:tcPr>
            <w:tcW w:w="6693" w:type="dxa"/>
            <w:vAlign w:val="center"/>
          </w:tcPr>
          <w:p w14:paraId="7FE4E80D" w14:textId="77777777" w:rsidR="008C2534" w:rsidRDefault="003A75A5">
            <w:pPr>
              <w:rPr>
                <w:lang w:val="en-GB"/>
              </w:rPr>
            </w:pPr>
            <w:r>
              <w:rPr>
                <w:lang w:val="en-GB"/>
              </w:rPr>
              <w:t xml:space="preserve">Case Report Form (cahier </w:t>
            </w:r>
            <w:proofErr w:type="spellStart"/>
            <w:r>
              <w:rPr>
                <w:lang w:val="en-GB"/>
              </w:rPr>
              <w:t>d’observation</w:t>
            </w:r>
            <w:proofErr w:type="spellEnd"/>
            <w:r>
              <w:rPr>
                <w:lang w:val="en-GB"/>
              </w:rPr>
              <w:t>)</w:t>
            </w:r>
          </w:p>
        </w:tc>
      </w:tr>
      <w:tr w:rsidR="008C2534" w14:paraId="7FE4E811" w14:textId="77777777">
        <w:tc>
          <w:tcPr>
            <w:tcW w:w="2320" w:type="dxa"/>
            <w:vAlign w:val="center"/>
          </w:tcPr>
          <w:p w14:paraId="7FE4E80F" w14:textId="77777777" w:rsidR="008C2534" w:rsidRDefault="003A75A5">
            <w:proofErr w:type="spellStart"/>
            <w:r>
              <w:t>EvIG</w:t>
            </w:r>
            <w:proofErr w:type="spellEnd"/>
            <w:r>
              <w:t> </w:t>
            </w:r>
          </w:p>
        </w:tc>
        <w:tc>
          <w:tcPr>
            <w:tcW w:w="6693" w:type="dxa"/>
            <w:vAlign w:val="center"/>
          </w:tcPr>
          <w:p w14:paraId="7FE4E810" w14:textId="77777777" w:rsidR="008C2534" w:rsidRDefault="003A75A5">
            <w:pPr>
              <w:rPr>
                <w:lang w:val="en-GB"/>
              </w:rPr>
            </w:pPr>
            <w:r>
              <w:t>Evènement Indésirable Grave</w:t>
            </w:r>
          </w:p>
        </w:tc>
      </w:tr>
      <w:tr w:rsidR="008C2534" w14:paraId="7FE4E814" w14:textId="77777777">
        <w:tc>
          <w:tcPr>
            <w:tcW w:w="2320" w:type="dxa"/>
            <w:vAlign w:val="center"/>
          </w:tcPr>
          <w:p w14:paraId="7FE4E812" w14:textId="77777777" w:rsidR="008C2534" w:rsidRDefault="003A75A5">
            <w:r>
              <w:t>EIG </w:t>
            </w:r>
          </w:p>
        </w:tc>
        <w:tc>
          <w:tcPr>
            <w:tcW w:w="6693" w:type="dxa"/>
            <w:vAlign w:val="center"/>
          </w:tcPr>
          <w:p w14:paraId="7FE4E813" w14:textId="77777777" w:rsidR="008C2534" w:rsidRDefault="003A75A5">
            <w:pPr>
              <w:rPr>
                <w:lang w:val="en-GB"/>
              </w:rPr>
            </w:pPr>
            <w:r>
              <w:t>Effet Indésirable Grave</w:t>
            </w:r>
          </w:p>
        </w:tc>
      </w:tr>
      <w:tr w:rsidR="008C2534" w14:paraId="7FE4E817" w14:textId="77777777">
        <w:tc>
          <w:tcPr>
            <w:tcW w:w="2320" w:type="dxa"/>
            <w:vAlign w:val="center"/>
          </w:tcPr>
          <w:p w14:paraId="7FE4E815" w14:textId="77777777" w:rsidR="008C2534" w:rsidRDefault="003A75A5">
            <w:r>
              <w:t>EIGI </w:t>
            </w:r>
          </w:p>
        </w:tc>
        <w:tc>
          <w:tcPr>
            <w:tcW w:w="6693" w:type="dxa"/>
            <w:vAlign w:val="center"/>
          </w:tcPr>
          <w:p w14:paraId="7FE4E816" w14:textId="77777777" w:rsidR="008C2534" w:rsidRDefault="003A75A5">
            <w:pPr>
              <w:rPr>
                <w:lang w:val="en-GB"/>
              </w:rPr>
            </w:pPr>
            <w:r>
              <w:t xml:space="preserve">Effet </w:t>
            </w:r>
            <w:r>
              <w:t>Indésirable Grave Inattendu</w:t>
            </w:r>
          </w:p>
        </w:tc>
      </w:tr>
      <w:tr w:rsidR="008C2534" w14:paraId="7FE4E81A" w14:textId="77777777">
        <w:tc>
          <w:tcPr>
            <w:tcW w:w="2320" w:type="dxa"/>
            <w:vAlign w:val="center"/>
          </w:tcPr>
          <w:p w14:paraId="7FE4E818" w14:textId="77777777" w:rsidR="008C2534" w:rsidRDefault="003A75A5">
            <w:r>
              <w:t>GE</w:t>
            </w:r>
          </w:p>
        </w:tc>
        <w:tc>
          <w:tcPr>
            <w:tcW w:w="6693" w:type="dxa"/>
            <w:vAlign w:val="center"/>
          </w:tcPr>
          <w:p w14:paraId="7FE4E819" w14:textId="77777777" w:rsidR="008C2534" w:rsidRDefault="003A75A5">
            <w:r>
              <w:t>General Electric Healthcare</w:t>
            </w:r>
          </w:p>
        </w:tc>
      </w:tr>
      <w:tr w:rsidR="008C2534" w14:paraId="7FE4E81D" w14:textId="77777777">
        <w:tc>
          <w:tcPr>
            <w:tcW w:w="2320" w:type="dxa"/>
            <w:vAlign w:val="center"/>
          </w:tcPr>
          <w:p w14:paraId="7FE4E81B" w14:textId="77777777" w:rsidR="008C2534" w:rsidRDefault="003A75A5">
            <w:r>
              <w:t>ICH</w:t>
            </w:r>
          </w:p>
        </w:tc>
        <w:tc>
          <w:tcPr>
            <w:tcW w:w="6693" w:type="dxa"/>
            <w:vAlign w:val="center"/>
          </w:tcPr>
          <w:p w14:paraId="7FE4E81C" w14:textId="77777777" w:rsidR="008C2534" w:rsidRDefault="003A75A5">
            <w:r>
              <w:t xml:space="preserve">International </w:t>
            </w:r>
            <w:proofErr w:type="spellStart"/>
            <w:r>
              <w:t>Conference</w:t>
            </w:r>
            <w:proofErr w:type="spellEnd"/>
            <w:r>
              <w:t xml:space="preserve"> on </w:t>
            </w:r>
            <w:proofErr w:type="spellStart"/>
            <w:r>
              <w:t>Harmonization</w:t>
            </w:r>
            <w:proofErr w:type="spellEnd"/>
            <w:r>
              <w:t xml:space="preserve"> (Conférence internationale pour l'harmonisation)</w:t>
            </w:r>
          </w:p>
        </w:tc>
      </w:tr>
      <w:tr w:rsidR="008C2534" w14:paraId="7FE4E820" w14:textId="77777777">
        <w:tc>
          <w:tcPr>
            <w:tcW w:w="2320" w:type="dxa"/>
            <w:vAlign w:val="center"/>
          </w:tcPr>
          <w:p w14:paraId="7FE4E81E" w14:textId="77777777" w:rsidR="008C2534" w:rsidRDefault="003A75A5">
            <w:r>
              <w:t>IDE</w:t>
            </w:r>
          </w:p>
        </w:tc>
        <w:tc>
          <w:tcPr>
            <w:tcW w:w="6693" w:type="dxa"/>
            <w:vAlign w:val="center"/>
          </w:tcPr>
          <w:p w14:paraId="7FE4E81F" w14:textId="77777777" w:rsidR="008C2534" w:rsidRDefault="003A75A5">
            <w:r>
              <w:t>Infirmière Diplômée d'Etat</w:t>
            </w:r>
          </w:p>
        </w:tc>
      </w:tr>
      <w:tr w:rsidR="008C2534" w14:paraId="7FE4E823" w14:textId="77777777">
        <w:tc>
          <w:tcPr>
            <w:tcW w:w="2320" w:type="dxa"/>
            <w:vAlign w:val="center"/>
          </w:tcPr>
          <w:p w14:paraId="7FE4E821" w14:textId="77777777" w:rsidR="008C2534" w:rsidRDefault="003A75A5">
            <w:r>
              <w:t>INSERM</w:t>
            </w:r>
          </w:p>
        </w:tc>
        <w:tc>
          <w:tcPr>
            <w:tcW w:w="6693" w:type="dxa"/>
            <w:vAlign w:val="center"/>
          </w:tcPr>
          <w:p w14:paraId="7FE4E822" w14:textId="77777777" w:rsidR="008C2534" w:rsidRDefault="003A75A5">
            <w:r>
              <w:t>Institut National de la Santé et de la Recherche Médicale</w:t>
            </w:r>
          </w:p>
        </w:tc>
      </w:tr>
      <w:tr w:rsidR="008C2534" w14:paraId="7FE4E826" w14:textId="77777777">
        <w:tc>
          <w:tcPr>
            <w:tcW w:w="2320" w:type="dxa"/>
            <w:vAlign w:val="center"/>
          </w:tcPr>
          <w:p w14:paraId="7FE4E824" w14:textId="77777777" w:rsidR="008C2534" w:rsidRDefault="003A75A5">
            <w:r>
              <w:t>L</w:t>
            </w:r>
            <w:r>
              <w:t>EHR</w:t>
            </w:r>
          </w:p>
        </w:tc>
        <w:tc>
          <w:tcPr>
            <w:tcW w:w="6693" w:type="dxa"/>
            <w:vAlign w:val="center"/>
          </w:tcPr>
          <w:p w14:paraId="7FE4E825" w14:textId="77777777" w:rsidR="008C2534" w:rsidRDefault="003A75A5">
            <w:proofErr w:type="spellStart"/>
            <w:r>
              <w:t>Low</w:t>
            </w:r>
            <w:proofErr w:type="spellEnd"/>
            <w:r>
              <w:t xml:space="preserve"> </w:t>
            </w:r>
            <w:proofErr w:type="spellStart"/>
            <w:r>
              <w:t>Energy</w:t>
            </w:r>
            <w:proofErr w:type="spellEnd"/>
            <w:r>
              <w:t xml:space="preserve"> High </w:t>
            </w:r>
            <w:proofErr w:type="spellStart"/>
            <w:r>
              <w:t>Resolution</w:t>
            </w:r>
            <w:proofErr w:type="spellEnd"/>
            <w:r>
              <w:t> : basse énergie haute résolution</w:t>
            </w:r>
          </w:p>
        </w:tc>
      </w:tr>
      <w:tr w:rsidR="008C2534" w14:paraId="7FE4E829" w14:textId="77777777">
        <w:tc>
          <w:tcPr>
            <w:tcW w:w="2320" w:type="dxa"/>
            <w:vAlign w:val="center"/>
          </w:tcPr>
          <w:p w14:paraId="7FE4E827" w14:textId="77777777" w:rsidR="008C2534" w:rsidRDefault="003A75A5">
            <w:r>
              <w:t>MR</w:t>
            </w:r>
          </w:p>
        </w:tc>
        <w:tc>
          <w:tcPr>
            <w:tcW w:w="6693" w:type="dxa"/>
            <w:vAlign w:val="center"/>
          </w:tcPr>
          <w:p w14:paraId="7FE4E828" w14:textId="77777777" w:rsidR="008C2534" w:rsidRDefault="003A75A5">
            <w:r>
              <w:t>Méthodologie de Référence</w:t>
            </w:r>
          </w:p>
        </w:tc>
      </w:tr>
      <w:tr w:rsidR="008C2534" w14:paraId="7FE4E82C" w14:textId="77777777">
        <w:tc>
          <w:tcPr>
            <w:tcW w:w="2320" w:type="dxa"/>
            <w:vAlign w:val="center"/>
          </w:tcPr>
          <w:p w14:paraId="7FE4E82A" w14:textId="77777777" w:rsidR="008C2534" w:rsidRDefault="003A75A5">
            <w:r>
              <w:t>RCP</w:t>
            </w:r>
          </w:p>
        </w:tc>
        <w:tc>
          <w:tcPr>
            <w:tcW w:w="6693" w:type="dxa"/>
            <w:vAlign w:val="center"/>
          </w:tcPr>
          <w:p w14:paraId="7FE4E82B" w14:textId="77777777" w:rsidR="008C2534" w:rsidRDefault="003A75A5">
            <w:r>
              <w:t>Résumé des Caractéristiques d'un Produit</w:t>
            </w:r>
          </w:p>
        </w:tc>
      </w:tr>
      <w:tr w:rsidR="008C2534" w:rsidRPr="007F7A31" w14:paraId="7FE4E82F" w14:textId="77777777">
        <w:tc>
          <w:tcPr>
            <w:tcW w:w="2320" w:type="dxa"/>
            <w:vAlign w:val="center"/>
          </w:tcPr>
          <w:p w14:paraId="7FE4E82D" w14:textId="77777777" w:rsidR="008C2534" w:rsidRDefault="003A75A5">
            <w:r>
              <w:t>SUSAR</w:t>
            </w:r>
          </w:p>
        </w:tc>
        <w:tc>
          <w:tcPr>
            <w:tcW w:w="6693" w:type="dxa"/>
            <w:vAlign w:val="center"/>
          </w:tcPr>
          <w:p w14:paraId="7FE4E82E" w14:textId="77777777" w:rsidR="008C2534" w:rsidRDefault="003A75A5">
            <w:pPr>
              <w:rPr>
                <w:lang w:val="en-US"/>
              </w:rPr>
            </w:pPr>
            <w:r>
              <w:rPr>
                <w:lang w:val="en-US"/>
              </w:rPr>
              <w:t>Suspected Unexpected Serious Adverse Reaction</w:t>
            </w:r>
          </w:p>
        </w:tc>
      </w:tr>
      <w:tr w:rsidR="008C2534" w14:paraId="7FE4E832" w14:textId="77777777">
        <w:trPr>
          <w:trHeight w:val="380"/>
        </w:trPr>
        <w:tc>
          <w:tcPr>
            <w:tcW w:w="2320" w:type="dxa"/>
            <w:vAlign w:val="center"/>
          </w:tcPr>
          <w:p w14:paraId="7FE4E830" w14:textId="77777777" w:rsidR="008C2534" w:rsidRDefault="003A75A5">
            <w:r>
              <w:t>TEC</w:t>
            </w:r>
          </w:p>
        </w:tc>
        <w:tc>
          <w:tcPr>
            <w:tcW w:w="6693" w:type="dxa"/>
            <w:vAlign w:val="center"/>
          </w:tcPr>
          <w:p w14:paraId="7FE4E831" w14:textId="77777777" w:rsidR="008C2534" w:rsidRDefault="003A75A5">
            <w:pPr>
              <w:rPr>
                <w:lang w:val="en-US"/>
              </w:rPr>
            </w:pPr>
            <w:r>
              <w:t>Technicien</w:t>
            </w:r>
            <w:r>
              <w:rPr>
                <w:lang w:val="en-US"/>
              </w:rPr>
              <w:t xml:space="preserve"> </w:t>
            </w:r>
            <w:proofErr w:type="spellStart"/>
            <w:r>
              <w:rPr>
                <w:lang w:val="en-US"/>
              </w:rPr>
              <w:t>d'Etude</w:t>
            </w:r>
            <w:proofErr w:type="spellEnd"/>
            <w:r>
              <w:rPr>
                <w:lang w:val="en-US"/>
              </w:rPr>
              <w:t xml:space="preserve"> Clinique</w:t>
            </w:r>
          </w:p>
        </w:tc>
      </w:tr>
      <w:tr w:rsidR="008C2534" w14:paraId="7FE4E835" w14:textId="77777777">
        <w:trPr>
          <w:trHeight w:val="634"/>
        </w:trPr>
        <w:tc>
          <w:tcPr>
            <w:tcW w:w="2320" w:type="dxa"/>
            <w:vAlign w:val="center"/>
          </w:tcPr>
          <w:p w14:paraId="7FE4E833" w14:textId="77777777" w:rsidR="008C2534" w:rsidRDefault="003A75A5">
            <w:r>
              <w:t>TDM</w:t>
            </w:r>
          </w:p>
        </w:tc>
        <w:tc>
          <w:tcPr>
            <w:tcW w:w="6693" w:type="dxa"/>
            <w:vAlign w:val="center"/>
          </w:tcPr>
          <w:p w14:paraId="7FE4E834" w14:textId="77777777" w:rsidR="008C2534" w:rsidRDefault="003A75A5">
            <w:proofErr w:type="spellStart"/>
            <w:r>
              <w:rPr>
                <w:lang w:val="en-US"/>
              </w:rPr>
              <w:t>Tomodensitométrie</w:t>
            </w:r>
            <w:proofErr w:type="spellEnd"/>
          </w:p>
        </w:tc>
      </w:tr>
    </w:tbl>
    <w:p w14:paraId="7FE4E836" w14:textId="77777777" w:rsidR="008C2534" w:rsidRDefault="003A75A5">
      <w:pPr>
        <w:jc w:val="both"/>
        <w:rPr>
          <w:b/>
          <w:color w:val="008000"/>
          <w:szCs w:val="40"/>
        </w:rPr>
      </w:pPr>
      <w:r>
        <w:rPr>
          <w:b/>
          <w:color w:val="008000"/>
          <w:szCs w:val="40"/>
        </w:rPr>
        <w:br w:type="page"/>
      </w:r>
    </w:p>
    <w:p w14:paraId="7FE4E837" w14:textId="77777777" w:rsidR="008C2534" w:rsidRDefault="003A75A5">
      <w:pPr>
        <w:pStyle w:val="Titre1"/>
      </w:pPr>
      <w:bookmarkStart w:id="8" w:name="_Toc203880468"/>
      <w:bookmarkStart w:id="9" w:name="_Toc203880831"/>
      <w:bookmarkStart w:id="10" w:name="_Toc205870745"/>
      <w:bookmarkStart w:id="11" w:name="_Toc205870900"/>
      <w:bookmarkStart w:id="12" w:name="_Toc205871020"/>
      <w:bookmarkStart w:id="13" w:name="_Toc210446620"/>
      <w:bookmarkStart w:id="14" w:name="_Toc452454402"/>
      <w:bookmarkStart w:id="15" w:name="_Toc505606778"/>
      <w:r>
        <w:lastRenderedPageBreak/>
        <w:t>Informations générales</w:t>
      </w:r>
      <w:bookmarkEnd w:id="8"/>
      <w:bookmarkEnd w:id="9"/>
      <w:bookmarkEnd w:id="10"/>
      <w:bookmarkEnd w:id="11"/>
      <w:bookmarkEnd w:id="12"/>
      <w:bookmarkEnd w:id="13"/>
      <w:bookmarkEnd w:id="14"/>
      <w:bookmarkEnd w:id="15"/>
      <w:r>
        <w:t xml:space="preserve"> </w:t>
      </w:r>
    </w:p>
    <w:p w14:paraId="7FE4E838" w14:textId="77777777" w:rsidR="008C2534" w:rsidRDefault="008C2534">
      <w:pPr>
        <w:jc w:val="both"/>
        <w:rPr>
          <w:i/>
          <w:color w:val="008000"/>
        </w:rPr>
      </w:pPr>
    </w:p>
    <w:p w14:paraId="7FE4E839" w14:textId="77777777" w:rsidR="008C2534" w:rsidRDefault="003A75A5">
      <w:pPr>
        <w:pStyle w:val="Titre2"/>
      </w:pPr>
      <w:bookmarkStart w:id="16" w:name="_Toc505606779"/>
      <w:r>
        <w:t>Responsables du projet</w:t>
      </w:r>
      <w:bookmarkEnd w:id="16"/>
      <w:r>
        <w:t xml:space="preserve"> </w:t>
      </w:r>
    </w:p>
    <w:p w14:paraId="7FE4E83A" w14:textId="77777777" w:rsidR="008C2534" w:rsidRDefault="008C2534">
      <w:pPr>
        <w:pStyle w:val="Titre2"/>
        <w:numPr>
          <w:ilvl w:val="0"/>
          <w:numId w:val="0"/>
        </w:numPr>
      </w:pPr>
    </w:p>
    <w:tbl>
      <w:tblPr>
        <w:tblStyle w:val="Grilledutableau"/>
        <w:tblpPr w:leftFromText="141" w:rightFromText="141" w:vertAnchor="text" w:horzAnchor="margin" w:tblpXSpec="center" w:tblpY="1134"/>
        <w:tblW w:w="0" w:type="auto"/>
        <w:jc w:val="center"/>
        <w:tblLook w:val="04A0" w:firstRow="1" w:lastRow="0" w:firstColumn="1" w:lastColumn="0" w:noHBand="0" w:noVBand="1"/>
      </w:tblPr>
      <w:tblGrid>
        <w:gridCol w:w="2942"/>
        <w:gridCol w:w="6344"/>
      </w:tblGrid>
      <w:tr w:rsidR="008C2534" w14:paraId="7FE4E83E" w14:textId="77777777">
        <w:trPr>
          <w:jc w:val="center"/>
        </w:trPr>
        <w:tc>
          <w:tcPr>
            <w:tcW w:w="9286" w:type="dxa"/>
            <w:gridSpan w:val="2"/>
            <w:shd w:val="clear" w:color="auto" w:fill="DAEEF3"/>
          </w:tcPr>
          <w:p w14:paraId="7FE4E83B" w14:textId="77777777" w:rsidR="008C2534" w:rsidRDefault="003A75A5">
            <w:pPr>
              <w:rPr>
                <w:rFonts w:asciiTheme="minorHAnsi" w:hAnsiTheme="minorHAnsi"/>
                <w:sz w:val="32"/>
                <w:lang w:eastAsia="en-US"/>
              </w:rPr>
            </w:pPr>
            <w:bookmarkStart w:id="17" w:name="_Toc453619876"/>
            <w:r>
              <w:rPr>
                <w:rFonts w:asciiTheme="minorHAnsi" w:hAnsiTheme="minorHAnsi"/>
                <w:sz w:val="32"/>
                <w:lang w:eastAsia="en-US"/>
              </w:rPr>
              <w:t>Titre de l’étude </w:t>
            </w:r>
            <w:bookmarkEnd w:id="17"/>
            <w:r>
              <w:rPr>
                <w:rFonts w:asciiTheme="minorHAnsi" w:hAnsiTheme="minorHAnsi"/>
                <w:sz w:val="32"/>
                <w:lang w:eastAsia="en-US"/>
              </w:rPr>
              <w:t xml:space="preserve">: </w:t>
            </w:r>
            <w:r>
              <w:rPr>
                <w:rFonts w:asciiTheme="minorHAnsi" w:hAnsiTheme="minorHAnsi"/>
                <w:sz w:val="32"/>
              </w:rPr>
              <w:t>LEHRS</w:t>
            </w:r>
          </w:p>
          <w:p w14:paraId="7FE4E83C" w14:textId="77777777" w:rsidR="008C2534" w:rsidRDefault="003A75A5">
            <w:pPr>
              <w:rPr>
                <w:rFonts w:asciiTheme="minorHAnsi" w:hAnsiTheme="minorHAnsi"/>
                <w:sz w:val="32"/>
                <w:lang w:eastAsia="en-US"/>
              </w:rPr>
            </w:pPr>
            <w:r>
              <w:rPr>
                <w:rFonts w:asciiTheme="minorHAnsi" w:hAnsiTheme="minorHAnsi"/>
                <w:sz w:val="32"/>
                <w:lang w:eastAsia="en-US"/>
              </w:rPr>
              <w:t>Comparaison d’un nouveau collimateur LEHRS (General Electric – GE Healthcare) vs Siemens LEHR sur la qualité d’image en scintigraphie</w:t>
            </w:r>
          </w:p>
          <w:p w14:paraId="7FE4E83D" w14:textId="77777777" w:rsidR="008C2534" w:rsidRDefault="008C2534">
            <w:pPr>
              <w:pStyle w:val="paragraph"/>
              <w:spacing w:before="0" w:after="160" w:line="259" w:lineRule="auto"/>
              <w:jc w:val="center"/>
              <w:rPr>
                <w:rFonts w:ascii="Calibri" w:hAnsi="Calibri"/>
                <w:szCs w:val="22"/>
                <w:lang w:eastAsia="en-US"/>
              </w:rPr>
            </w:pPr>
          </w:p>
        </w:tc>
      </w:tr>
      <w:tr w:rsidR="008C2534" w14:paraId="7FE4E844" w14:textId="77777777">
        <w:trPr>
          <w:trHeight w:val="338"/>
          <w:jc w:val="center"/>
        </w:trPr>
        <w:tc>
          <w:tcPr>
            <w:tcW w:w="2942" w:type="dxa"/>
          </w:tcPr>
          <w:p w14:paraId="7FE4E83F" w14:textId="77777777" w:rsidR="008C2534" w:rsidRDefault="003A75A5">
            <w:r>
              <w:rPr>
                <w:rFonts w:ascii="Cambria" w:hAnsi="Cambria"/>
                <w:b/>
                <w:bCs/>
                <w:smallCaps/>
                <w:color w:val="000000"/>
                <w:sz w:val="28"/>
                <w:szCs w:val="28"/>
              </w:rPr>
              <w:t>Promoteur :</w:t>
            </w:r>
          </w:p>
        </w:tc>
        <w:tc>
          <w:tcPr>
            <w:tcW w:w="6344" w:type="dxa"/>
          </w:tcPr>
          <w:p w14:paraId="7FE4E840" w14:textId="77777777" w:rsidR="008C2534" w:rsidRDefault="003A75A5">
            <w:pPr>
              <w:pStyle w:val="NormalGras"/>
              <w:tabs>
                <w:tab w:val="left" w:pos="4027"/>
              </w:tabs>
              <w:spacing w:line="276" w:lineRule="auto"/>
              <w:rPr>
                <w:rFonts w:ascii="Calibri" w:hAnsi="Calibri"/>
                <w:szCs w:val="22"/>
                <w:lang w:eastAsia="en-US"/>
              </w:rPr>
            </w:pPr>
            <w:r>
              <w:rPr>
                <w:rFonts w:ascii="Calibri" w:hAnsi="Calibri"/>
                <w:szCs w:val="22"/>
                <w:lang w:eastAsia="en-US"/>
              </w:rPr>
              <w:t xml:space="preserve">CHR D’Orléans </w:t>
            </w:r>
            <w:r>
              <w:rPr>
                <w:rFonts w:ascii="Calibri" w:hAnsi="Calibri"/>
                <w:szCs w:val="22"/>
                <w:lang w:eastAsia="en-US"/>
              </w:rPr>
              <w:tab/>
            </w:r>
          </w:p>
          <w:p w14:paraId="7FE4E841" w14:textId="77777777" w:rsidR="008C2534" w:rsidRDefault="003A75A5">
            <w:pPr>
              <w:spacing w:before="40"/>
              <w:rPr>
                <w:rFonts w:ascii="Calibri" w:hAnsi="Calibri"/>
                <w:sz w:val="24"/>
              </w:rPr>
            </w:pPr>
            <w:r>
              <w:rPr>
                <w:rFonts w:ascii="Calibri" w:hAnsi="Calibri"/>
                <w:sz w:val="24"/>
              </w:rPr>
              <w:t>Direction des affaires médicales et de la recherche</w:t>
            </w:r>
            <w:r>
              <w:rPr>
                <w:rFonts w:ascii="Calibri" w:hAnsi="Calibri"/>
                <w:sz w:val="24"/>
              </w:rPr>
              <w:br/>
              <w:t>14 avenue de l’hôpital</w:t>
            </w:r>
          </w:p>
          <w:p w14:paraId="7FE4E842" w14:textId="77777777" w:rsidR="008C2534" w:rsidRDefault="003A75A5">
            <w:pPr>
              <w:spacing w:line="276" w:lineRule="auto"/>
              <w:rPr>
                <w:rFonts w:ascii="Calibri" w:hAnsi="Calibri"/>
                <w:sz w:val="24"/>
              </w:rPr>
            </w:pPr>
            <w:r>
              <w:rPr>
                <w:rFonts w:ascii="Calibri" w:hAnsi="Calibri"/>
                <w:sz w:val="24"/>
              </w:rPr>
              <w:t>CS 86709</w:t>
            </w:r>
            <w:r>
              <w:rPr>
                <w:rFonts w:ascii="Calibri" w:hAnsi="Calibri"/>
                <w:sz w:val="24"/>
              </w:rPr>
              <w:br/>
              <w:t>45067 Orléans Cedex 02</w:t>
            </w:r>
          </w:p>
          <w:p w14:paraId="7FE4E843" w14:textId="77777777" w:rsidR="008C2534" w:rsidRDefault="008C2534">
            <w:pPr>
              <w:spacing w:line="276" w:lineRule="auto"/>
              <w:jc w:val="both"/>
            </w:pPr>
          </w:p>
        </w:tc>
      </w:tr>
      <w:tr w:rsidR="008C2534" w14:paraId="7FE4E849" w14:textId="77777777">
        <w:trPr>
          <w:trHeight w:val="338"/>
          <w:jc w:val="center"/>
        </w:trPr>
        <w:tc>
          <w:tcPr>
            <w:tcW w:w="2942" w:type="dxa"/>
          </w:tcPr>
          <w:p w14:paraId="7FE4E845" w14:textId="77777777" w:rsidR="008C2534" w:rsidRDefault="003A75A5">
            <w:r>
              <w:rPr>
                <w:rFonts w:ascii="Cambria" w:hAnsi="Cambria"/>
                <w:b/>
                <w:bCs/>
                <w:smallCaps/>
                <w:color w:val="000000"/>
                <w:sz w:val="28"/>
                <w:szCs w:val="28"/>
              </w:rPr>
              <w:t>Investigateur coordonnateur :</w:t>
            </w:r>
          </w:p>
        </w:tc>
        <w:tc>
          <w:tcPr>
            <w:tcW w:w="6344" w:type="dxa"/>
          </w:tcPr>
          <w:p w14:paraId="7FE4E846" w14:textId="77777777" w:rsidR="008C2534" w:rsidRDefault="003A75A5">
            <w:pPr>
              <w:pStyle w:val="Sansinterligne"/>
              <w:spacing w:line="276" w:lineRule="auto"/>
              <w:rPr>
                <w:b/>
                <w:sz w:val="24"/>
              </w:rPr>
            </w:pPr>
            <w:r>
              <w:rPr>
                <w:b/>
                <w:sz w:val="24"/>
              </w:rPr>
              <w:t>Dr Gilles METRARD</w:t>
            </w:r>
          </w:p>
          <w:p w14:paraId="7FE4E847" w14:textId="77777777" w:rsidR="008C2534" w:rsidRDefault="003A75A5">
            <w:pPr>
              <w:pStyle w:val="Sansinterligne"/>
              <w:spacing w:line="276" w:lineRule="auto"/>
              <w:rPr>
                <w:sz w:val="24"/>
              </w:rPr>
            </w:pPr>
            <w:r>
              <w:rPr>
                <w:sz w:val="24"/>
              </w:rPr>
              <w:t>Service de Médecine Nucléaire</w:t>
            </w:r>
          </w:p>
          <w:p w14:paraId="7FE4E848" w14:textId="77777777" w:rsidR="008C2534" w:rsidRDefault="003A75A5">
            <w:pPr>
              <w:pStyle w:val="Sansinterligne"/>
              <w:spacing w:line="276" w:lineRule="auto"/>
              <w:rPr>
                <w:sz w:val="24"/>
              </w:rPr>
            </w:pPr>
            <w:r>
              <w:rPr>
                <w:sz w:val="24"/>
              </w:rPr>
              <w:t>CHR Orléans</w:t>
            </w:r>
          </w:p>
        </w:tc>
      </w:tr>
      <w:tr w:rsidR="008C2534" w14:paraId="7FE4E84F" w14:textId="77777777">
        <w:trPr>
          <w:trHeight w:val="338"/>
          <w:jc w:val="center"/>
        </w:trPr>
        <w:tc>
          <w:tcPr>
            <w:tcW w:w="2942" w:type="dxa"/>
          </w:tcPr>
          <w:p w14:paraId="7FE4E84A" w14:textId="77777777" w:rsidR="008C2534" w:rsidRDefault="003A75A5">
            <w:r>
              <w:rPr>
                <w:rFonts w:ascii="Cambria" w:hAnsi="Cambria"/>
                <w:b/>
                <w:bCs/>
                <w:smallCaps/>
                <w:color w:val="000000"/>
                <w:sz w:val="28"/>
                <w:szCs w:val="28"/>
              </w:rPr>
              <w:t>Investigateurs associés :</w:t>
            </w:r>
          </w:p>
        </w:tc>
        <w:tc>
          <w:tcPr>
            <w:tcW w:w="6344" w:type="dxa"/>
          </w:tcPr>
          <w:p w14:paraId="7FE4E84B" w14:textId="77777777" w:rsidR="008C2534" w:rsidRDefault="003A75A5">
            <w:pPr>
              <w:pStyle w:val="NormalGras"/>
              <w:spacing w:line="276" w:lineRule="auto"/>
              <w:rPr>
                <w:rFonts w:asciiTheme="minorHAnsi" w:hAnsiTheme="minorHAnsi"/>
              </w:rPr>
            </w:pPr>
            <w:r>
              <w:rPr>
                <w:rFonts w:asciiTheme="minorHAnsi" w:hAnsiTheme="minorHAnsi"/>
              </w:rPr>
              <w:t xml:space="preserve">Dr </w:t>
            </w:r>
            <w:r>
              <w:rPr>
                <w:rFonts w:asciiTheme="minorHAnsi" w:hAnsiTheme="minorHAnsi"/>
              </w:rPr>
              <w:t>Matthieu BAILLY</w:t>
            </w:r>
          </w:p>
          <w:p w14:paraId="7FE4E84C" w14:textId="77777777" w:rsidR="008C2534" w:rsidRDefault="003A75A5">
            <w:pPr>
              <w:pStyle w:val="NormalGras"/>
              <w:spacing w:line="276" w:lineRule="auto"/>
              <w:rPr>
                <w:rFonts w:asciiTheme="minorHAnsi" w:hAnsiTheme="minorHAnsi"/>
              </w:rPr>
            </w:pPr>
            <w:r>
              <w:rPr>
                <w:rFonts w:asciiTheme="minorHAnsi" w:hAnsiTheme="minorHAnsi"/>
              </w:rPr>
              <w:t>Dr Hélène BESSE</w:t>
            </w:r>
          </w:p>
          <w:p w14:paraId="7FE4E84D" w14:textId="77777777" w:rsidR="008C2534" w:rsidRDefault="003A75A5">
            <w:pPr>
              <w:pStyle w:val="NormalGras"/>
              <w:spacing w:line="276" w:lineRule="auto"/>
              <w:rPr>
                <w:rFonts w:ascii="Calibri" w:hAnsi="Calibri"/>
                <w:szCs w:val="22"/>
                <w:lang w:eastAsia="en-US"/>
              </w:rPr>
            </w:pPr>
            <w:r>
              <w:rPr>
                <w:rFonts w:ascii="Calibri" w:hAnsi="Calibri"/>
                <w:szCs w:val="22"/>
                <w:lang w:eastAsia="en-US"/>
              </w:rPr>
              <w:t>Dr Sabine GAUVAIN</w:t>
            </w:r>
          </w:p>
          <w:p w14:paraId="7FE4E84E" w14:textId="77777777" w:rsidR="008C2534" w:rsidRDefault="003A75A5">
            <w:pPr>
              <w:pStyle w:val="NormalGras"/>
              <w:spacing w:line="276" w:lineRule="auto"/>
              <w:rPr>
                <w:rFonts w:ascii="Calibri" w:hAnsi="Calibri"/>
                <w:szCs w:val="22"/>
                <w:lang w:eastAsia="en-US"/>
              </w:rPr>
            </w:pPr>
            <w:r>
              <w:rPr>
                <w:rFonts w:ascii="Calibri" w:hAnsi="Calibri"/>
                <w:szCs w:val="22"/>
                <w:lang w:eastAsia="en-US"/>
              </w:rPr>
              <w:t>Dr Sofiane MOUZOUNE</w:t>
            </w:r>
          </w:p>
        </w:tc>
      </w:tr>
      <w:tr w:rsidR="008C2534" w14:paraId="7FE4E854" w14:textId="77777777">
        <w:trPr>
          <w:trHeight w:val="338"/>
          <w:jc w:val="center"/>
        </w:trPr>
        <w:tc>
          <w:tcPr>
            <w:tcW w:w="2942" w:type="dxa"/>
          </w:tcPr>
          <w:p w14:paraId="7FE4E850" w14:textId="77777777" w:rsidR="008C2534" w:rsidRDefault="003A75A5">
            <w:pPr>
              <w:rPr>
                <w:rFonts w:ascii="Cambria" w:hAnsi="Cambria"/>
                <w:b/>
                <w:bCs/>
                <w:smallCaps/>
                <w:color w:val="000000"/>
                <w:sz w:val="28"/>
                <w:szCs w:val="28"/>
              </w:rPr>
            </w:pPr>
            <w:proofErr w:type="spellStart"/>
            <w:r>
              <w:rPr>
                <w:rFonts w:ascii="Cambria" w:hAnsi="Cambria"/>
                <w:b/>
                <w:bCs/>
                <w:smallCaps/>
                <w:color w:val="000000"/>
                <w:sz w:val="28"/>
                <w:szCs w:val="28"/>
              </w:rPr>
              <w:t>Methodologiste</w:t>
            </w:r>
            <w:proofErr w:type="spellEnd"/>
            <w:r>
              <w:rPr>
                <w:rFonts w:ascii="Cambria" w:hAnsi="Cambria"/>
                <w:b/>
                <w:bCs/>
                <w:smallCaps/>
                <w:color w:val="000000"/>
                <w:sz w:val="28"/>
                <w:szCs w:val="28"/>
              </w:rPr>
              <w:t> /</w:t>
            </w:r>
            <w:r>
              <w:rPr>
                <w:rFonts w:ascii="Cambria" w:hAnsi="Cambria"/>
                <w:b/>
                <w:bCs/>
                <w:smallCaps/>
                <w:color w:val="000000"/>
                <w:sz w:val="28"/>
                <w:szCs w:val="28"/>
              </w:rPr>
              <w:br/>
              <w:t xml:space="preserve">Biostatisticien :  </w:t>
            </w:r>
          </w:p>
        </w:tc>
        <w:tc>
          <w:tcPr>
            <w:tcW w:w="6344" w:type="dxa"/>
          </w:tcPr>
          <w:p w14:paraId="7FE4E851" w14:textId="77777777" w:rsidR="008C2534" w:rsidRDefault="003A75A5">
            <w:pPr>
              <w:rPr>
                <w:rFonts w:asciiTheme="minorHAnsi" w:hAnsiTheme="minorHAnsi"/>
                <w:b/>
                <w:sz w:val="22"/>
              </w:rPr>
            </w:pPr>
            <w:r>
              <w:rPr>
                <w:rFonts w:asciiTheme="minorHAnsi" w:hAnsiTheme="minorHAnsi"/>
                <w:b/>
                <w:sz w:val="22"/>
              </w:rPr>
              <w:t>Dr Antoine VALERY</w:t>
            </w:r>
          </w:p>
          <w:p w14:paraId="7FE4E852" w14:textId="77777777" w:rsidR="008C2534" w:rsidRDefault="003A75A5">
            <w:pPr>
              <w:rPr>
                <w:rFonts w:asciiTheme="minorHAnsi" w:hAnsiTheme="minorHAnsi"/>
                <w:sz w:val="22"/>
              </w:rPr>
            </w:pPr>
            <w:r>
              <w:rPr>
                <w:rFonts w:asciiTheme="minorHAnsi" w:hAnsiTheme="minorHAnsi"/>
                <w:sz w:val="22"/>
              </w:rPr>
              <w:t xml:space="preserve">DIM </w:t>
            </w:r>
          </w:p>
          <w:p w14:paraId="7FE4E853" w14:textId="77777777" w:rsidR="008C2534" w:rsidRDefault="003A75A5">
            <w:r>
              <w:rPr>
                <w:rFonts w:asciiTheme="minorHAnsi" w:hAnsiTheme="minorHAnsi"/>
                <w:sz w:val="22"/>
              </w:rPr>
              <w:t>CHR Orléans</w:t>
            </w:r>
          </w:p>
        </w:tc>
      </w:tr>
    </w:tbl>
    <w:p w14:paraId="7FE4E855" w14:textId="77777777" w:rsidR="008C2534" w:rsidRDefault="003A75A5">
      <w:pPr>
        <w:pStyle w:val="Titre2"/>
        <w:numPr>
          <w:ilvl w:val="0"/>
          <w:numId w:val="0"/>
        </w:numPr>
      </w:pPr>
      <w:r>
        <w:br w:type="page"/>
      </w:r>
    </w:p>
    <w:p w14:paraId="7FE4E856" w14:textId="77777777" w:rsidR="008C2534" w:rsidRDefault="003A75A5">
      <w:pPr>
        <w:pStyle w:val="Titre1"/>
      </w:pPr>
      <w:bookmarkStart w:id="18" w:name="_Toc505606784"/>
      <w:r>
        <w:lastRenderedPageBreak/>
        <w:t>Contexte et justification scientifique</w:t>
      </w:r>
      <w:bookmarkEnd w:id="18"/>
      <w:r>
        <w:t xml:space="preserve"> </w:t>
      </w:r>
    </w:p>
    <w:p w14:paraId="7FE4E857" w14:textId="77777777" w:rsidR="008C2534" w:rsidRDefault="008C2534"/>
    <w:p w14:paraId="7FE4E858" w14:textId="77777777" w:rsidR="008C2534" w:rsidRDefault="003A75A5">
      <w:pPr>
        <w:jc w:val="both"/>
      </w:pPr>
      <w:r>
        <w:t xml:space="preserve">Les examens </w:t>
      </w:r>
      <w:proofErr w:type="spellStart"/>
      <w:r>
        <w:t>scintigraphiques</w:t>
      </w:r>
      <w:proofErr w:type="spellEnd"/>
      <w:r>
        <w:t xml:space="preserve"> permettent de cartographier, in vivo, la </w:t>
      </w:r>
      <w:proofErr w:type="spellStart"/>
      <w:r>
        <w:t>biodistribution</w:t>
      </w:r>
      <w:proofErr w:type="spellEnd"/>
      <w:r>
        <w:t xml:space="preserve"> d'un médicament </w:t>
      </w:r>
      <w:proofErr w:type="spellStart"/>
      <w:r>
        <w:t>radiopharmaceutique</w:t>
      </w:r>
      <w:proofErr w:type="spellEnd"/>
      <w:r>
        <w:t xml:space="preserve">, analogue d’une molécule d'intérêt. </w:t>
      </w:r>
    </w:p>
    <w:p w14:paraId="7FE4E859" w14:textId="77777777" w:rsidR="008C2534" w:rsidRDefault="003A75A5">
      <w:pPr>
        <w:jc w:val="both"/>
      </w:pPr>
      <w:r>
        <w:t xml:space="preserve">L’image de la distribution dans l'organisme du médicament </w:t>
      </w:r>
      <w:proofErr w:type="spellStart"/>
      <w:r>
        <w:t>radiopharmaceutique</w:t>
      </w:r>
      <w:proofErr w:type="spellEnd"/>
      <w:r>
        <w:t xml:space="preserve"> est obtenue par la détection des rayonnements gamma émis par le radioélément utilisé pour son marquage.</w:t>
      </w:r>
    </w:p>
    <w:p w14:paraId="7FE4E85D" w14:textId="7F369DAB" w:rsidR="008C2534" w:rsidRDefault="008C2534" w:rsidP="00776FBE"/>
    <w:p w14:paraId="7FE4E85E" w14:textId="77777777" w:rsidR="008C2534" w:rsidRDefault="003A75A5">
      <w:pPr>
        <w:jc w:val="both"/>
      </w:pPr>
      <w:r>
        <w:t>L'adjonction d'un collimateur (grille perforée</w:t>
      </w:r>
      <w:r>
        <w:t xml:space="preserve"> en plomb) devant les détecteurs est obligatoire afin de sélectionner les photons gamma, les plus informatifs, dont le trajet est orthogonal au plan des détecteurs.</w:t>
      </w:r>
    </w:p>
    <w:p w14:paraId="7FE4E861" w14:textId="77777777" w:rsidR="008C2534" w:rsidRDefault="008C2534">
      <w:pPr>
        <w:jc w:val="both"/>
      </w:pPr>
    </w:p>
    <w:p w14:paraId="7FE4E862" w14:textId="77777777" w:rsidR="008C2534" w:rsidRDefault="003A75A5">
      <w:pPr>
        <w:jc w:val="both"/>
      </w:pPr>
      <w:r>
        <w:t>Le choix du collimateur utilisé repose sur un c</w:t>
      </w:r>
      <w:r>
        <w:t>ompromis entre deux paramètres :</w:t>
      </w:r>
    </w:p>
    <w:p w14:paraId="7FE4E863" w14:textId="77777777" w:rsidR="008C2534" w:rsidRDefault="003A75A5">
      <w:pPr>
        <w:pStyle w:val="Paragraphedeliste"/>
        <w:numPr>
          <w:ilvl w:val="0"/>
          <w:numId w:val="27"/>
        </w:numPr>
        <w:jc w:val="both"/>
      </w:pPr>
      <w:r>
        <w:t>L'épaisseur et la profondeur des cloisons. Plus l'énergie du photon gamma émis (spécifique de chaque radioélément) est importante, plus le photon a une probabilité élevée de traverser la matière, notamment les cloisons (</w:t>
      </w:r>
      <w:proofErr w:type="spellStart"/>
      <w:r>
        <w:t>sep</w:t>
      </w:r>
      <w:r>
        <w:t>tas</w:t>
      </w:r>
      <w:proofErr w:type="spellEnd"/>
      <w:r>
        <w:t xml:space="preserve">) du collimateur. Cette pénétration septale entraîne une imprécision sur l'origine du rayonnement qui se traduit par une altération de la résolution spatiale, donc de la qualité d'image. Pour cette raison, les collimateurs sont classés en trois grandes </w:t>
      </w:r>
      <w:r>
        <w:t xml:space="preserve">catégories, selon l’épaisseur croissante de leurs </w:t>
      </w:r>
      <w:proofErr w:type="spellStart"/>
      <w:r>
        <w:t>septas</w:t>
      </w:r>
      <w:proofErr w:type="spellEnd"/>
      <w:r>
        <w:t> : basse énergie (« </w:t>
      </w:r>
      <w:proofErr w:type="spellStart"/>
      <w:r>
        <w:t>low</w:t>
      </w:r>
      <w:proofErr w:type="spellEnd"/>
      <w:r>
        <w:t xml:space="preserve"> </w:t>
      </w:r>
      <w:proofErr w:type="spellStart"/>
      <w:r>
        <w:t>energy</w:t>
      </w:r>
      <w:proofErr w:type="spellEnd"/>
      <w:r>
        <w:t> », LE), moyenne énergie (« </w:t>
      </w:r>
      <w:proofErr w:type="spellStart"/>
      <w:r>
        <w:t>mean</w:t>
      </w:r>
      <w:proofErr w:type="spellEnd"/>
      <w:r>
        <w:t xml:space="preserve"> </w:t>
      </w:r>
      <w:proofErr w:type="spellStart"/>
      <w:r>
        <w:t>energy</w:t>
      </w:r>
      <w:proofErr w:type="spellEnd"/>
      <w:r>
        <w:t xml:space="preserve"> » ou ME) et haute énergie (« high </w:t>
      </w:r>
      <w:proofErr w:type="spellStart"/>
      <w:r>
        <w:t>energy</w:t>
      </w:r>
      <w:proofErr w:type="spellEnd"/>
      <w:r>
        <w:t> » HE).</w:t>
      </w:r>
    </w:p>
    <w:p w14:paraId="7FE4E864" w14:textId="77777777" w:rsidR="008C2534" w:rsidRDefault="003A75A5">
      <w:pPr>
        <w:pStyle w:val="Paragraphedeliste"/>
        <w:numPr>
          <w:ilvl w:val="0"/>
          <w:numId w:val="27"/>
        </w:numPr>
        <w:jc w:val="both"/>
      </w:pPr>
      <w:r>
        <w:t>La largeur et le nombre des trous entre les cloisons. De larges trous permettent d</w:t>
      </w:r>
      <w:r>
        <w:t xml:space="preserve">'augmenter la sensibilité de la gamma-caméra mais réduisent, à surface constante de détecteurs, le nombre ou l'épaisseur des cloisons. La sensibilité permet donc de réduire le temps d’examen, au prix d’une altération de la résolution. </w:t>
      </w:r>
    </w:p>
    <w:p w14:paraId="7FE4E865" w14:textId="77777777" w:rsidR="008C2534" w:rsidRDefault="008C2534">
      <w:pPr>
        <w:pStyle w:val="Paragraphedeliste"/>
        <w:ind w:left="0"/>
        <w:jc w:val="both"/>
      </w:pPr>
    </w:p>
    <w:p w14:paraId="7FE4E866" w14:textId="77777777" w:rsidR="008C2534" w:rsidRDefault="003A75A5">
      <w:pPr>
        <w:pStyle w:val="Paragraphedeliste"/>
        <w:ind w:left="0"/>
        <w:jc w:val="both"/>
      </w:pPr>
      <w:r>
        <w:t>La majorité des exa</w:t>
      </w:r>
      <w:r>
        <w:t xml:space="preserve">mens de médecine nucléaire utilisent des médicaments </w:t>
      </w:r>
      <w:proofErr w:type="spellStart"/>
      <w:r>
        <w:t>radiopharmaceutiques</w:t>
      </w:r>
      <w:proofErr w:type="spellEnd"/>
      <w:r>
        <w:t xml:space="preserve"> </w:t>
      </w:r>
      <w:proofErr w:type="spellStart"/>
      <w:r>
        <w:t>technétiés</w:t>
      </w:r>
      <w:proofErr w:type="spellEnd"/>
      <w:r>
        <w:t xml:space="preserve"> (marqués au </w:t>
      </w:r>
      <w:proofErr w:type="spellStart"/>
      <w:r>
        <w:t>technetium</w:t>
      </w:r>
      <w:proofErr w:type="spellEnd"/>
      <w:r>
        <w:t xml:space="preserve"> 99m, émetteur de photons gamma, de pic énergétique 140keV) et nécessitent l’utilisation de collimateurs basse énergie (LE). Il existe de grandes ver</w:t>
      </w:r>
      <w:r>
        <w:t>sions de ce type de collimateur, la première privilégiant la sensibilité et la seconde privilégiant la résolution (LEHR pour « </w:t>
      </w:r>
      <w:proofErr w:type="spellStart"/>
      <w:r>
        <w:t>Low</w:t>
      </w:r>
      <w:proofErr w:type="spellEnd"/>
      <w:r>
        <w:t xml:space="preserve"> </w:t>
      </w:r>
      <w:proofErr w:type="spellStart"/>
      <w:r>
        <w:t>Energy</w:t>
      </w:r>
      <w:proofErr w:type="spellEnd"/>
      <w:r>
        <w:t xml:space="preserve"> High </w:t>
      </w:r>
      <w:proofErr w:type="spellStart"/>
      <w:r>
        <w:t>Resolution</w:t>
      </w:r>
      <w:proofErr w:type="spellEnd"/>
      <w:r>
        <w:t> »).</w:t>
      </w:r>
    </w:p>
    <w:p w14:paraId="7FE4E867" w14:textId="77777777" w:rsidR="008C2534" w:rsidRDefault="008C2534">
      <w:pPr>
        <w:pStyle w:val="Paragraphedeliste"/>
        <w:ind w:left="0"/>
        <w:jc w:val="both"/>
      </w:pPr>
    </w:p>
    <w:p w14:paraId="7FE4E868" w14:textId="77777777" w:rsidR="008C2534" w:rsidRDefault="003A75A5">
      <w:pPr>
        <w:pStyle w:val="Paragraphedeliste"/>
        <w:ind w:left="0"/>
        <w:jc w:val="both"/>
      </w:pPr>
      <w:r>
        <w:t>Nous proposons donc d'évaluer un nouveau type intermédiaire de collimateurs (LEHRS pour « </w:t>
      </w:r>
      <w:proofErr w:type="spellStart"/>
      <w:r>
        <w:t>Low</w:t>
      </w:r>
      <w:proofErr w:type="spellEnd"/>
      <w:r>
        <w:t xml:space="preserve"> </w:t>
      </w:r>
      <w:proofErr w:type="spellStart"/>
      <w:r>
        <w:t>Energy</w:t>
      </w:r>
      <w:proofErr w:type="spellEnd"/>
      <w:r>
        <w:t xml:space="preserve"> High </w:t>
      </w:r>
      <w:proofErr w:type="spellStart"/>
      <w:r>
        <w:t>Resolution</w:t>
      </w:r>
      <w:proofErr w:type="spellEnd"/>
      <w:r>
        <w:t xml:space="preserve"> and </w:t>
      </w:r>
      <w:proofErr w:type="spellStart"/>
      <w:r>
        <w:t>Sensitivity</w:t>
      </w:r>
      <w:proofErr w:type="spellEnd"/>
      <w:r>
        <w:t> », GE) privilégiant la sensibilité, sans cependant sacrifier la résolution. La dégradation attendue de la résolution étant compensée par des algorithmes correctifs informatiques.</w:t>
      </w:r>
    </w:p>
    <w:p w14:paraId="7FE4E869" w14:textId="77777777" w:rsidR="008C2534" w:rsidRDefault="008C2534">
      <w:pPr>
        <w:pStyle w:val="Paragraphedeliste"/>
        <w:ind w:left="0"/>
        <w:jc w:val="both"/>
      </w:pPr>
    </w:p>
    <w:p w14:paraId="7FE4E86A" w14:textId="77777777" w:rsidR="008C2534" w:rsidRDefault="008C2534">
      <w:pPr>
        <w:pStyle w:val="Paragraphedeliste"/>
        <w:ind w:left="0"/>
        <w:jc w:val="both"/>
      </w:pPr>
    </w:p>
    <w:p w14:paraId="7FE4E86B" w14:textId="77777777" w:rsidR="008C2534" w:rsidRDefault="003A75A5">
      <w:pPr>
        <w:pStyle w:val="Titre2"/>
      </w:pPr>
      <w:bookmarkStart w:id="19" w:name="_Toc505606785"/>
      <w:r>
        <w:lastRenderedPageBreak/>
        <w:t>Description de la pathologie</w:t>
      </w:r>
      <w:bookmarkEnd w:id="19"/>
      <w:r>
        <w:t xml:space="preserve"> </w:t>
      </w:r>
    </w:p>
    <w:p w14:paraId="7FE4E86C" w14:textId="77777777" w:rsidR="008C2534" w:rsidRDefault="008C2534">
      <w:pPr>
        <w:jc w:val="both"/>
      </w:pPr>
    </w:p>
    <w:p w14:paraId="7FE4E86D" w14:textId="77777777" w:rsidR="008C2534" w:rsidRDefault="003A75A5">
      <w:pPr>
        <w:jc w:val="both"/>
      </w:pPr>
      <w:r>
        <w:t>La sc</w:t>
      </w:r>
      <w:r>
        <w:t xml:space="preserve">intigraphie osseuse est un examen de pratique courante en médecine nucléaire. Le médicament </w:t>
      </w:r>
      <w:proofErr w:type="spellStart"/>
      <w:r>
        <w:t>radiopharmaceutique</w:t>
      </w:r>
      <w:proofErr w:type="spellEnd"/>
      <w:r>
        <w:t xml:space="preserve"> utilisé dans cette étude est un </w:t>
      </w:r>
      <w:proofErr w:type="spellStart"/>
      <w:r>
        <w:t>biphosphonate</w:t>
      </w:r>
      <w:proofErr w:type="spellEnd"/>
      <w:r>
        <w:t xml:space="preserve"> marqué au technétium 99m (dans notre service, il s’agit de l’</w:t>
      </w:r>
      <w:proofErr w:type="spellStart"/>
      <w:r>
        <w:t>hydroxydiphosphonate</w:t>
      </w:r>
      <w:proofErr w:type="spellEnd"/>
      <w:r>
        <w:t xml:space="preserve"> ou HDP-99mTc). </w:t>
      </w:r>
    </w:p>
    <w:p w14:paraId="7FE4E86E" w14:textId="77777777" w:rsidR="008C2534" w:rsidRDefault="003A75A5">
      <w:pPr>
        <w:jc w:val="both"/>
      </w:pPr>
      <w:r>
        <w:t>C’est un examen qui quantifie, de façon sensible, l’anabolisme osseux en réponse à des pathologies et permet de visualiser l’ensemble du squelette en un seul examen.</w:t>
      </w:r>
    </w:p>
    <w:p w14:paraId="7FE4E86F" w14:textId="77777777" w:rsidR="008C2534" w:rsidRDefault="003A75A5">
      <w:pPr>
        <w:jc w:val="both"/>
      </w:pPr>
      <w:r>
        <w:t>Les pathologies touchant l’os sont multiples et peuvent être d’origine tumorale, traumatiq</w:t>
      </w:r>
      <w:r>
        <w:t>ue, rhumatismale ou infectieuse. Ainsi les indications de la scintigraphie osseuse sont variées : rhumatologiques et orthopédiques (exploration de douleurs osseuses diffuses, bilan de rhumatisme inflammatoire, datation de fractures, recherche d’</w:t>
      </w:r>
      <w:proofErr w:type="spellStart"/>
      <w:r>
        <w:t>algoneurody</w:t>
      </w:r>
      <w:r>
        <w:t>strophie</w:t>
      </w:r>
      <w:proofErr w:type="spellEnd"/>
      <w:r>
        <w:t xml:space="preserve">, exploration de douleurs sur prothèse, notamment recherche de descellement…), oncologiques (bilan d’extension de tumeurs osseuses, notamment des tumeurs à métastases </w:t>
      </w:r>
      <w:proofErr w:type="spellStart"/>
      <w:r>
        <w:t>ostéocondensantes</w:t>
      </w:r>
      <w:proofErr w:type="spellEnd"/>
      <w:r>
        <w:t xml:space="preserve"> comme dans les cancers de prostate, bilan d’extension des sarco</w:t>
      </w:r>
      <w:r>
        <w:t>mes et autres tumeurs osseuses…)</w:t>
      </w:r>
    </w:p>
    <w:p w14:paraId="7FE4E870" w14:textId="77777777" w:rsidR="008C2534" w:rsidRDefault="003A75A5">
      <w:pPr>
        <w:jc w:val="both"/>
      </w:pPr>
      <w:r>
        <w:t>Les principaux avantages de la scintigraphie osseuse reposent sur une bonne accessibilité de la technique sur l’ensemble du territoire (à la différence de l’IRM), son exploration corps entier, en un temps d’examen réduit (b</w:t>
      </w:r>
      <w:r>
        <w:t>alayage corps entier en environ 15 minutes), pour une irradiation relativement faible comparativement à l’apport diagnostique de la technique. Pour un adulte de 70kg, la dose efficace est de 4mSv ; à titre comparatif, l’irradiation naturelle à Orléans (lié</w:t>
      </w:r>
      <w:r>
        <w:t xml:space="preserve">e au rayonnement cosmique et tellurique des sols) est d’environ 1 à 2mSv par an. Un scanner thoraco-abdomino-pelvien délivre quant à lui en moyenne une dose efficace de 18mSv selon le rapport de l’IRSN de 2010 « Doses </w:t>
      </w:r>
      <w:proofErr w:type="spellStart"/>
      <w:r>
        <w:t>délivrées</w:t>
      </w:r>
      <w:proofErr w:type="spellEnd"/>
      <w:r>
        <w:t xml:space="preserve"> aux patients en scanograph</w:t>
      </w:r>
      <w:r>
        <w:t xml:space="preserve">ie et en radiologie conventionnelle ». </w:t>
      </w:r>
    </w:p>
    <w:p w14:paraId="7FE4E871" w14:textId="77777777" w:rsidR="008C2534" w:rsidRDefault="003A75A5">
      <w:pPr>
        <w:jc w:val="both"/>
      </w:pPr>
      <w:r>
        <w:t xml:space="preserve">Il est également important de préciser qu’à la différence des examens de radiologie, l’irradiation liée à une scintigraphie est liée à la posologie du médicament </w:t>
      </w:r>
      <w:proofErr w:type="spellStart"/>
      <w:r>
        <w:t>radiopharmaceutique</w:t>
      </w:r>
      <w:proofErr w:type="spellEnd"/>
      <w:r>
        <w:t xml:space="preserve"> et n’augmente donc pas avec le nom</w:t>
      </w:r>
      <w:r>
        <w:t xml:space="preserve">bre d’acquisitions </w:t>
      </w:r>
      <w:proofErr w:type="spellStart"/>
      <w:r>
        <w:t>scintigraphiques</w:t>
      </w:r>
      <w:proofErr w:type="spellEnd"/>
      <w:r>
        <w:t xml:space="preserve"> réalisées. </w:t>
      </w:r>
    </w:p>
    <w:p w14:paraId="7FE4E872" w14:textId="77777777" w:rsidR="008C2534" w:rsidRDefault="003A75A5">
      <w:pPr>
        <w:jc w:val="both"/>
        <w:rPr>
          <w:color w:val="FF0000"/>
        </w:rPr>
      </w:pPr>
      <w:r>
        <w:rPr>
          <w:color w:val="FF0000"/>
        </w:rPr>
        <w:t xml:space="preserve"> </w:t>
      </w:r>
    </w:p>
    <w:p w14:paraId="7FE4E873" w14:textId="77777777" w:rsidR="008C2534" w:rsidRDefault="003A75A5">
      <w:pPr>
        <w:pStyle w:val="Titre2"/>
      </w:pPr>
      <w:bookmarkStart w:id="20" w:name="_Toc505606786"/>
      <w:r>
        <w:t>Description de la stratégie étudiée</w:t>
      </w:r>
      <w:bookmarkEnd w:id="20"/>
      <w:r>
        <w:t xml:space="preserve"> </w:t>
      </w:r>
    </w:p>
    <w:p w14:paraId="7FE4E874" w14:textId="77777777" w:rsidR="008C2534" w:rsidRDefault="008C2534"/>
    <w:p w14:paraId="7FE4E875" w14:textId="77777777" w:rsidR="008C2534" w:rsidRDefault="003A75A5">
      <w:pPr>
        <w:jc w:val="both"/>
      </w:pPr>
      <w:r>
        <w:t>Les patients bénéficieront de leur examen de scintigraphie standard, selon les règles de bonnes pratiques éditées par les sociétés savantes françaises et internationale</w:t>
      </w:r>
      <w:r>
        <w:t xml:space="preserve">s. Ainsi, selon l’indication de leur examen, des images précoces au décours de l’injection du médicament </w:t>
      </w:r>
      <w:proofErr w:type="spellStart"/>
      <w:r>
        <w:t>radiopharmaceutique</w:t>
      </w:r>
      <w:proofErr w:type="spellEnd"/>
      <w:r>
        <w:t xml:space="preserve"> seront réalisées. Il sera en revanche systématiquement réalisé des clichés tardifs de scintigraphie osseuse, 2 heures après injecti</w:t>
      </w:r>
      <w:r>
        <w:t xml:space="preserve">on (pour le médicament </w:t>
      </w:r>
      <w:proofErr w:type="spellStart"/>
      <w:r>
        <w:t>radiopharmaceutique</w:t>
      </w:r>
      <w:proofErr w:type="spellEnd"/>
      <w:r>
        <w:t xml:space="preserve"> utilisé dans le service), à savoir un balayage corps entier du squelette. Cette acquisition est souvent complétée par des clichés statiques, centrés sur une zone du squelette (le plus souvent la zone douloureuse e</w:t>
      </w:r>
      <w:r>
        <w:t xml:space="preserve">t/ou présentant une hyperfixation pathologique du </w:t>
      </w:r>
      <w:proofErr w:type="spellStart"/>
      <w:r>
        <w:t>radiopharmaceutique</w:t>
      </w:r>
      <w:proofErr w:type="spellEnd"/>
      <w:r>
        <w:t xml:space="preserve">). </w:t>
      </w:r>
    </w:p>
    <w:p w14:paraId="7FE4E876" w14:textId="77777777" w:rsidR="008C2534" w:rsidRDefault="003A75A5">
      <w:pPr>
        <w:jc w:val="both"/>
      </w:pPr>
      <w:r>
        <w:lastRenderedPageBreak/>
        <w:t>Dans certains cas, une tomoscintigraphie sera réalisée, permettant d’obtenir des images de scintigraphie en coupe, dans les 3 plans de l’espace, améliorant la sensibilité de détection</w:t>
      </w:r>
      <w:r>
        <w:t xml:space="preserve"> de petites fixations osseuses anormales, et surtout la localisation de ces foyers. Cette acquisition de tomoscintigraphie sera couplée à des coupes de tomodensitométrie (TDM) permettant une localisation anatomique encore plus précise.</w:t>
      </w:r>
    </w:p>
    <w:p w14:paraId="7FE4E877" w14:textId="77777777" w:rsidR="008C2534" w:rsidRDefault="003A75A5">
      <w:pPr>
        <w:jc w:val="both"/>
      </w:pPr>
      <w:r>
        <w:t>Outre cet examen sta</w:t>
      </w:r>
      <w:r>
        <w:t>ndard, la participation du patient au protocole de recherche impliquera la réalisation d’images complémentaires avec le nouveau collimateur, à savoir un deuxième balayage corps entier, un cliché statique, et dans les cas où elle a été demandée pour l’exame</w:t>
      </w:r>
      <w:r>
        <w:t>n standard, une tomoscintigraphie (sans couplage à la TDM dans ce cas, pour maintenir une dosimétrie équivalente à l’examen standard).</w:t>
      </w:r>
    </w:p>
    <w:p w14:paraId="7FE4E87E" w14:textId="77777777" w:rsidR="008C2534" w:rsidRDefault="008C2534">
      <w:pPr>
        <w:rPr>
          <w:color w:val="FF0000"/>
        </w:rPr>
      </w:pPr>
      <w:bookmarkStart w:id="21" w:name="_GoBack"/>
      <w:bookmarkEnd w:id="21"/>
    </w:p>
    <w:p w14:paraId="7FE4E87F" w14:textId="77777777" w:rsidR="008C2534" w:rsidRDefault="003A75A5">
      <w:pPr>
        <w:pStyle w:val="Titre2"/>
      </w:pPr>
      <w:bookmarkStart w:id="22" w:name="_Toc505606787"/>
      <w:r>
        <w:t>Résumé des résultats des essais non cliniques et des essais cliniques disponibles</w:t>
      </w:r>
      <w:bookmarkEnd w:id="22"/>
    </w:p>
    <w:p w14:paraId="7FE4E880" w14:textId="77777777" w:rsidR="008C2534" w:rsidRDefault="008C2534">
      <w:pPr>
        <w:rPr>
          <w:i/>
          <w:color w:val="008000"/>
        </w:rPr>
      </w:pPr>
    </w:p>
    <w:p w14:paraId="7FE4E881" w14:textId="77777777" w:rsidR="008C2534" w:rsidRDefault="003A75A5">
      <w:r>
        <w:t xml:space="preserve">Aucune étude n’a encore été réalisée pour évaluer ce nouveau collimateur. </w:t>
      </w:r>
    </w:p>
    <w:p w14:paraId="7FE4E882" w14:textId="77777777" w:rsidR="008C2534" w:rsidRDefault="003A75A5">
      <w:pPr>
        <w:jc w:val="both"/>
      </w:pPr>
      <w:r>
        <w:t>Peu de données de la littérature sont disponibles quant à l’évaluation de nouveaux collimateurs en médecine nucléaire. La plupart des études sont des études de physique médicale, vi</w:t>
      </w:r>
      <w:r>
        <w:t xml:space="preserve">sant à évaluer les performances physiques en termes de sensibilité et de résolution sur objets de mesures physiques (par exemple, l’évaluation d’un nouveau collimateur en </w:t>
      </w:r>
      <w:proofErr w:type="spellStart"/>
      <w:r>
        <w:t>tomosynthèse</w:t>
      </w:r>
      <w:proofErr w:type="spellEnd"/>
      <w:r>
        <w:t xml:space="preserve"> mammaire, </w:t>
      </w:r>
      <w:proofErr w:type="spellStart"/>
      <w:r>
        <w:t>Gilland</w:t>
      </w:r>
      <w:proofErr w:type="spellEnd"/>
      <w:r>
        <w:t xml:space="preserve"> et al. </w:t>
      </w:r>
      <w:r>
        <w:rPr>
          <w:u w:val="single"/>
        </w:rPr>
        <w:t xml:space="preserve">Med </w:t>
      </w:r>
      <w:proofErr w:type="spellStart"/>
      <w:r>
        <w:rPr>
          <w:u w:val="single"/>
        </w:rPr>
        <w:t>Phys</w:t>
      </w:r>
      <w:proofErr w:type="spellEnd"/>
      <w:r>
        <w:t xml:space="preserve"> 2017 Nov;44(11):5740-5748). Une évalua</w:t>
      </w:r>
      <w:r>
        <w:t>tion sur objets de mesures physiques de l’ancien et du nouveau collimateur est prévue dans notre étude.</w:t>
      </w:r>
    </w:p>
    <w:p w14:paraId="7FE4E883" w14:textId="77777777" w:rsidR="008C2534" w:rsidRDefault="003A75A5">
      <w:pPr>
        <w:jc w:val="both"/>
      </w:pPr>
      <w:r>
        <w:t>Notre travail de recherche peut être mis en parallèle des études réalisées suite à la commercialisation des caméras de médecine nucléaire à semi-conduct</w:t>
      </w:r>
      <w:r>
        <w:t>eurs (dites CZT, pour cadmium-zinc-</w:t>
      </w:r>
      <w:proofErr w:type="spellStart"/>
      <w:r>
        <w:t>telluride</w:t>
      </w:r>
      <w:proofErr w:type="spellEnd"/>
      <w:r>
        <w:t>). Par exemple, dans l’étude rétrospective menée par l’équipe du CCN (</w:t>
      </w:r>
      <w:proofErr w:type="spellStart"/>
      <w:r>
        <w:t>Songy</w:t>
      </w:r>
      <w:proofErr w:type="spellEnd"/>
      <w:r>
        <w:t xml:space="preserve"> et al, </w:t>
      </w:r>
      <w:hyperlink r:id="rId8" w:tooltip="Clinical nuclear medicine." w:history="1">
        <w:r>
          <w:rPr>
            <w:rStyle w:val="Lienhypertexte"/>
            <w:color w:val="auto"/>
          </w:rPr>
          <w:t xml:space="preserve">Clin </w:t>
        </w:r>
        <w:proofErr w:type="spellStart"/>
        <w:r>
          <w:rPr>
            <w:rStyle w:val="Lienhypertexte"/>
            <w:color w:val="auto"/>
          </w:rPr>
          <w:t>Nucl</w:t>
        </w:r>
        <w:proofErr w:type="spellEnd"/>
        <w:r>
          <w:rPr>
            <w:rStyle w:val="Lienhypertexte"/>
            <w:color w:val="auto"/>
          </w:rPr>
          <w:t xml:space="preserve"> Med.</w:t>
        </w:r>
      </w:hyperlink>
      <w:r>
        <w:t> 2011 Sep;36(9):776-80), 153 patients avaient bénéficié de leur scintigraphie cardiaque sur une caméra d’ancienne génération, puis sur la nouvelle caméra CZT. Les données étaient analysées de façon rétrospective, avec comparaison de la qualité d’image et a</w:t>
      </w:r>
      <w:r>
        <w:t xml:space="preserve">ussi du diagnostic final retenu. </w:t>
      </w:r>
    </w:p>
    <w:p w14:paraId="7FE4E884" w14:textId="77777777" w:rsidR="008C2534" w:rsidRDefault="008C2534">
      <w:pPr>
        <w:rPr>
          <w:color w:val="FF0000"/>
        </w:rPr>
      </w:pPr>
    </w:p>
    <w:p w14:paraId="7FE4E885" w14:textId="77777777" w:rsidR="008C2534" w:rsidRDefault="003A75A5">
      <w:pPr>
        <w:pStyle w:val="Titre1"/>
      </w:pPr>
      <w:bookmarkStart w:id="23" w:name="_Toc505606788"/>
      <w:r>
        <w:t>Objectifs de la recherche</w:t>
      </w:r>
      <w:bookmarkEnd w:id="23"/>
      <w:r>
        <w:t xml:space="preserve"> </w:t>
      </w:r>
    </w:p>
    <w:p w14:paraId="7FE4E886" w14:textId="77777777" w:rsidR="008C2534" w:rsidRDefault="003A75A5">
      <w:pPr>
        <w:pStyle w:val="Titre2"/>
      </w:pPr>
      <w:bookmarkStart w:id="24" w:name="_Toc505606789"/>
      <w:r>
        <w:t>Objectif principal</w:t>
      </w:r>
      <w:bookmarkEnd w:id="24"/>
      <w:r>
        <w:t xml:space="preserve"> </w:t>
      </w:r>
    </w:p>
    <w:p w14:paraId="7FE4E887" w14:textId="77777777" w:rsidR="008C2534" w:rsidRDefault="003A75A5">
      <w:pPr>
        <w:ind w:firstLine="600"/>
        <w:jc w:val="both"/>
      </w:pPr>
      <w:r>
        <w:t>Comparer la qualité d’image obtenue avec le nouveau collimateur LEHRS GE à celle obtenue avec un collimateur standard LEHR Siemens dans les examens de scintigraphie osseuse.</w:t>
      </w:r>
    </w:p>
    <w:p w14:paraId="7FE4E888" w14:textId="77777777" w:rsidR="008C2534" w:rsidRDefault="003A75A5">
      <w:pPr>
        <w:pStyle w:val="Titre2"/>
      </w:pPr>
      <w:bookmarkStart w:id="25" w:name="_Toc505606790"/>
      <w:r>
        <w:lastRenderedPageBreak/>
        <w:t>Objectifs secondaires</w:t>
      </w:r>
      <w:bookmarkEnd w:id="25"/>
      <w:r>
        <w:t xml:space="preserve"> </w:t>
      </w:r>
    </w:p>
    <w:p w14:paraId="7FE4E889" w14:textId="77777777" w:rsidR="008C2534" w:rsidRDefault="003A75A5">
      <w:pPr>
        <w:ind w:left="600"/>
        <w:jc w:val="both"/>
      </w:pPr>
      <w:r>
        <w:t>Evaluation des performances sur des objets-tests de mesures physiques.</w:t>
      </w:r>
    </w:p>
    <w:p w14:paraId="7FE4E88A" w14:textId="77777777" w:rsidR="008C2534" w:rsidRDefault="003A75A5">
      <w:pPr>
        <w:ind w:firstLine="600"/>
        <w:jc w:val="both"/>
      </w:pPr>
      <w:r>
        <w:t xml:space="preserve">Evaluation de la qualité d’image dans les scintigraphies pulmonaires, thyroïdiennes, parathyroïdiennes et cérébrales au </w:t>
      </w:r>
      <w:proofErr w:type="spellStart"/>
      <w:r>
        <w:t>DaTSCAN</w:t>
      </w:r>
      <w:proofErr w:type="spellEnd"/>
      <w:r>
        <w:t>.</w:t>
      </w:r>
    </w:p>
    <w:p w14:paraId="7FE4E88B" w14:textId="77777777" w:rsidR="008C2534" w:rsidRDefault="003A75A5">
      <w:pPr>
        <w:pStyle w:val="Titre2"/>
      </w:pPr>
      <w:bookmarkStart w:id="26" w:name="_Toc505606791"/>
      <w:r>
        <w:t>Critère d’évaluation principal</w:t>
      </w:r>
      <w:bookmarkEnd w:id="26"/>
      <w:r>
        <w:t xml:space="preserve"> </w:t>
      </w:r>
    </w:p>
    <w:p w14:paraId="7FE4E88C" w14:textId="77777777" w:rsidR="008C2534" w:rsidRDefault="003A75A5">
      <w:pPr>
        <w:ind w:firstLine="567"/>
        <w:jc w:val="both"/>
      </w:pPr>
      <w:r>
        <w:t>L</w:t>
      </w:r>
      <w:r>
        <w:t xml:space="preserve">e critère d’évaluation principal sera l’évaluation de la qualité d’image en scintigraphie osseuse obtenue avec le nouveau collimateur LEHRS GE vs celle obtenue avec un collimateur standard LEHR Siemens, par deux médecins nucléaires experts. </w:t>
      </w:r>
    </w:p>
    <w:p w14:paraId="7FE4E88D" w14:textId="77777777" w:rsidR="008C2534" w:rsidRDefault="003A75A5">
      <w:pPr>
        <w:ind w:firstLine="567"/>
        <w:jc w:val="both"/>
      </w:pPr>
      <w:r>
        <w:t>Il n'existe pa</w:t>
      </w:r>
      <w:r>
        <w:t>s de critère standardisé d'évaluation de la qualité d'image en scintigraphie. Une image scintigraphique de bonne qualité (sensible et avec une bonne résolution spatiale) présentera une fixation osseuse de qualité, avec un faible bruit de fond, des surfaces</w:t>
      </w:r>
      <w:r>
        <w:t xml:space="preserve"> osseuses bien définies, ainsi qu'une bonne visualisation des espaces interosseux.</w:t>
      </w:r>
    </w:p>
    <w:p w14:paraId="7FE4E88E" w14:textId="77777777" w:rsidR="008C2534" w:rsidRDefault="003A75A5">
      <w:pPr>
        <w:ind w:firstLine="567"/>
        <w:jc w:val="both"/>
      </w:pPr>
      <w:r>
        <w:t>Nous utiliserons donc une échelle en 5 points, type Likert :</w:t>
      </w:r>
    </w:p>
    <w:p w14:paraId="7FE4E88F" w14:textId="77777777" w:rsidR="008C2534" w:rsidRDefault="003A75A5">
      <w:pPr>
        <w:ind w:left="1407" w:hanging="840"/>
        <w:jc w:val="both"/>
      </w:pPr>
      <w:r>
        <w:t xml:space="preserve">5 </w:t>
      </w:r>
      <w:r>
        <w:tab/>
        <w:t>Qualité diagnostique – Excellente qualité d’image et résolution (excellente fixation osseuse, bruit de fond q</w:t>
      </w:r>
      <w:r>
        <w:t>uasi-inexistant, bonne visualisation des surfaces osseuses et des espaces interosseux)</w:t>
      </w:r>
    </w:p>
    <w:p w14:paraId="7FE4E890" w14:textId="77777777" w:rsidR="008C2534" w:rsidRDefault="003A75A5">
      <w:pPr>
        <w:ind w:left="1407" w:hanging="840"/>
        <w:jc w:val="both"/>
      </w:pPr>
      <w:r>
        <w:t xml:space="preserve">4 </w:t>
      </w:r>
      <w:r>
        <w:tab/>
        <w:t>Qualité diagnostique – Bonne qualité d’image et résolution (bonne fixation osseuse, bruit de fond faible, bonne visualisation des surfaces osseuses et des espaces int</w:t>
      </w:r>
      <w:r>
        <w:t>erosseux)</w:t>
      </w:r>
      <w:r>
        <w:tab/>
      </w:r>
    </w:p>
    <w:p w14:paraId="7FE4E891" w14:textId="77777777" w:rsidR="008C2534" w:rsidRDefault="003A75A5">
      <w:pPr>
        <w:ind w:left="1407" w:hanging="840"/>
        <w:jc w:val="both"/>
      </w:pPr>
      <w:r>
        <w:t xml:space="preserve">3 </w:t>
      </w:r>
      <w:r>
        <w:tab/>
        <w:t>Qualité diagnostique –Qualité d’image et résolution acceptables (bonne fixation osseuse, bruit de fond modéré, visualisation plus floue des surfaces osseuses et des espaces interosseux)</w:t>
      </w:r>
    </w:p>
    <w:p w14:paraId="7FE4E892" w14:textId="77777777" w:rsidR="008C2534" w:rsidRDefault="003A75A5">
      <w:pPr>
        <w:ind w:left="1407" w:hanging="840"/>
        <w:jc w:val="both"/>
      </w:pPr>
      <w:r>
        <w:t xml:space="preserve">2 </w:t>
      </w:r>
      <w:r>
        <w:tab/>
        <w:t xml:space="preserve">Qualité sous-optimale – Information clinique limitée </w:t>
      </w:r>
      <w:r>
        <w:t>(faible fixation osseuse, bruit de fond modéré voire important, mauvaise visualisation des surfaces osseuses et des espaces interosseux)</w:t>
      </w:r>
      <w:r>
        <w:tab/>
      </w:r>
    </w:p>
    <w:p w14:paraId="7FE4E893" w14:textId="77777777" w:rsidR="008C2534" w:rsidRDefault="003A75A5">
      <w:pPr>
        <w:pStyle w:val="Paragraphedeliste"/>
        <w:numPr>
          <w:ilvl w:val="0"/>
          <w:numId w:val="28"/>
        </w:numPr>
        <w:jc w:val="both"/>
      </w:pPr>
      <w:r>
        <w:t>Qualité non diagnostique (mauvaise fixation osseuse voire quasi-absence de fixation osseuse, bruit de fond important)</w:t>
      </w:r>
    </w:p>
    <w:p w14:paraId="7FE4E894" w14:textId="77777777" w:rsidR="008C2534" w:rsidRDefault="003A75A5">
      <w:pPr>
        <w:pStyle w:val="Paragraphedeliste"/>
        <w:ind w:left="1407"/>
        <w:jc w:val="both"/>
      </w:pPr>
      <w:r>
        <w:t xml:space="preserve"> </w:t>
      </w:r>
    </w:p>
    <w:p w14:paraId="7FE4E895" w14:textId="77777777" w:rsidR="008C2534" w:rsidRDefault="008C2534">
      <w:pPr>
        <w:pStyle w:val="Paragraphedeliste"/>
        <w:ind w:left="1407"/>
        <w:jc w:val="both"/>
      </w:pPr>
    </w:p>
    <w:p w14:paraId="7FE4E896" w14:textId="77777777" w:rsidR="008C2534" w:rsidRDefault="003A75A5">
      <w:pPr>
        <w:pStyle w:val="Paragraphedeliste"/>
        <w:ind w:left="0" w:firstLine="567"/>
        <w:jc w:val="both"/>
      </w:pPr>
      <w:r>
        <w:t>Pour chaque patient, ce score sera établi pour chaque type d'image et pour chaque collimateur, à savoir le balayage corps entier, un cliché statique, la tomoscintigraphie (si réalisée).</w:t>
      </w:r>
    </w:p>
    <w:p w14:paraId="7FE4E897" w14:textId="77777777" w:rsidR="008C2534" w:rsidRDefault="008C2534">
      <w:pPr>
        <w:pStyle w:val="Paragraphedeliste"/>
        <w:ind w:left="0" w:firstLine="567"/>
        <w:jc w:val="both"/>
      </w:pPr>
    </w:p>
    <w:p w14:paraId="7FE4E898" w14:textId="77777777" w:rsidR="008C2534" w:rsidRDefault="003A75A5">
      <w:pPr>
        <w:pStyle w:val="Paragraphedeliste"/>
        <w:ind w:left="0" w:firstLine="567"/>
        <w:jc w:val="both"/>
      </w:pPr>
      <w:r>
        <w:t xml:space="preserve">Le pourcentage d’examens jugés de bonne qualité (scores 4 et </w:t>
      </w:r>
      <w:r>
        <w:t>5), sera comparé pour chaque collimateur et chaque type d’image.</w:t>
      </w:r>
    </w:p>
    <w:p w14:paraId="7FE4E899" w14:textId="77777777" w:rsidR="008C2534" w:rsidRDefault="003A75A5">
      <w:pPr>
        <w:pStyle w:val="Titre2"/>
      </w:pPr>
      <w:bookmarkStart w:id="27" w:name="_Toc505606792"/>
      <w:r>
        <w:t>Critères d’évaluation secondaires</w:t>
      </w:r>
      <w:bookmarkEnd w:id="27"/>
      <w:r>
        <w:t xml:space="preserve">  </w:t>
      </w:r>
    </w:p>
    <w:p w14:paraId="7FE4E89A" w14:textId="77777777" w:rsidR="008C2534" w:rsidRDefault="003A75A5">
      <w:pPr>
        <w:ind w:left="360" w:firstLine="240"/>
        <w:jc w:val="both"/>
      </w:pPr>
      <w:r>
        <w:t>Les critères d’évaluation secondaires seront :</w:t>
      </w:r>
    </w:p>
    <w:p w14:paraId="7FE4E89B" w14:textId="77777777" w:rsidR="008C2534" w:rsidRDefault="003A75A5">
      <w:pPr>
        <w:pStyle w:val="Paragraphedeliste"/>
        <w:numPr>
          <w:ilvl w:val="0"/>
          <w:numId w:val="25"/>
        </w:numPr>
        <w:jc w:val="both"/>
      </w:pPr>
      <w:r>
        <w:lastRenderedPageBreak/>
        <w:t>Des mesures physiques de performance des collimateurs sur objet-test de mesure.</w:t>
      </w:r>
    </w:p>
    <w:p w14:paraId="7FE4E89C" w14:textId="77777777" w:rsidR="008C2534" w:rsidRDefault="003A75A5">
      <w:pPr>
        <w:pStyle w:val="Paragraphedeliste"/>
        <w:numPr>
          <w:ilvl w:val="0"/>
          <w:numId w:val="25"/>
        </w:numPr>
        <w:jc w:val="both"/>
      </w:pPr>
      <w:r>
        <w:t>Une évaluation du rapport si</w:t>
      </w:r>
      <w:r>
        <w:t>gnal/bruit dans les images de scintigraphie osseuse (ratios de fixation sacro-iliaque / tissus mous sur le balayage corps entier) obtenues à l’aide des deux jeux de collimateurs.</w:t>
      </w:r>
    </w:p>
    <w:p w14:paraId="7FE4E89D" w14:textId="77777777" w:rsidR="008C2534" w:rsidRDefault="003A75A5">
      <w:pPr>
        <w:pStyle w:val="Paragraphedeliste"/>
        <w:numPr>
          <w:ilvl w:val="0"/>
          <w:numId w:val="25"/>
        </w:numPr>
        <w:jc w:val="both"/>
      </w:pPr>
      <w:r>
        <w:t>Une évaluation quantifiée (échelle de Likert) de la qualité d’image obtenue d</w:t>
      </w:r>
      <w:r>
        <w:t xml:space="preserve">ans les examens </w:t>
      </w:r>
      <w:proofErr w:type="spellStart"/>
      <w:r>
        <w:t>scintigraphiques</w:t>
      </w:r>
      <w:proofErr w:type="spellEnd"/>
      <w:r>
        <w:t xml:space="preserve"> pulmonaires, thyroïdiens, parathyroïdiens ou cérébraux au </w:t>
      </w:r>
      <w:proofErr w:type="spellStart"/>
      <w:r>
        <w:t>DaTSCAN</w:t>
      </w:r>
      <w:proofErr w:type="spellEnd"/>
      <w:r>
        <w:t>.</w:t>
      </w:r>
    </w:p>
    <w:p w14:paraId="7FE4E89E" w14:textId="77777777" w:rsidR="008C2534" w:rsidRDefault="003A75A5">
      <w:pPr>
        <w:pStyle w:val="Paragraphedeliste"/>
        <w:numPr>
          <w:ilvl w:val="0"/>
          <w:numId w:val="25"/>
        </w:numPr>
        <w:jc w:val="both"/>
      </w:pPr>
      <w:r>
        <w:t xml:space="preserve">Une évaluation du rapport signal/bruit dans les images de scintigraphie cérébrale au </w:t>
      </w:r>
      <w:proofErr w:type="spellStart"/>
      <w:r>
        <w:t>DaTSCAN</w:t>
      </w:r>
      <w:proofErr w:type="spellEnd"/>
      <w:r>
        <w:t xml:space="preserve">, en comparant les ratios de fixation </w:t>
      </w:r>
      <w:proofErr w:type="spellStart"/>
      <w:r>
        <w:t>striata</w:t>
      </w:r>
      <w:proofErr w:type="spellEnd"/>
      <w:r>
        <w:t xml:space="preserve">/occiput obtenus à </w:t>
      </w:r>
      <w:r>
        <w:t xml:space="preserve">l’aide des deux jeux de collimateurs, après analyse et segmentation automatique dans le logiciel </w:t>
      </w:r>
      <w:proofErr w:type="spellStart"/>
      <w:r>
        <w:t>DaTQUANT</w:t>
      </w:r>
      <w:proofErr w:type="spellEnd"/>
      <w:r>
        <w:t xml:space="preserve"> (GE).</w:t>
      </w:r>
    </w:p>
    <w:p w14:paraId="7FE4E89F" w14:textId="77777777" w:rsidR="008C2534" w:rsidRDefault="008C2534">
      <w:pPr>
        <w:pStyle w:val="Paragraphedeliste"/>
        <w:ind w:left="1080"/>
      </w:pPr>
    </w:p>
    <w:p w14:paraId="7FE4E8A0" w14:textId="77777777" w:rsidR="008C2534" w:rsidRDefault="003A75A5">
      <w:pPr>
        <w:pStyle w:val="Titre1"/>
      </w:pPr>
      <w:bookmarkStart w:id="28" w:name="_Toc505606793"/>
      <w:r>
        <w:t>Population de l’étude</w:t>
      </w:r>
      <w:bookmarkEnd w:id="28"/>
      <w:r>
        <w:t xml:space="preserve"> </w:t>
      </w:r>
    </w:p>
    <w:p w14:paraId="7FE4E8A1" w14:textId="77777777" w:rsidR="008C2534" w:rsidRDefault="003A75A5">
      <w:pPr>
        <w:pStyle w:val="Titre2"/>
      </w:pPr>
      <w:bookmarkStart w:id="29" w:name="_Toc505606794"/>
      <w:r>
        <w:t>Critères d’inclusion</w:t>
      </w:r>
      <w:bookmarkEnd w:id="29"/>
      <w:r>
        <w:t xml:space="preserve"> </w:t>
      </w:r>
    </w:p>
    <w:p w14:paraId="7FE4E8A2" w14:textId="77777777" w:rsidR="008C2534" w:rsidRDefault="003A75A5">
      <w:pPr>
        <w:ind w:firstLine="600"/>
        <w:jc w:val="both"/>
      </w:pPr>
      <w:r>
        <w:t>Tout patient adressé pour une scintigraphie osseuse, pulmonaire, thyroïdienne, parathyroïdienne ou</w:t>
      </w:r>
      <w:r>
        <w:t xml:space="preserve"> cérébrale au </w:t>
      </w:r>
      <w:proofErr w:type="spellStart"/>
      <w:r>
        <w:t>DaTSCAN</w:t>
      </w:r>
      <w:proofErr w:type="spellEnd"/>
      <w:r>
        <w:t>.</w:t>
      </w:r>
    </w:p>
    <w:p w14:paraId="7FE4E8A3" w14:textId="77777777" w:rsidR="008C2534" w:rsidRDefault="003A75A5">
      <w:pPr>
        <w:pStyle w:val="Titre2"/>
      </w:pPr>
      <w:bookmarkStart w:id="30" w:name="_Toc505606795"/>
      <w:r>
        <w:t>Critères de non-inclusion</w:t>
      </w:r>
      <w:bookmarkEnd w:id="30"/>
      <w:r>
        <w:t xml:space="preserve"> </w:t>
      </w:r>
    </w:p>
    <w:p w14:paraId="7FE4E8A4" w14:textId="77777777" w:rsidR="008C2534" w:rsidRDefault="003A75A5">
      <w:pPr>
        <w:pStyle w:val="Paragraphedeliste"/>
        <w:numPr>
          <w:ilvl w:val="0"/>
          <w:numId w:val="2"/>
        </w:numPr>
      </w:pPr>
      <w:r>
        <w:t>Mineurs,</w:t>
      </w:r>
    </w:p>
    <w:p w14:paraId="7FE4E8A5" w14:textId="77777777" w:rsidR="008C2534" w:rsidRDefault="003A75A5">
      <w:pPr>
        <w:pStyle w:val="Paragraphedeliste"/>
        <w:numPr>
          <w:ilvl w:val="0"/>
          <w:numId w:val="2"/>
        </w:numPr>
      </w:pPr>
      <w:r>
        <w:t>Femmes enceintes ou à risque de grossesse (un dosage plasmatique de béta-HCG sera réalisé dans les 48h précédant l’examen pour les patientes en seconde partie de cycle, en l’absence de contraceptio</w:t>
      </w:r>
      <w:r>
        <w:t xml:space="preserve">n efficace), </w:t>
      </w:r>
    </w:p>
    <w:p w14:paraId="7FE4E8A6" w14:textId="77777777" w:rsidR="008C2534" w:rsidRDefault="003A75A5">
      <w:pPr>
        <w:pStyle w:val="Paragraphedeliste"/>
        <w:numPr>
          <w:ilvl w:val="0"/>
          <w:numId w:val="2"/>
        </w:numPr>
      </w:pPr>
      <w:r>
        <w:t xml:space="preserve">Patients souffrant d’insuffisance rénale connue, </w:t>
      </w:r>
    </w:p>
    <w:p w14:paraId="7FE4E8A7" w14:textId="77777777" w:rsidR="008C2534" w:rsidRDefault="003A75A5">
      <w:pPr>
        <w:pStyle w:val="Paragraphedeliste"/>
        <w:numPr>
          <w:ilvl w:val="0"/>
          <w:numId w:val="2"/>
        </w:numPr>
      </w:pPr>
      <w:r>
        <w:t xml:space="preserve">Patients </w:t>
      </w:r>
      <w:commentRangeStart w:id="31"/>
      <w:r>
        <w:t>algiques</w:t>
      </w:r>
      <w:commentRangeEnd w:id="31"/>
      <w:r>
        <w:rPr>
          <w:rStyle w:val="Marquedecommentaire"/>
          <w:rFonts w:ascii="Times New Roman" w:eastAsia="Times New Roman" w:hAnsi="Times New Roman" w:cs="Times New Roman"/>
          <w:lang w:eastAsia="fr-FR"/>
        </w:rPr>
        <w:commentReference w:id="31"/>
      </w:r>
      <w:r>
        <w:t xml:space="preserve">, ayant une EVA &gt;4, </w:t>
      </w:r>
    </w:p>
    <w:p w14:paraId="7FE4E8A8" w14:textId="77777777" w:rsidR="008C2534" w:rsidRDefault="003A75A5">
      <w:pPr>
        <w:pStyle w:val="Paragraphedeliste"/>
        <w:numPr>
          <w:ilvl w:val="0"/>
          <w:numId w:val="2"/>
        </w:numPr>
      </w:pPr>
      <w:r>
        <w:t>Patients ne pouvant bénéficier d’un examen scintigraphique standard de bonne qualité</w:t>
      </w:r>
      <w:r>
        <w:rPr>
          <w:color w:val="FF0000"/>
        </w:rPr>
        <w:t xml:space="preserve"> </w:t>
      </w:r>
      <w:r>
        <w:t>(patients agités …)</w:t>
      </w:r>
    </w:p>
    <w:p w14:paraId="7FE4E8A9" w14:textId="77777777" w:rsidR="008C2534" w:rsidRDefault="003A75A5">
      <w:pPr>
        <w:pStyle w:val="Paragraphedeliste"/>
        <w:numPr>
          <w:ilvl w:val="0"/>
          <w:numId w:val="2"/>
        </w:numPr>
      </w:pPr>
      <w:r>
        <w:t>Personne sous tutelle ou sous curatelle</w:t>
      </w:r>
    </w:p>
    <w:p w14:paraId="7FE4E8AA" w14:textId="77777777" w:rsidR="008C2534" w:rsidRDefault="003A75A5">
      <w:pPr>
        <w:pStyle w:val="Titre2"/>
      </w:pPr>
      <w:bookmarkStart w:id="32" w:name="_Toc505606796"/>
      <w:r>
        <w:t>Modali</w:t>
      </w:r>
      <w:r>
        <w:t>tés de recrutement</w:t>
      </w:r>
      <w:bookmarkEnd w:id="32"/>
    </w:p>
    <w:p w14:paraId="7FE4E8AB" w14:textId="77777777" w:rsidR="008C2534" w:rsidRDefault="003A75A5">
      <w:pPr>
        <w:ind w:firstLine="600"/>
        <w:jc w:val="both"/>
      </w:pPr>
      <w:r>
        <w:t xml:space="preserve">Tout patient externe ou hospitalisé « valide », adressé pour une scintigraphie osseuse, pulmonaire, thyroïdienne, parathyroïdienne ou cérébrale au </w:t>
      </w:r>
      <w:proofErr w:type="spellStart"/>
      <w:r>
        <w:t>DaTSCAN</w:t>
      </w:r>
      <w:proofErr w:type="spellEnd"/>
      <w:r>
        <w:t>, recevra avec sa convocation la notice d'information de l'étude.</w:t>
      </w:r>
    </w:p>
    <w:p w14:paraId="7FE4E8AC" w14:textId="77777777" w:rsidR="008C2534" w:rsidRDefault="003A75A5">
      <w:pPr>
        <w:ind w:firstLine="600"/>
        <w:jc w:val="both"/>
      </w:pPr>
      <w:r>
        <w:t>Le patient sera vu par un médecin nu</w:t>
      </w:r>
      <w:r>
        <w:t xml:space="preserve">cléaire de l’équipe dès son arrivée dans le service de médecine nucléaire, avant sa prise en charge. Le protocole de l’étude et les différentes informations lui seront alors expliqués. </w:t>
      </w:r>
    </w:p>
    <w:p w14:paraId="7FE4E8AD" w14:textId="77777777" w:rsidR="008C2534" w:rsidRDefault="003A75A5">
      <w:pPr>
        <w:ind w:firstLine="600"/>
        <w:jc w:val="both"/>
      </w:pPr>
      <w:r>
        <w:t xml:space="preserve">Les documents informatifs seront laissés au patient qui pourra continuer d’en prendre connaissance, de manière plus approfondie, pendant le temps d'attente avant la réalisation des acquisitions de l'examen (environ 2 heures après l’injection du médicament </w:t>
      </w:r>
      <w:proofErr w:type="spellStart"/>
      <w:r>
        <w:t>radiopharmaceutique</w:t>
      </w:r>
      <w:proofErr w:type="spellEnd"/>
      <w:r>
        <w:t xml:space="preserve">). </w:t>
      </w:r>
    </w:p>
    <w:p w14:paraId="7FE4E8AE" w14:textId="77777777" w:rsidR="008C2534" w:rsidRDefault="003A75A5">
      <w:pPr>
        <w:ind w:firstLine="600"/>
        <w:jc w:val="both"/>
      </w:pPr>
      <w:r>
        <w:lastRenderedPageBreak/>
        <w:t>Si au terme de cette période de réflexion additionnelle, le patient accepte toujours de participer l'étude, sa fiche de consentement sera recueillie par le manipulateur, qui la classera dans le dossier de l'étude. En cas de refus, l’</w:t>
      </w:r>
      <w:r>
        <w:t>examen standard sera réalisé et le patient ne participera pas à l’étude.</w:t>
      </w:r>
    </w:p>
    <w:p w14:paraId="7FE4E8AF" w14:textId="77777777" w:rsidR="008C2534" w:rsidRDefault="003A75A5">
      <w:pPr>
        <w:pStyle w:val="Titre2"/>
      </w:pPr>
      <w:bookmarkStart w:id="33" w:name="_Toc505606797"/>
      <w:r>
        <w:t>Bénéfice / risque</w:t>
      </w:r>
      <w:bookmarkEnd w:id="33"/>
      <w:r>
        <w:t xml:space="preserve">  </w:t>
      </w:r>
    </w:p>
    <w:p w14:paraId="7FE4E8B0" w14:textId="77777777" w:rsidR="008C2534" w:rsidRDefault="003A75A5">
      <w:pPr>
        <w:ind w:firstLine="567"/>
        <w:jc w:val="both"/>
      </w:pPr>
      <w:r>
        <w:t>La participation à cette étude n'engendre aucun risque supplémentaire pour le patient, puisque la réalisation de la 2</w:t>
      </w:r>
      <w:r>
        <w:rPr>
          <w:vertAlign w:val="superscript"/>
        </w:rPr>
        <w:t>ème</w:t>
      </w:r>
      <w:r>
        <w:t xml:space="preserve"> scintigraphie n’entraine pas de modificati</w:t>
      </w:r>
      <w:r>
        <w:t xml:space="preserve">on de la posologie, du mode et de la fréquence (injection unique) d’administration du médicament </w:t>
      </w:r>
      <w:proofErr w:type="spellStart"/>
      <w:r>
        <w:t>radiopharmaceutique</w:t>
      </w:r>
      <w:proofErr w:type="spellEnd"/>
      <w:r>
        <w:t xml:space="preserve"> injecté.</w:t>
      </w:r>
    </w:p>
    <w:p w14:paraId="7FE4E8B1" w14:textId="77777777" w:rsidR="008C2534" w:rsidRDefault="003A75A5">
      <w:pPr>
        <w:ind w:firstLine="567"/>
        <w:jc w:val="both"/>
      </w:pPr>
      <w:r>
        <w:t>Le patient bénéficiera d’une vraisemblable amélioration de la qualité d’image de son examen et d’une relecture de l’examen par 2 m</w:t>
      </w:r>
      <w:r>
        <w:t>édecins experts. La seule contrainte pour le patient sera une durée d’examen allongée de 15 à 30 minutes, par rapport à un examen « standard », sans autre acte invasif ou irradiation supplémentaire.</w:t>
      </w:r>
    </w:p>
    <w:p w14:paraId="7FE4E8B2" w14:textId="77777777" w:rsidR="008C2534" w:rsidRDefault="003A75A5">
      <w:pPr>
        <w:ind w:firstLine="567"/>
        <w:jc w:val="both"/>
      </w:pPr>
      <w:r>
        <w:t>A titre collectif, l’amélioration de la qualité d’image d</w:t>
      </w:r>
      <w:r>
        <w:t xml:space="preserve">es examens </w:t>
      </w:r>
      <w:proofErr w:type="spellStart"/>
      <w:r>
        <w:t>scintigraphiques</w:t>
      </w:r>
      <w:proofErr w:type="spellEnd"/>
      <w:r>
        <w:t xml:space="preserve"> avec ce collimateur pourrait permettre de réduire la durée d’examen et/ou l’activité injectée de médicament radio-pharmaceutique (amélioration de la dosimétrie patient).</w:t>
      </w:r>
    </w:p>
    <w:p w14:paraId="7FE4E8B3" w14:textId="77777777" w:rsidR="008C2534" w:rsidRDefault="008C2534">
      <w:pPr>
        <w:ind w:firstLine="567"/>
        <w:jc w:val="both"/>
      </w:pPr>
    </w:p>
    <w:p w14:paraId="7FE4E8B4" w14:textId="77777777" w:rsidR="008C2534" w:rsidRDefault="003A75A5">
      <w:pPr>
        <w:pStyle w:val="Titre1"/>
      </w:pPr>
      <w:bookmarkStart w:id="34" w:name="_Toc505606798"/>
      <w:r>
        <w:t>Conception de la recherche</w:t>
      </w:r>
      <w:bookmarkEnd w:id="34"/>
      <w:r>
        <w:t xml:space="preserve"> </w:t>
      </w:r>
    </w:p>
    <w:p w14:paraId="7FE4E8B5" w14:textId="77777777" w:rsidR="008C2534" w:rsidRDefault="003A75A5">
      <w:pPr>
        <w:pStyle w:val="Titre2"/>
      </w:pPr>
      <w:bookmarkStart w:id="35" w:name="_Toc505606799"/>
      <w:r>
        <w:t>Méthodologie de la recherche</w:t>
      </w:r>
      <w:bookmarkEnd w:id="35"/>
      <w:r>
        <w:t xml:space="preserve"> </w:t>
      </w:r>
    </w:p>
    <w:p w14:paraId="7FE4E8B6" w14:textId="77777777" w:rsidR="008C2534" w:rsidRDefault="003A75A5">
      <w:pPr>
        <w:ind w:firstLine="600"/>
        <w:jc w:val="both"/>
      </w:pPr>
      <w:proofErr w:type="spellStart"/>
      <w:r>
        <w:t>Etude</w:t>
      </w:r>
      <w:proofErr w:type="spellEnd"/>
      <w:r>
        <w:t xml:space="preserve"> </w:t>
      </w:r>
      <w:proofErr w:type="spellStart"/>
      <w:r>
        <w:t>monocentrique</w:t>
      </w:r>
      <w:proofErr w:type="spellEnd"/>
      <w:r>
        <w:t>, comparative, de non infériorité, avec comparaisons intra-patients (acquisition contrôle sur le collimateur de référence LEHR Siemens, pour chaque patient).</w:t>
      </w:r>
    </w:p>
    <w:p w14:paraId="7FE4E8B7" w14:textId="77777777" w:rsidR="008C2534" w:rsidRDefault="003A75A5">
      <w:pPr>
        <w:ind w:firstLine="600"/>
        <w:jc w:val="both"/>
      </w:pPr>
      <w:r>
        <w:t>Interprétation de la qualité des images en double insu.</w:t>
      </w:r>
    </w:p>
    <w:p w14:paraId="7FE4E8B8" w14:textId="77777777" w:rsidR="008C2534" w:rsidRDefault="003A75A5">
      <w:pPr>
        <w:pStyle w:val="Titre2"/>
      </w:pPr>
      <w:bookmarkStart w:id="36" w:name="_Toc505606800"/>
      <w:r>
        <w:t>Procédures spécifiques</w:t>
      </w:r>
      <w:r>
        <w:t xml:space="preserve"> à La recherche</w:t>
      </w:r>
      <w:bookmarkEnd w:id="36"/>
    </w:p>
    <w:p w14:paraId="7FE4E8B9" w14:textId="77777777" w:rsidR="008C2534" w:rsidRDefault="003A75A5">
      <w:pPr>
        <w:ind w:firstLine="567"/>
        <w:jc w:val="both"/>
      </w:pPr>
      <w:r>
        <w:t xml:space="preserve">La prise en charge des patients inclus dans cette étude est calquée sur la prise en charge standard conventionnelle. </w:t>
      </w:r>
    </w:p>
    <w:p w14:paraId="7FE4E8BA" w14:textId="77777777" w:rsidR="008C2534" w:rsidRDefault="003A75A5">
      <w:pPr>
        <w:ind w:firstLine="567"/>
        <w:jc w:val="both"/>
      </w:pPr>
      <w:r>
        <w:t xml:space="preserve">Il sera simplement réalisé, avec le médicament </w:t>
      </w:r>
      <w:proofErr w:type="spellStart"/>
      <w:r>
        <w:t>radiopharmaceutique</w:t>
      </w:r>
      <w:proofErr w:type="spellEnd"/>
      <w:r>
        <w:t xml:space="preserve"> déjà injecté pour l’examen standard, un nombre de clich</w:t>
      </w:r>
      <w:r>
        <w:t xml:space="preserve">és plus importants (réalisés avec le jeu de deux collimateurs à évaluer), mais sans irradiation complémentaire. </w:t>
      </w:r>
    </w:p>
    <w:p w14:paraId="7FE4E8BB" w14:textId="77777777" w:rsidR="008C2534" w:rsidRDefault="003A75A5">
      <w:pPr>
        <w:ind w:firstLine="567"/>
        <w:jc w:val="both"/>
      </w:pPr>
      <w:r>
        <w:t>En cas de tomoscintigraphie couplée à la TDM réalisée pour l’examen standard (selon l’indication clinique de l’examen), seule une acquisition T</w:t>
      </w:r>
      <w:r>
        <w:t>DM sera réalisée pour les deux tomoscintigraphies avec des collimateurs différents.</w:t>
      </w:r>
    </w:p>
    <w:p w14:paraId="7FE4E8BC" w14:textId="77777777" w:rsidR="008C2534" w:rsidRDefault="003A75A5">
      <w:pPr>
        <w:pStyle w:val="Titre2"/>
      </w:pPr>
      <w:bookmarkStart w:id="37" w:name="_Toc505606801"/>
      <w:r>
        <w:lastRenderedPageBreak/>
        <w:t>Déroulement de l’étude</w:t>
      </w:r>
      <w:bookmarkEnd w:id="37"/>
      <w:r>
        <w:t xml:space="preserve"> </w:t>
      </w:r>
    </w:p>
    <w:p w14:paraId="7FE4E8BD" w14:textId="77777777" w:rsidR="008C2534" w:rsidRDefault="003A75A5">
      <w:pPr>
        <w:pStyle w:val="Titre3"/>
      </w:pPr>
      <w:r>
        <w:t xml:space="preserve">Inclusion </w:t>
      </w:r>
    </w:p>
    <w:p w14:paraId="7FE4E8BE" w14:textId="77777777" w:rsidR="008C2534" w:rsidRDefault="003A75A5">
      <w:pPr>
        <w:ind w:firstLine="708"/>
        <w:jc w:val="both"/>
      </w:pPr>
      <w:r>
        <w:t>Les critères d’inclusion et de non inclusion seront vérifiés lors d’une consultation médicale avec le patient. Cette consultation sera ré</w:t>
      </w:r>
      <w:r>
        <w:t xml:space="preserve">alisée dès l’arrivée dans le service ou, au plus tard, avant la réalisation des acquisitions tardives (environ 2h après l’injection de l’examen standard prescrit). </w:t>
      </w:r>
    </w:p>
    <w:p w14:paraId="7FE4E8BF" w14:textId="77777777" w:rsidR="008C2534" w:rsidRDefault="003A75A5">
      <w:pPr>
        <w:ind w:firstLine="708"/>
        <w:jc w:val="both"/>
      </w:pPr>
      <w:r>
        <w:t xml:space="preserve">L’information et le recueil du consentement seront réalisés au cours de cette consultation </w:t>
      </w:r>
      <w:r>
        <w:t xml:space="preserve">avec un des médecins du service. Au cours de cette consultation, seront également vérifiés les différents critères d'inclusion et de non-inclusion. </w:t>
      </w:r>
    </w:p>
    <w:p w14:paraId="7FE4E8C0" w14:textId="77777777" w:rsidR="008C2534" w:rsidRDefault="003A75A5">
      <w:pPr>
        <w:ind w:firstLine="708"/>
        <w:jc w:val="both"/>
      </w:pPr>
      <w:r>
        <w:t>Après un délai de réflexion, en cas de participation à cette étude, les différents documents seront colligé</w:t>
      </w:r>
      <w:r>
        <w:t xml:space="preserve">s dans le dossier du patient, au plus tard avant la réalisation des clichés tardifs de l’examen standard de scintigraphie. </w:t>
      </w:r>
    </w:p>
    <w:p w14:paraId="7FE4E8C1" w14:textId="77777777" w:rsidR="008C2534" w:rsidRDefault="003A75A5">
      <w:pPr>
        <w:ind w:firstLine="708"/>
        <w:jc w:val="both"/>
      </w:pPr>
      <w:r>
        <w:t>À tout moment, le patient pourra, s’il le manifeste, quitter l'étude. Dans ce cas, seuls des acquisitions nécessaires à l'examen sta</w:t>
      </w:r>
      <w:r>
        <w:t>ndard seront réalisés.</w:t>
      </w:r>
    </w:p>
    <w:p w14:paraId="7FE4E8C2" w14:textId="77777777" w:rsidR="008C2534" w:rsidRDefault="008C2534">
      <w:pPr>
        <w:rPr>
          <w:i/>
          <w:color w:val="008000"/>
        </w:rPr>
      </w:pPr>
    </w:p>
    <w:p w14:paraId="7FE4E8C3" w14:textId="77777777" w:rsidR="008C2534" w:rsidRDefault="003A75A5">
      <w:pPr>
        <w:pStyle w:val="Titre3"/>
      </w:pPr>
      <w:r>
        <w:t xml:space="preserve">Suivi des patients </w:t>
      </w:r>
    </w:p>
    <w:p w14:paraId="7FE4E8C4" w14:textId="77777777" w:rsidR="008C2534" w:rsidRDefault="003A75A5">
      <w:r>
        <w:t>Aucun suivi des patients, autre que celui nécessaire pour la pathologie explorée en scintigraphie standard, ne sera nécessaire à l’étude.</w:t>
      </w:r>
    </w:p>
    <w:p w14:paraId="7FE4E8C5" w14:textId="77777777" w:rsidR="008C2534" w:rsidRDefault="008C2534">
      <w:pPr>
        <w:jc w:val="both"/>
        <w:rPr>
          <w:i/>
          <w:color w:val="008000"/>
        </w:rPr>
      </w:pPr>
    </w:p>
    <w:p w14:paraId="7FE4E8C6" w14:textId="77777777" w:rsidR="008C2534" w:rsidRDefault="003A75A5">
      <w:pPr>
        <w:pStyle w:val="Titre2"/>
      </w:pPr>
      <w:bookmarkStart w:id="38" w:name="_Toc505606802"/>
      <w:r>
        <w:t>Durée de la recherche</w:t>
      </w:r>
      <w:bookmarkEnd w:id="38"/>
      <w:r>
        <w:t xml:space="preserve"> </w:t>
      </w:r>
    </w:p>
    <w:p w14:paraId="7FE4E8C7" w14:textId="77777777" w:rsidR="008C2534" w:rsidRDefault="003A75A5">
      <w:r>
        <w:t xml:space="preserve">La période d’inclusion se déroulera sur une </w:t>
      </w:r>
      <w:r>
        <w:t>durée de 12 mois après l’avis favorable du CPP pour la réalisation de l’étude et la mise à disposition du matériel (collimateur …).</w:t>
      </w:r>
    </w:p>
    <w:p w14:paraId="7FE4E8C8" w14:textId="77777777" w:rsidR="008C2534" w:rsidRDefault="003A75A5">
      <w:r>
        <w:rPr>
          <w:noProof/>
          <w:lang w:eastAsia="fr-FR"/>
        </w:rPr>
        <w:drawing>
          <wp:anchor distT="0" distB="0" distL="114300" distR="114300" simplePos="0" relativeHeight="251662336" behindDoc="1" locked="0" layoutInCell="1" allowOverlap="1" wp14:anchorId="7FE4E9B5" wp14:editId="7FE4E9B6">
            <wp:simplePos x="0" y="0"/>
            <wp:positionH relativeFrom="column">
              <wp:posOffset>-495300</wp:posOffset>
            </wp:positionH>
            <wp:positionV relativeFrom="paragraph">
              <wp:posOffset>734695</wp:posOffset>
            </wp:positionV>
            <wp:extent cx="6830060" cy="3310255"/>
            <wp:effectExtent l="0" t="0" r="8890" b="444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ocole acquisition étude GE.jpg"/>
                    <pic:cNvPicPr/>
                  </pic:nvPicPr>
                  <pic:blipFill>
                    <a:blip r:embed="rId12">
                      <a:extLst>
                        <a:ext uri="{28A0092B-C50C-407E-A947-70E740481C1C}">
                          <a14:useLocalDpi xmlns:a14="http://schemas.microsoft.com/office/drawing/2010/main" val="0"/>
                        </a:ext>
                      </a:extLst>
                    </a:blip>
                    <a:stretch>
                      <a:fillRect/>
                    </a:stretch>
                  </pic:blipFill>
                  <pic:spPr>
                    <a:xfrm>
                      <a:off x="0" y="0"/>
                      <a:ext cx="6830060" cy="3310255"/>
                    </a:xfrm>
                    <a:prstGeom prst="rect">
                      <a:avLst/>
                    </a:prstGeom>
                  </pic:spPr>
                </pic:pic>
              </a:graphicData>
            </a:graphic>
            <wp14:sizeRelH relativeFrom="page">
              <wp14:pctWidth>0</wp14:pctWidth>
            </wp14:sizeRelH>
            <wp14:sizeRelV relativeFrom="page">
              <wp14:pctHeight>0</wp14:pctHeight>
            </wp14:sizeRelV>
          </wp:anchor>
        </w:drawing>
      </w:r>
      <w:r>
        <w:t>La durée totale de participation pour le patient ne dépassera pas la demi-journée.</w:t>
      </w:r>
    </w:p>
    <w:p w14:paraId="7FE4E8C9" w14:textId="77777777" w:rsidR="008C2534" w:rsidRDefault="003A75A5">
      <w:pPr>
        <w:pStyle w:val="Titre2"/>
      </w:pPr>
      <w:bookmarkStart w:id="39" w:name="_Toc505606803"/>
      <w:r>
        <w:lastRenderedPageBreak/>
        <w:t>Mesure prises pour réduire et éviter les</w:t>
      </w:r>
      <w:r>
        <w:t xml:space="preserve"> biais</w:t>
      </w:r>
      <w:bookmarkEnd w:id="39"/>
    </w:p>
    <w:p w14:paraId="7FE4E8CA" w14:textId="77777777" w:rsidR="008C2534" w:rsidRDefault="003A75A5">
      <w:pPr>
        <w:pStyle w:val="Titre3"/>
      </w:pPr>
      <w:r>
        <w:t xml:space="preserve">Tirage au sort </w:t>
      </w:r>
    </w:p>
    <w:p w14:paraId="7FE4E8CB" w14:textId="77777777" w:rsidR="008C2534" w:rsidRDefault="003A75A5">
      <w:pPr>
        <w:spacing w:after="0"/>
        <w:jc w:val="both"/>
      </w:pPr>
      <w:r>
        <w:t>Il ne sera pas réalisé de tirage au sort car l’examen standard sera toujours réalisé en premier afin de ne pas entrainer de perte de chance si l’examen devait être arrêté (patient algique …). Ceci laisse également la possibilité au p</w:t>
      </w:r>
      <w:r>
        <w:t>atient de refuser la participation à l’étude à la fin de son examen standard.</w:t>
      </w:r>
    </w:p>
    <w:p w14:paraId="7FE4E8CC" w14:textId="77777777" w:rsidR="008C2534" w:rsidRDefault="003A75A5">
      <w:pPr>
        <w:spacing w:after="0"/>
        <w:jc w:val="both"/>
      </w:pPr>
      <w:r>
        <w:t>Le protocole sera adapté pour compenser le délai entre les deux examens (augmentation de la durée d’acquisition proportionnellement à la décroissance radioactive).</w:t>
      </w:r>
    </w:p>
    <w:p w14:paraId="7FE4E8CD" w14:textId="77777777" w:rsidR="008C2534" w:rsidRDefault="003A75A5">
      <w:pPr>
        <w:spacing w:after="0"/>
        <w:jc w:val="both"/>
      </w:pPr>
      <w:r>
        <w:t>L’inclusion de</w:t>
      </w:r>
      <w:r>
        <w:t xml:space="preserve">s patients se fera de façon consécutive. Le patient réalisera donc ses images en premier de façon aléatoire sur la caméra GE, équipée du collimateur LEHRS, ou sur la caméra Siemens, avec collimateur LEHR, en fonction de son créneau de rendez-vous initial. </w:t>
      </w:r>
      <w:r>
        <w:t>Cependant, lorsque 50% de l'effectif aura été réalisée sur une des deux caméras, les inclusions se poursuivront uniquement sur l'autre caméra.</w:t>
      </w:r>
    </w:p>
    <w:p w14:paraId="7FE4E8CE" w14:textId="77777777" w:rsidR="008C2534" w:rsidRDefault="003A75A5">
      <w:pPr>
        <w:spacing w:after="0"/>
        <w:jc w:val="both"/>
      </w:pPr>
      <w:r>
        <w:t>Outre la correction de la décroissance radioactive sus-décrite, cette répartition permettra de s’affranchir de l’</w:t>
      </w:r>
      <w:r>
        <w:t xml:space="preserve">augmentation de captation osseuse du </w:t>
      </w:r>
      <w:proofErr w:type="spellStart"/>
      <w:r>
        <w:t>radiopharmaceutique</w:t>
      </w:r>
      <w:proofErr w:type="spellEnd"/>
      <w:r>
        <w:t xml:space="preserve"> avec le temps.</w:t>
      </w:r>
    </w:p>
    <w:p w14:paraId="7FE4E8CF" w14:textId="77777777" w:rsidR="008C2534" w:rsidRDefault="008C2534">
      <w:pPr>
        <w:spacing w:after="0"/>
        <w:jc w:val="both"/>
      </w:pPr>
    </w:p>
    <w:p w14:paraId="7FE4E8D0" w14:textId="77777777" w:rsidR="008C2534" w:rsidRDefault="003A75A5">
      <w:pPr>
        <w:pStyle w:val="Titre3"/>
      </w:pPr>
      <w:r>
        <w:t>Méthode de mise en insu</w:t>
      </w:r>
    </w:p>
    <w:p w14:paraId="7FE4E8D1" w14:textId="77777777" w:rsidR="008C2534" w:rsidRDefault="008C2534">
      <w:pPr>
        <w:spacing w:after="0"/>
        <w:jc w:val="both"/>
      </w:pPr>
    </w:p>
    <w:p w14:paraId="7FE4E8D2" w14:textId="77777777" w:rsidR="008C2534" w:rsidRDefault="003A75A5">
      <w:pPr>
        <w:pStyle w:val="Paragraphedeliste"/>
        <w:jc w:val="both"/>
      </w:pPr>
      <w:r>
        <w:t xml:space="preserve">Les données d’imagerie seront </w:t>
      </w:r>
      <w:proofErr w:type="spellStart"/>
      <w:r>
        <w:t>anonymisées</w:t>
      </w:r>
      <w:proofErr w:type="spellEnd"/>
      <w:r>
        <w:t>, par une personne qui ne fera pas partie des relecteur des images, pour faire disparaître, des champs DICOM de l’ima</w:t>
      </w:r>
      <w:r>
        <w:t>ge (métadonnées), toutes les informations relatives à l’identité du patient. Un numéro d'anomalie limitation sera attribuée à chaque patient, au moyen d'une table de randomisation. La correspondance identité du patient – numéro d’anonymisation sera recueil</w:t>
      </w:r>
      <w:r>
        <w:t>lie dans une base de données spécifique.</w:t>
      </w:r>
    </w:p>
    <w:p w14:paraId="7FE4E8D3" w14:textId="77777777" w:rsidR="008C2534" w:rsidRDefault="003A75A5">
      <w:pPr>
        <w:pStyle w:val="Paragraphedeliste"/>
        <w:jc w:val="both"/>
      </w:pPr>
      <w:r>
        <w:t xml:space="preserve">La lecture des images sera réalisée à la fin des inclusions, en insu, à partir des données </w:t>
      </w:r>
      <w:proofErr w:type="spellStart"/>
      <w:r>
        <w:t>anonymisées</w:t>
      </w:r>
      <w:proofErr w:type="spellEnd"/>
      <w:r>
        <w:t>, par deux médecins séniors, sur console de post-traitement. La méthode d’anonymisation ne permettra pas d'identi</w:t>
      </w:r>
      <w:r>
        <w:t>fier ni l’identité du patient, ni le type d'appareil utilisé (collimateur LEHR ou LEHRS).</w:t>
      </w:r>
    </w:p>
    <w:p w14:paraId="7FE4E8D4" w14:textId="77777777" w:rsidR="008C2534" w:rsidRDefault="008C2534">
      <w:pPr>
        <w:spacing w:after="0"/>
        <w:jc w:val="both"/>
      </w:pPr>
    </w:p>
    <w:p w14:paraId="7FE4E8D5" w14:textId="77777777" w:rsidR="008C2534" w:rsidRDefault="003A75A5">
      <w:pPr>
        <w:pStyle w:val="Titre2"/>
      </w:pPr>
      <w:bookmarkStart w:id="40" w:name="_Toc505606804"/>
      <w:r>
        <w:t xml:space="preserve">Données recueillies dans le cahier d’observation </w:t>
      </w:r>
      <w:bookmarkEnd w:id="40"/>
    </w:p>
    <w:p w14:paraId="7FE4E8D6" w14:textId="77777777" w:rsidR="008C2534" w:rsidRDefault="003A75A5">
      <w:pPr>
        <w:pStyle w:val="Paragraphedeliste"/>
        <w:numPr>
          <w:ilvl w:val="0"/>
          <w:numId w:val="26"/>
        </w:numPr>
        <w:jc w:val="both"/>
      </w:pPr>
      <w:r>
        <w:t>Données liées au patient : âge, sexe, poids, IMC.</w:t>
      </w:r>
    </w:p>
    <w:p w14:paraId="7FE4E8D7" w14:textId="77777777" w:rsidR="008C2534" w:rsidRDefault="003A75A5">
      <w:pPr>
        <w:pStyle w:val="Paragraphedeliste"/>
        <w:numPr>
          <w:ilvl w:val="0"/>
          <w:numId w:val="26"/>
        </w:numPr>
        <w:jc w:val="both"/>
      </w:pPr>
      <w:r>
        <w:t xml:space="preserve">Données liées au médicament </w:t>
      </w:r>
      <w:proofErr w:type="spellStart"/>
      <w:r>
        <w:t>radiopharmaceutique</w:t>
      </w:r>
      <w:proofErr w:type="spellEnd"/>
      <w:r>
        <w:t> : libellé du médi</w:t>
      </w:r>
      <w:r>
        <w:t xml:space="preserve">cament </w:t>
      </w:r>
      <w:proofErr w:type="spellStart"/>
      <w:r>
        <w:t>radiopharmaceutique</w:t>
      </w:r>
      <w:proofErr w:type="spellEnd"/>
      <w:r>
        <w:t>, activité injectée, heure et site d’injection.</w:t>
      </w:r>
    </w:p>
    <w:p w14:paraId="7FE4E8D8" w14:textId="77777777" w:rsidR="008C2534" w:rsidRDefault="003A75A5">
      <w:pPr>
        <w:pStyle w:val="Paragraphedeliste"/>
        <w:numPr>
          <w:ilvl w:val="0"/>
          <w:numId w:val="26"/>
        </w:numPr>
        <w:jc w:val="both"/>
      </w:pPr>
      <w:r>
        <w:t>Données liées aux acquisitions : horaires d’acquisition, paramètres physiques (pic énergétique, fenêtrage, durée d’acquisition, temps par projection et nombre de projections si tomos</w:t>
      </w:r>
      <w:r>
        <w:t>cintigraphie…)</w:t>
      </w:r>
    </w:p>
    <w:p w14:paraId="7FE4E8D9" w14:textId="77777777" w:rsidR="008C2534" w:rsidRDefault="008C2534">
      <w:pPr>
        <w:pStyle w:val="Paragraphedeliste"/>
        <w:jc w:val="both"/>
      </w:pPr>
    </w:p>
    <w:p w14:paraId="7FE4E8DA" w14:textId="77777777" w:rsidR="008C2534" w:rsidRDefault="008C2534">
      <w:pPr>
        <w:pStyle w:val="Paragraphedeliste"/>
        <w:jc w:val="both"/>
      </w:pPr>
    </w:p>
    <w:p w14:paraId="7FE4E8DB" w14:textId="77777777" w:rsidR="008C2534" w:rsidRDefault="003A75A5">
      <w:pPr>
        <w:pStyle w:val="Paragraphedeliste"/>
        <w:jc w:val="both"/>
      </w:pPr>
      <w:r>
        <w:t>Comme pour l’examen standard, les données d’imagerie de l’étude seront stockées et archivées dans le PACS de l’établissement.</w:t>
      </w:r>
    </w:p>
    <w:p w14:paraId="7FE4E8DC" w14:textId="77777777" w:rsidR="008C2534" w:rsidRDefault="008C2534">
      <w:pPr>
        <w:rPr>
          <w:i/>
          <w:color w:val="008000"/>
        </w:rPr>
      </w:pPr>
    </w:p>
    <w:p w14:paraId="7FE4E8DD" w14:textId="77777777" w:rsidR="008C2534" w:rsidRDefault="003A75A5">
      <w:pPr>
        <w:pStyle w:val="Titre2"/>
      </w:pPr>
      <w:bookmarkStart w:id="41" w:name="_Toc505606805"/>
      <w:r>
        <w:t>Description des règles d’arrêt définitif ou temporaire</w:t>
      </w:r>
      <w:bookmarkEnd w:id="41"/>
    </w:p>
    <w:p w14:paraId="7FE4E8DE" w14:textId="77777777" w:rsidR="008C2534" w:rsidRDefault="003A75A5">
      <w:pPr>
        <w:pStyle w:val="Titre3"/>
      </w:pPr>
      <w:bookmarkStart w:id="42" w:name="_Toc203880514"/>
      <w:bookmarkStart w:id="43" w:name="_Toc203880885"/>
      <w:bookmarkStart w:id="44" w:name="_Toc205870801"/>
      <w:bookmarkStart w:id="45" w:name="_Toc205870946"/>
      <w:bookmarkStart w:id="46" w:name="_Toc205871066"/>
      <w:bookmarkStart w:id="47" w:name="_Toc210446663"/>
      <w:bookmarkStart w:id="48" w:name="_Toc452454448"/>
      <w:r>
        <w:t xml:space="preserve">Arrêt de participation d’une personne à la </w:t>
      </w:r>
      <w:r>
        <w:t>recherche</w:t>
      </w:r>
      <w:bookmarkEnd w:id="42"/>
      <w:bookmarkEnd w:id="43"/>
      <w:bookmarkEnd w:id="44"/>
      <w:bookmarkEnd w:id="45"/>
      <w:bookmarkEnd w:id="46"/>
      <w:bookmarkEnd w:id="47"/>
      <w:bookmarkEnd w:id="48"/>
    </w:p>
    <w:p w14:paraId="7FE4E8DF" w14:textId="77777777" w:rsidR="008C2534" w:rsidRDefault="003A75A5">
      <w:pPr>
        <w:jc w:val="both"/>
      </w:pPr>
      <w:r>
        <w:t>Les sujets pourront retirer leur consentement et demander à sortir de l’étude à n’importe quel moment et quelle qu’en soit la raison. En cas de sortie prématurée, l’investigateur doit en documenter les raisons de façon aussi complète que possible</w:t>
      </w:r>
      <w:r>
        <w:t>.</w:t>
      </w:r>
    </w:p>
    <w:p w14:paraId="7FE4E8E0" w14:textId="77777777" w:rsidR="008C2534" w:rsidRDefault="003A75A5">
      <w:pPr>
        <w:jc w:val="both"/>
      </w:pPr>
      <w:r>
        <w:t xml:space="preserve">L’investigateur pourra interrompre temporairement ou définitivement la participation d’un sujet à l’étude pour toute raison qui servirait au mieux les intérêts du sujet en particulier en cas de symptomatologie douloureuse ou de </w:t>
      </w:r>
      <w:r>
        <w:t>claustrophobie majeure lors des acquisitions</w:t>
      </w:r>
    </w:p>
    <w:p w14:paraId="7FE4E8E1" w14:textId="77777777" w:rsidR="008C2534" w:rsidRDefault="003A75A5">
      <w:pPr>
        <w:jc w:val="both"/>
      </w:pPr>
      <w:r>
        <w:t xml:space="preserve">La sortie d'étude d'un patient ne changera en rien sa prise en charge habituelle par rapport à sa maladie. </w:t>
      </w:r>
    </w:p>
    <w:p w14:paraId="7FE4E8E2" w14:textId="77777777" w:rsidR="008C2534" w:rsidRDefault="008C2534">
      <w:pPr>
        <w:ind w:firstLine="567"/>
        <w:jc w:val="both"/>
        <w:outlineLvl w:val="0"/>
      </w:pPr>
    </w:p>
    <w:p w14:paraId="7FE4E8E3" w14:textId="77777777" w:rsidR="008C2534" w:rsidRDefault="003A75A5">
      <w:pPr>
        <w:pStyle w:val="Titre3"/>
      </w:pPr>
      <w:bookmarkStart w:id="49" w:name="_Toc203880515"/>
      <w:bookmarkStart w:id="50" w:name="_Toc203880886"/>
      <w:bookmarkStart w:id="51" w:name="_Toc205870802"/>
      <w:bookmarkStart w:id="52" w:name="_Toc205870947"/>
      <w:bookmarkStart w:id="53" w:name="_Toc205871067"/>
      <w:bookmarkStart w:id="54" w:name="_Toc210446664"/>
      <w:bookmarkStart w:id="55" w:name="_Toc452454449"/>
      <w:r>
        <w:t>Arrêt d’une partie ou de la totalité de la recherche</w:t>
      </w:r>
      <w:bookmarkEnd w:id="49"/>
      <w:bookmarkEnd w:id="50"/>
      <w:bookmarkEnd w:id="51"/>
      <w:bookmarkEnd w:id="52"/>
      <w:bookmarkEnd w:id="53"/>
      <w:bookmarkEnd w:id="54"/>
      <w:bookmarkEnd w:id="55"/>
    </w:p>
    <w:p w14:paraId="7FE4E8E4" w14:textId="77777777" w:rsidR="008C2534" w:rsidRDefault="003A75A5">
      <w:pPr>
        <w:ind w:firstLine="709"/>
        <w:jc w:val="both"/>
      </w:pPr>
      <w:r>
        <w:t>L’étude peut être interrompue prématurément en ca</w:t>
      </w:r>
      <w:r>
        <w:t>s de survenue d’événements indésirables inattendus, graves nécessitant une revue du profil de la stratégie. De même, des événements imprévus ou de nouvelles informations relatives au produit, au vu desquels les objectifs de l'étude ou du programme clinique</w:t>
      </w:r>
      <w:r>
        <w:t xml:space="preserve"> ne seront vraisemblablement pas atteints, peuvent amener le promoteur à interrompre prématurément l’étude.</w:t>
      </w:r>
    </w:p>
    <w:p w14:paraId="7FE4E8E5" w14:textId="77777777" w:rsidR="008C2534" w:rsidRDefault="003A75A5">
      <w:pPr>
        <w:ind w:firstLine="709"/>
        <w:jc w:val="both"/>
      </w:pPr>
      <w:r>
        <w:t>Le CHR d’ORLEANS se réserve le droit d'interrompre l’étude, à tout moment, s'il s'avère que les objectifs d’inclusion ne sont pas atteints.</w:t>
      </w:r>
    </w:p>
    <w:p w14:paraId="7FE4E8E6" w14:textId="77777777" w:rsidR="008C2534" w:rsidRDefault="003A75A5">
      <w:pPr>
        <w:pStyle w:val="Titre1"/>
        <w:keepNext w:val="0"/>
        <w:tabs>
          <w:tab w:val="num" w:pos="0"/>
          <w:tab w:val="left" w:pos="57"/>
        </w:tabs>
      </w:pPr>
      <w:bookmarkStart w:id="56" w:name="_Toc203880529"/>
      <w:bookmarkStart w:id="57" w:name="_Toc203880900"/>
      <w:bookmarkStart w:id="58" w:name="_Toc205870816"/>
      <w:bookmarkStart w:id="59" w:name="_Toc205870961"/>
      <w:bookmarkStart w:id="60" w:name="_Toc205871081"/>
      <w:bookmarkStart w:id="61" w:name="_Toc210446673"/>
      <w:bookmarkStart w:id="62" w:name="_Toc452454458"/>
      <w:bookmarkStart w:id="63" w:name="_Toc505606806"/>
      <w:r>
        <w:t>Produits</w:t>
      </w:r>
      <w:r>
        <w:t xml:space="preserve"> administrés aux personnes qui se prêtent à la recherche</w:t>
      </w:r>
      <w:bookmarkEnd w:id="56"/>
      <w:bookmarkEnd w:id="57"/>
      <w:bookmarkEnd w:id="58"/>
      <w:bookmarkEnd w:id="59"/>
      <w:bookmarkEnd w:id="60"/>
      <w:bookmarkEnd w:id="61"/>
      <w:bookmarkEnd w:id="62"/>
      <w:bookmarkEnd w:id="63"/>
    </w:p>
    <w:p w14:paraId="7FE4E8E7" w14:textId="77777777" w:rsidR="008C2534" w:rsidRDefault="008C2534">
      <w:pPr>
        <w:ind w:firstLine="709"/>
        <w:jc w:val="both"/>
      </w:pPr>
    </w:p>
    <w:p w14:paraId="7FE4E8E8" w14:textId="77777777" w:rsidR="008C2534" w:rsidRDefault="003A75A5">
      <w:pPr>
        <w:ind w:firstLine="709"/>
        <w:jc w:val="both"/>
      </w:pPr>
      <w:r>
        <w:t xml:space="preserve">Une injection de médicament </w:t>
      </w:r>
      <w:proofErr w:type="spellStart"/>
      <w:r>
        <w:t>radiopharmaceutique</w:t>
      </w:r>
      <w:proofErr w:type="spellEnd"/>
      <w:r>
        <w:t>, nécessaire à la réalisation de l’examen scintigraphique standard, sera réalisée, comme dans la pratique courante. Il n’y aura pas d’injection supplém</w:t>
      </w:r>
      <w:r>
        <w:t xml:space="preserve">entaire en lien avec le protocole de recherche. Les résumés des caractéristiques des produits (RCP) des médicaments </w:t>
      </w:r>
      <w:proofErr w:type="spellStart"/>
      <w:r>
        <w:t>radiopharmaceutiques</w:t>
      </w:r>
      <w:proofErr w:type="spellEnd"/>
      <w:r>
        <w:t xml:space="preserve"> utilisés dans cette étude sont présentés en annexe.</w:t>
      </w:r>
    </w:p>
    <w:p w14:paraId="7FE4E8E9" w14:textId="77777777" w:rsidR="008C2534" w:rsidRDefault="003A75A5">
      <w:pPr>
        <w:pStyle w:val="Titre2"/>
        <w:tabs>
          <w:tab w:val="clear" w:pos="1032"/>
        </w:tabs>
        <w:ind w:left="1284" w:hanging="576"/>
        <w:jc w:val="left"/>
      </w:pPr>
      <w:bookmarkStart w:id="64" w:name="_Toc203880534"/>
      <w:bookmarkStart w:id="65" w:name="_Toc203880911"/>
      <w:bookmarkStart w:id="66" w:name="_Toc205870363"/>
      <w:bookmarkStart w:id="67" w:name="_Toc205879050"/>
      <w:bookmarkStart w:id="68" w:name="_Toc205976140"/>
      <w:bookmarkStart w:id="69" w:name="_Toc210446674"/>
      <w:bookmarkStart w:id="70" w:name="_Toc452454459"/>
      <w:bookmarkStart w:id="71" w:name="_Toc505606807"/>
      <w:r>
        <w:t>Traitements autorisés</w:t>
      </w:r>
      <w:bookmarkEnd w:id="64"/>
      <w:bookmarkEnd w:id="65"/>
      <w:bookmarkEnd w:id="66"/>
      <w:bookmarkEnd w:id="67"/>
      <w:bookmarkEnd w:id="68"/>
      <w:bookmarkEnd w:id="69"/>
      <w:bookmarkEnd w:id="70"/>
      <w:bookmarkEnd w:id="71"/>
    </w:p>
    <w:p w14:paraId="7FE4E8EA" w14:textId="77777777" w:rsidR="008C2534" w:rsidRDefault="003A75A5">
      <w:pPr>
        <w:ind w:left="708"/>
        <w:jc w:val="both"/>
      </w:pPr>
      <w:r>
        <w:t>Traitement habituels du patient, antalgiques…</w:t>
      </w:r>
    </w:p>
    <w:p w14:paraId="7FE4E8EB" w14:textId="77777777" w:rsidR="008C2534" w:rsidRDefault="003A75A5">
      <w:pPr>
        <w:pStyle w:val="Titre2"/>
        <w:tabs>
          <w:tab w:val="clear" w:pos="1032"/>
        </w:tabs>
        <w:ind w:left="1284" w:hanging="576"/>
        <w:jc w:val="left"/>
      </w:pPr>
      <w:bookmarkStart w:id="72" w:name="_Toc203880535"/>
      <w:bookmarkStart w:id="73" w:name="_Toc203880912"/>
      <w:bookmarkStart w:id="74" w:name="_Toc205870364"/>
      <w:bookmarkStart w:id="75" w:name="_Toc205879051"/>
      <w:bookmarkStart w:id="76" w:name="_Toc205976141"/>
      <w:bookmarkStart w:id="77" w:name="_Toc210446675"/>
      <w:bookmarkStart w:id="78" w:name="_Toc452454460"/>
      <w:bookmarkStart w:id="79" w:name="_Toc505606808"/>
      <w:r>
        <w:t>Traitements non autorisés</w:t>
      </w:r>
      <w:bookmarkEnd w:id="72"/>
      <w:bookmarkEnd w:id="73"/>
      <w:bookmarkEnd w:id="74"/>
      <w:bookmarkEnd w:id="75"/>
      <w:bookmarkEnd w:id="76"/>
      <w:bookmarkEnd w:id="77"/>
      <w:bookmarkEnd w:id="78"/>
      <w:bookmarkEnd w:id="79"/>
    </w:p>
    <w:p w14:paraId="7FE4E8EC" w14:textId="77777777" w:rsidR="008C2534" w:rsidRDefault="003A75A5">
      <w:pPr>
        <w:ind w:firstLine="709"/>
        <w:jc w:val="both"/>
      </w:pPr>
      <w:r>
        <w:t xml:space="preserve">Aucun traitement n’est concerné. Tout traitement non autorisé pour l’examen standard entrainera son annulation et, de fait, la participation à l’étude (vérification des dernières dates de </w:t>
      </w:r>
      <w:r>
        <w:lastRenderedPageBreak/>
        <w:t xml:space="preserve">chimiothérapie, injection de </w:t>
      </w:r>
      <w:proofErr w:type="spellStart"/>
      <w:r>
        <w:t>biphosphonat</w:t>
      </w:r>
      <w:r>
        <w:t>es</w:t>
      </w:r>
      <w:proofErr w:type="spellEnd"/>
      <w:r>
        <w:t xml:space="preserve">, </w:t>
      </w:r>
      <w:proofErr w:type="spellStart"/>
      <w:r>
        <w:t>anti-thyroïdiens</w:t>
      </w:r>
      <w:proofErr w:type="spellEnd"/>
      <w:r>
        <w:t xml:space="preserve"> de synthèse et hormones thyroïdiennes…)</w:t>
      </w:r>
    </w:p>
    <w:p w14:paraId="7FE4E8ED" w14:textId="77777777" w:rsidR="008C2534" w:rsidRDefault="003A75A5">
      <w:pPr>
        <w:pStyle w:val="Titre2"/>
        <w:tabs>
          <w:tab w:val="clear" w:pos="1032"/>
        </w:tabs>
        <w:ind w:left="1284" w:hanging="576"/>
        <w:jc w:val="left"/>
      </w:pPr>
      <w:bookmarkStart w:id="80" w:name="_Toc203880536"/>
      <w:bookmarkStart w:id="81" w:name="_Toc203880913"/>
      <w:bookmarkStart w:id="82" w:name="_Toc205870365"/>
      <w:bookmarkStart w:id="83" w:name="_Toc205879052"/>
      <w:bookmarkStart w:id="84" w:name="_Toc205976142"/>
      <w:bookmarkStart w:id="85" w:name="_Toc210446676"/>
      <w:bookmarkStart w:id="86" w:name="_Toc452454461"/>
      <w:bookmarkStart w:id="87" w:name="_Toc505606809"/>
      <w:r>
        <w:t>Traitement d’urgence</w:t>
      </w:r>
      <w:bookmarkEnd w:id="80"/>
      <w:bookmarkEnd w:id="81"/>
      <w:bookmarkEnd w:id="82"/>
      <w:bookmarkEnd w:id="83"/>
      <w:bookmarkEnd w:id="84"/>
      <w:bookmarkEnd w:id="85"/>
      <w:bookmarkEnd w:id="86"/>
      <w:bookmarkEnd w:id="87"/>
    </w:p>
    <w:p w14:paraId="7FE4E8EE" w14:textId="77777777" w:rsidR="008C2534" w:rsidRDefault="003A75A5">
      <w:pPr>
        <w:ind w:firstLine="708"/>
        <w:jc w:val="both"/>
      </w:pPr>
      <w:r>
        <w:t xml:space="preserve">Non concerné. Aucun effet indésirable majeur n’est documenté pour les médicaments </w:t>
      </w:r>
      <w:proofErr w:type="spellStart"/>
      <w:r>
        <w:t>radiopharmaceutiques</w:t>
      </w:r>
      <w:proofErr w:type="spellEnd"/>
      <w:r>
        <w:t xml:space="preserve"> utilisés lors de l’examen standard.</w:t>
      </w:r>
    </w:p>
    <w:p w14:paraId="7FE4E8EF" w14:textId="77777777" w:rsidR="008C2534" w:rsidRDefault="008C2534"/>
    <w:p w14:paraId="7FE4E8F0" w14:textId="77777777" w:rsidR="008C2534" w:rsidRDefault="003A75A5">
      <w:pPr>
        <w:pStyle w:val="Titre1"/>
        <w:keepNext w:val="0"/>
        <w:tabs>
          <w:tab w:val="num" w:pos="0"/>
          <w:tab w:val="left" w:pos="57"/>
        </w:tabs>
      </w:pPr>
      <w:bookmarkStart w:id="88" w:name="_Toc144030309"/>
      <w:bookmarkStart w:id="89" w:name="_Toc144030488"/>
      <w:bookmarkStart w:id="90" w:name="_Toc144031173"/>
      <w:bookmarkStart w:id="91" w:name="_Toc144031559"/>
      <w:bookmarkStart w:id="92" w:name="_Toc144032489"/>
      <w:bookmarkStart w:id="93" w:name="_Toc144032648"/>
      <w:bookmarkStart w:id="94" w:name="_Toc144033385"/>
      <w:bookmarkStart w:id="95" w:name="_Toc144096993"/>
      <w:bookmarkStart w:id="96" w:name="_Toc203880550"/>
      <w:bookmarkStart w:id="97" w:name="_Toc203880927"/>
      <w:bookmarkStart w:id="98" w:name="_Toc205870844"/>
      <w:bookmarkStart w:id="99" w:name="_Toc205870978"/>
      <w:bookmarkStart w:id="100" w:name="_Toc205871098"/>
      <w:bookmarkStart w:id="101" w:name="_Toc210446680"/>
      <w:bookmarkStart w:id="102" w:name="_Toc452454465"/>
      <w:bookmarkStart w:id="103" w:name="_Toc505606810"/>
      <w:r>
        <w:t>Evaluation de la sécurité</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7FE4E8F1" w14:textId="77777777" w:rsidR="008C2534" w:rsidRDefault="003A75A5">
      <w:pPr>
        <w:pStyle w:val="Titre2"/>
        <w:tabs>
          <w:tab w:val="clear" w:pos="1032"/>
        </w:tabs>
        <w:ind w:left="1284" w:hanging="576"/>
        <w:jc w:val="left"/>
      </w:pPr>
      <w:bookmarkStart w:id="104" w:name="_Toc203880553"/>
      <w:bookmarkStart w:id="105" w:name="_Toc203880930"/>
      <w:bookmarkStart w:id="106" w:name="_Toc205870847"/>
      <w:bookmarkStart w:id="107" w:name="_Toc205870981"/>
      <w:bookmarkStart w:id="108" w:name="_Toc205871101"/>
      <w:bookmarkStart w:id="109" w:name="_Toc210446683"/>
      <w:bookmarkStart w:id="110" w:name="_Toc452454468"/>
      <w:bookmarkStart w:id="111" w:name="_Toc505606812"/>
      <w:r>
        <w:t>Procédur</w:t>
      </w:r>
      <w:r>
        <w:t>es mises en place en vue de l’enregistrement et de la notification des événements indésirables</w:t>
      </w:r>
      <w:bookmarkEnd w:id="104"/>
      <w:bookmarkEnd w:id="105"/>
      <w:bookmarkEnd w:id="106"/>
      <w:bookmarkEnd w:id="107"/>
      <w:bookmarkEnd w:id="108"/>
      <w:bookmarkEnd w:id="109"/>
      <w:bookmarkEnd w:id="110"/>
      <w:bookmarkEnd w:id="111"/>
    </w:p>
    <w:p w14:paraId="7FE4E8F2" w14:textId="77777777" w:rsidR="008C2534" w:rsidRDefault="003A75A5">
      <w:pPr>
        <w:spacing w:line="360" w:lineRule="auto"/>
        <w:jc w:val="both"/>
        <w:rPr>
          <w:rFonts w:asciiTheme="majorHAnsi" w:hAnsiTheme="majorHAnsi"/>
        </w:rPr>
      </w:pPr>
      <w:bookmarkStart w:id="112" w:name="_Toc205870866"/>
      <w:bookmarkStart w:id="113" w:name="_Toc205870986"/>
      <w:bookmarkStart w:id="114" w:name="_Toc205871106"/>
      <w:bookmarkStart w:id="115" w:name="_Toc210446688"/>
      <w:bookmarkStart w:id="116" w:name="_Toc452454487"/>
      <w:r>
        <w:rPr>
          <w:rFonts w:asciiTheme="majorHAnsi" w:hAnsiTheme="majorHAnsi"/>
        </w:rPr>
        <w:t xml:space="preserve">S’agissant d’une étude de catégorie 2, aucune vigilance particulière liée au protocole de recherche ne sera mise en place. </w:t>
      </w:r>
    </w:p>
    <w:p w14:paraId="7FE4E8F3" w14:textId="77777777" w:rsidR="008C2534" w:rsidRDefault="003A75A5">
      <w:pPr>
        <w:spacing w:line="360" w:lineRule="auto"/>
        <w:jc w:val="both"/>
        <w:rPr>
          <w:rFonts w:asciiTheme="majorHAnsi" w:hAnsiTheme="majorHAnsi"/>
        </w:rPr>
      </w:pPr>
      <w:r>
        <w:rPr>
          <w:rFonts w:asciiTheme="majorHAnsi" w:hAnsiTheme="majorHAnsi"/>
        </w:rPr>
        <w:t>Cependant, la surveillance et le signalement des incidents et risques d’incidents résultant de la participation à l’étude seront déc</w:t>
      </w:r>
      <w:r>
        <w:rPr>
          <w:rFonts w:asciiTheme="majorHAnsi" w:hAnsiTheme="majorHAnsi"/>
        </w:rPr>
        <w:t xml:space="preserve">larés via le circuit habituel. Le collimateur et les logiciels utilisés étant marqués CE, les évènements indésirables éventuels feront l’objet d’une déclaration de matériovigilance par le CHR d’ORLEANS.  </w:t>
      </w:r>
    </w:p>
    <w:p w14:paraId="7FE4E8F4" w14:textId="77777777" w:rsidR="008C2534" w:rsidRDefault="008C2534">
      <w:pPr>
        <w:spacing w:line="360" w:lineRule="auto"/>
        <w:jc w:val="both"/>
        <w:rPr>
          <w:rFonts w:asciiTheme="majorHAnsi" w:hAnsiTheme="majorHAnsi"/>
        </w:rPr>
      </w:pPr>
    </w:p>
    <w:p w14:paraId="7FE4E8F5" w14:textId="77777777" w:rsidR="008C2534" w:rsidRDefault="003A75A5">
      <w:pPr>
        <w:pStyle w:val="Titre2"/>
        <w:tabs>
          <w:tab w:val="clear" w:pos="1032"/>
        </w:tabs>
        <w:ind w:left="1284" w:hanging="576"/>
        <w:jc w:val="left"/>
      </w:pPr>
      <w:r>
        <w:t>Comité de Surveillance</w:t>
      </w:r>
      <w:bookmarkEnd w:id="112"/>
      <w:bookmarkEnd w:id="113"/>
      <w:bookmarkEnd w:id="114"/>
      <w:bookmarkEnd w:id="115"/>
      <w:bookmarkEnd w:id="116"/>
    </w:p>
    <w:p w14:paraId="7FE4E8F6" w14:textId="77777777" w:rsidR="008C2534" w:rsidRDefault="003A75A5">
      <w:pPr>
        <w:jc w:val="both"/>
      </w:pPr>
      <w:r>
        <w:t xml:space="preserve">La participation à l’étude </w:t>
      </w:r>
      <w:r>
        <w:t>n’entrainant aucun risque pour le patient, il n’a pas été jugé nécessaire de mettre en place un comité de surveillance.</w:t>
      </w:r>
    </w:p>
    <w:p w14:paraId="7FE4E8F7" w14:textId="77777777" w:rsidR="008C2534" w:rsidRDefault="003A75A5">
      <w:pPr>
        <w:pStyle w:val="Titre2"/>
        <w:tabs>
          <w:tab w:val="clear" w:pos="1032"/>
        </w:tabs>
        <w:ind w:left="1284" w:hanging="576"/>
        <w:jc w:val="left"/>
      </w:pPr>
      <w:bookmarkStart w:id="117" w:name="_Toc145925780"/>
      <w:bookmarkStart w:id="118" w:name="_Toc203880564"/>
      <w:bookmarkStart w:id="119" w:name="_Toc203880941"/>
      <w:bookmarkStart w:id="120" w:name="_Toc205870867"/>
      <w:bookmarkStart w:id="121" w:name="_Toc205870987"/>
      <w:bookmarkStart w:id="122" w:name="_Toc205871107"/>
      <w:bookmarkStart w:id="123" w:name="_Toc210446689"/>
      <w:bookmarkStart w:id="124" w:name="_Toc452454488"/>
      <w:r>
        <w:t>Modalités et durée du suivi des personnes suite à la survenue d’événements indésirable</w:t>
      </w:r>
      <w:bookmarkEnd w:id="117"/>
      <w:r>
        <w:t>s</w:t>
      </w:r>
      <w:bookmarkEnd w:id="118"/>
      <w:bookmarkEnd w:id="119"/>
      <w:bookmarkEnd w:id="120"/>
      <w:bookmarkEnd w:id="121"/>
      <w:bookmarkEnd w:id="122"/>
      <w:bookmarkEnd w:id="123"/>
      <w:bookmarkEnd w:id="124"/>
    </w:p>
    <w:p w14:paraId="7FE4E8F8" w14:textId="77777777" w:rsidR="008C2534" w:rsidRDefault="003A75A5">
      <w:pPr>
        <w:jc w:val="both"/>
      </w:pPr>
      <w:r>
        <w:t xml:space="preserve">Chaque évènement indésirable sera suivi jusqu’à </w:t>
      </w:r>
      <w:r>
        <w:t>sa complète résolution (stabilisation à un niveau jugé acceptable par l’investigateur ou retour à l’état antérieur) même si le patient est sorti d’essai.</w:t>
      </w:r>
    </w:p>
    <w:p w14:paraId="7FE4E8F9" w14:textId="77777777" w:rsidR="008C2534" w:rsidRDefault="008C2534">
      <w:pPr>
        <w:jc w:val="both"/>
      </w:pPr>
    </w:p>
    <w:p w14:paraId="7FE4E8FA" w14:textId="77777777" w:rsidR="008C2534" w:rsidRDefault="003A75A5">
      <w:pPr>
        <w:pStyle w:val="Titre1"/>
        <w:keepNext w:val="0"/>
        <w:tabs>
          <w:tab w:val="num" w:pos="0"/>
          <w:tab w:val="left" w:pos="57"/>
        </w:tabs>
      </w:pPr>
      <w:bookmarkStart w:id="125" w:name="_Toc144030310"/>
      <w:bookmarkStart w:id="126" w:name="_Toc144030489"/>
      <w:bookmarkStart w:id="127" w:name="_Toc144031174"/>
      <w:bookmarkStart w:id="128" w:name="_Toc144031560"/>
      <w:bookmarkStart w:id="129" w:name="_Toc144032490"/>
      <w:bookmarkStart w:id="130" w:name="_Toc144032649"/>
      <w:bookmarkStart w:id="131" w:name="_Toc144033386"/>
      <w:bookmarkStart w:id="132" w:name="_Toc144096997"/>
      <w:bookmarkStart w:id="133" w:name="_Toc203880565"/>
      <w:bookmarkStart w:id="134" w:name="_Toc203880942"/>
      <w:bookmarkStart w:id="135" w:name="_Toc205870868"/>
      <w:bookmarkStart w:id="136" w:name="_Toc205870988"/>
      <w:bookmarkStart w:id="137" w:name="_Toc205871108"/>
      <w:bookmarkStart w:id="138" w:name="_Toc210446690"/>
      <w:bookmarkStart w:id="139" w:name="_Toc452454490"/>
      <w:bookmarkStart w:id="140" w:name="_Toc505606813"/>
      <w:r>
        <w:t>Statistiques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7FE4E8FB" w14:textId="77777777" w:rsidR="008C2534" w:rsidRDefault="008C2534">
      <w:pPr>
        <w:jc w:val="both"/>
        <w:rPr>
          <w:i/>
        </w:rPr>
      </w:pPr>
    </w:p>
    <w:p w14:paraId="7FE4E8FC" w14:textId="77777777" w:rsidR="008C2534" w:rsidRDefault="003A75A5">
      <w:pPr>
        <w:jc w:val="both"/>
        <w:rPr>
          <w:b/>
          <w:bCs/>
          <w:iCs/>
        </w:rPr>
      </w:pPr>
      <w:bookmarkStart w:id="141" w:name="_Toc203880566"/>
      <w:bookmarkStart w:id="142" w:name="_Toc203880943"/>
      <w:bookmarkStart w:id="143" w:name="_Toc205870869"/>
      <w:bookmarkStart w:id="144" w:name="_Toc205870989"/>
      <w:bookmarkStart w:id="145" w:name="_Toc205871109"/>
      <w:bookmarkStart w:id="146" w:name="_Toc210446691"/>
      <w:bookmarkStart w:id="147" w:name="_Toc452454491"/>
      <w:bookmarkStart w:id="148" w:name="_Toc505606814"/>
      <w:r>
        <w:rPr>
          <w:b/>
          <w:bCs/>
          <w:iCs/>
        </w:rPr>
        <w:t>Biostatisticien </w:t>
      </w:r>
    </w:p>
    <w:p w14:paraId="7FE4E8FD" w14:textId="77777777" w:rsidR="008C2534" w:rsidRDefault="003A75A5">
      <w:pPr>
        <w:jc w:val="both"/>
        <w:rPr>
          <w:bCs/>
          <w:iCs/>
        </w:rPr>
      </w:pPr>
      <w:r>
        <w:rPr>
          <w:bCs/>
          <w:iCs/>
        </w:rPr>
        <w:t>Dr Antoine Valéry (CHR d’Orléans)</w:t>
      </w:r>
    </w:p>
    <w:p w14:paraId="7FE4E8FE" w14:textId="77777777" w:rsidR="008C2534" w:rsidRDefault="003A75A5">
      <w:pPr>
        <w:jc w:val="both"/>
        <w:rPr>
          <w:b/>
          <w:bCs/>
          <w:iCs/>
        </w:rPr>
      </w:pPr>
      <w:r>
        <w:rPr>
          <w:b/>
          <w:bCs/>
          <w:iCs/>
        </w:rPr>
        <w:lastRenderedPageBreak/>
        <w:t>Logiciels utilisés</w:t>
      </w:r>
    </w:p>
    <w:p w14:paraId="7FE4E8FF" w14:textId="77777777" w:rsidR="008C2534" w:rsidRDefault="003A75A5">
      <w:pPr>
        <w:numPr>
          <w:ilvl w:val="0"/>
          <w:numId w:val="29"/>
        </w:numPr>
        <w:spacing w:before="60" w:after="0" w:line="240" w:lineRule="auto"/>
        <w:rPr>
          <w:i/>
          <w:lang w:val="en-US"/>
        </w:rPr>
      </w:pPr>
      <w:r>
        <w:rPr>
          <w:lang w:val="en-US"/>
        </w:rPr>
        <w:t>R Core Team (2017</w:t>
      </w:r>
      <w:r>
        <w:rPr>
          <w:lang w:val="en-US"/>
        </w:rPr>
        <w:t xml:space="preserve">). R: A language and environment for statistical computing. R Foundation for Statistical Computing, Vienna, Austria. </w:t>
      </w:r>
      <w:r>
        <w:rPr>
          <w:sz w:val="20"/>
          <w:lang w:val="en-US"/>
        </w:rPr>
        <w:t xml:space="preserve">URL </w:t>
      </w:r>
      <w:hyperlink r:id="rId13" w:history="1">
        <w:r>
          <w:rPr>
            <w:rStyle w:val="Lienhypertexte"/>
            <w:sz w:val="20"/>
            <w:lang w:val="en-US"/>
          </w:rPr>
          <w:t>https://www.R-project.org/</w:t>
        </w:r>
      </w:hyperlink>
    </w:p>
    <w:p w14:paraId="7FE4E900" w14:textId="77777777" w:rsidR="008C2534" w:rsidRDefault="003A75A5">
      <w:pPr>
        <w:numPr>
          <w:ilvl w:val="0"/>
          <w:numId w:val="29"/>
        </w:numPr>
        <w:spacing w:before="60" w:after="0" w:line="240" w:lineRule="auto"/>
        <w:rPr>
          <w:rStyle w:val="gwt-inlinelabel"/>
          <w:rFonts w:cstheme="minorHAnsi"/>
          <w:i/>
          <w:lang w:val="en-US"/>
        </w:rPr>
      </w:pPr>
      <w:r>
        <w:rPr>
          <w:b/>
          <w:lang w:val="en-US"/>
        </w:rPr>
        <w:t xml:space="preserve"> </w:t>
      </w:r>
      <w:r>
        <w:rPr>
          <w:rStyle w:val="gwt-inlinelabel"/>
          <w:rFonts w:cstheme="minorHAnsi"/>
          <w:color w:val="000000"/>
          <w:shd w:val="clear" w:color="auto" w:fill="F3F4F4"/>
          <w:lang w:val="en-US"/>
        </w:rPr>
        <w:t>Version</w:t>
      </w:r>
      <w:r>
        <w:rPr>
          <w:rStyle w:val="apple-converted-space"/>
          <w:rFonts w:cstheme="minorHAnsi"/>
          <w:color w:val="000000"/>
          <w:shd w:val="clear" w:color="auto" w:fill="F3F4F4"/>
          <w:lang w:val="en-US"/>
        </w:rPr>
        <w:t> </w:t>
      </w:r>
      <w:r>
        <w:rPr>
          <w:rStyle w:val="gwt-inlinelabel"/>
          <w:rFonts w:cstheme="minorHAnsi"/>
          <w:color w:val="000000"/>
          <w:shd w:val="clear" w:color="auto" w:fill="F3F4F4"/>
          <w:lang w:val="en-US"/>
        </w:rPr>
        <w:t>1.1.423</w:t>
      </w:r>
      <w:r>
        <w:rPr>
          <w:rStyle w:val="apple-converted-space"/>
          <w:rFonts w:cstheme="minorHAnsi"/>
          <w:color w:val="000000"/>
          <w:shd w:val="clear" w:color="auto" w:fill="F3F4F4"/>
          <w:lang w:val="en-US"/>
        </w:rPr>
        <w:t> </w:t>
      </w:r>
      <w:r>
        <w:rPr>
          <w:rStyle w:val="gwt-inlinelabel"/>
          <w:rFonts w:cstheme="minorHAnsi"/>
          <w:color w:val="000000"/>
          <w:shd w:val="clear" w:color="auto" w:fill="F3F4F4"/>
          <w:lang w:val="en-US"/>
        </w:rPr>
        <w:t>– © 2009-2018 RStudio, Inc.</w:t>
      </w:r>
    </w:p>
    <w:p w14:paraId="7FE4E901" w14:textId="77777777" w:rsidR="008C2534" w:rsidRDefault="008C2534">
      <w:pPr>
        <w:spacing w:before="60"/>
        <w:ind w:left="720"/>
        <w:rPr>
          <w:i/>
          <w:lang w:val="en-US"/>
        </w:rPr>
      </w:pPr>
    </w:p>
    <w:p w14:paraId="7FE4E902" w14:textId="77777777" w:rsidR="008C2534" w:rsidRDefault="003A75A5">
      <w:pPr>
        <w:pStyle w:val="Titre2"/>
        <w:tabs>
          <w:tab w:val="clear" w:pos="1032"/>
        </w:tabs>
        <w:ind w:left="1284" w:hanging="576"/>
      </w:pPr>
      <w:r>
        <w:t xml:space="preserve">méthodes </w:t>
      </w:r>
      <w:r>
        <w:t>statistiques prévues</w:t>
      </w:r>
      <w:bookmarkEnd w:id="141"/>
      <w:bookmarkEnd w:id="142"/>
      <w:bookmarkEnd w:id="143"/>
      <w:bookmarkEnd w:id="144"/>
      <w:bookmarkEnd w:id="145"/>
      <w:bookmarkEnd w:id="146"/>
      <w:bookmarkEnd w:id="147"/>
      <w:bookmarkEnd w:id="148"/>
    </w:p>
    <w:p w14:paraId="7FE4E903" w14:textId="77777777" w:rsidR="008C2534" w:rsidRDefault="003A75A5">
      <w:pPr>
        <w:pStyle w:val="Titre3"/>
      </w:pPr>
      <w:r>
        <w:t>Statistiques descriptives et constitution du jeu de données</w:t>
      </w:r>
    </w:p>
    <w:p w14:paraId="7FE4E904" w14:textId="77777777" w:rsidR="008C2534" w:rsidRDefault="008C2534">
      <w:pPr>
        <w:pStyle w:val="Sansinterligne"/>
      </w:pPr>
    </w:p>
    <w:p w14:paraId="7FE4E905" w14:textId="77777777" w:rsidR="008C2534" w:rsidRDefault="003A75A5">
      <w:pPr>
        <w:pStyle w:val="Sansinterligne"/>
      </w:pPr>
      <w:r>
        <w:t xml:space="preserve">Pour chaque variable continue une analyse préalable de la distribution permettra de déterminer s’il y a lieu de procéder à une transformation de variable. </w:t>
      </w:r>
    </w:p>
    <w:p w14:paraId="7FE4E906" w14:textId="77777777" w:rsidR="008C2534" w:rsidRDefault="008C2534">
      <w:pPr>
        <w:pStyle w:val="Sansinterligne"/>
      </w:pPr>
    </w:p>
    <w:p w14:paraId="7FE4E907" w14:textId="77777777" w:rsidR="008C2534" w:rsidRDefault="003A75A5">
      <w:pPr>
        <w:pStyle w:val="Sansinterligne"/>
      </w:pPr>
      <w:r>
        <w:t xml:space="preserve">Les </w:t>
      </w:r>
      <w:r>
        <w:t>variables continues seront décrites par la moyenne et l’écart type, les variables ordinales, par la médiane et l’intervalle interquartile.</w:t>
      </w:r>
    </w:p>
    <w:p w14:paraId="7FE4E908" w14:textId="77777777" w:rsidR="008C2534" w:rsidRDefault="008C2534">
      <w:pPr>
        <w:pStyle w:val="Sansinterligne"/>
      </w:pPr>
    </w:p>
    <w:p w14:paraId="7FE4E909" w14:textId="77777777" w:rsidR="008C2534" w:rsidRDefault="003A75A5">
      <w:pPr>
        <w:pStyle w:val="Sansinterligne"/>
      </w:pPr>
      <w:r>
        <w:t xml:space="preserve">Les variables booléennes ou discrètes nominales seront présentées </w:t>
      </w:r>
    </w:p>
    <w:p w14:paraId="7FE4E90A" w14:textId="77777777" w:rsidR="008C2534" w:rsidRDefault="003A75A5">
      <w:pPr>
        <w:pStyle w:val="Paragraphedeliste"/>
        <w:numPr>
          <w:ilvl w:val="0"/>
          <w:numId w:val="31"/>
        </w:numPr>
      </w:pPr>
      <w:r>
        <w:t xml:space="preserve">En effectif </w:t>
      </w:r>
    </w:p>
    <w:p w14:paraId="7FE4E90B" w14:textId="77777777" w:rsidR="008C2534" w:rsidRDefault="003A75A5">
      <w:pPr>
        <w:pStyle w:val="Paragraphedeliste"/>
        <w:numPr>
          <w:ilvl w:val="0"/>
          <w:numId w:val="31"/>
        </w:numPr>
      </w:pPr>
      <w:r>
        <w:t>En proportions sous forme de pourcen</w:t>
      </w:r>
      <w:r>
        <w:t>tage + intervalle de confiance à 95%</w:t>
      </w:r>
    </w:p>
    <w:p w14:paraId="7FE4E90C" w14:textId="77777777" w:rsidR="008C2534" w:rsidRDefault="003A75A5">
      <w:pPr>
        <w:pStyle w:val="Paragraphedeliste"/>
        <w:numPr>
          <w:ilvl w:val="0"/>
          <w:numId w:val="31"/>
        </w:numPr>
      </w:pPr>
      <w:r>
        <w:t>Graphiquement par histogramme pour représentation en mosaïque</w:t>
      </w:r>
    </w:p>
    <w:p w14:paraId="7FE4E90D" w14:textId="77777777" w:rsidR="008C2534" w:rsidRDefault="003A75A5">
      <w:pPr>
        <w:pStyle w:val="Titre3"/>
      </w:pPr>
      <w:r>
        <w:t xml:space="preserve">Statistiques </w:t>
      </w:r>
      <w:proofErr w:type="spellStart"/>
      <w:r>
        <w:t>inférentielles</w:t>
      </w:r>
      <w:proofErr w:type="spellEnd"/>
    </w:p>
    <w:p w14:paraId="7FE4E90E" w14:textId="77777777" w:rsidR="008C2534" w:rsidRDefault="003A75A5">
      <w:pPr>
        <w:jc w:val="both"/>
      </w:pPr>
      <w:r>
        <w:t>Compte tenu de la taille de l’échantillon à l’étude on utilisera des méthodes paramétriques pour les statistiques en population e</w:t>
      </w:r>
      <w:r>
        <w:t>ntière.</w:t>
      </w:r>
    </w:p>
    <w:p w14:paraId="7FE4E90F" w14:textId="77777777" w:rsidR="008C2534" w:rsidRDefault="003A75A5">
      <w:pPr>
        <w:pStyle w:val="Titre4"/>
      </w:pPr>
      <w:r>
        <w:t>Concordance des évaluations</w:t>
      </w:r>
    </w:p>
    <w:p w14:paraId="7FE4E910" w14:textId="77777777" w:rsidR="008C2534" w:rsidRDefault="003A75A5">
      <w:pPr>
        <w:pStyle w:val="Sansinterligne"/>
      </w:pPr>
      <w:r>
        <w:t xml:space="preserve">La concordance du score diagnostic entre observateurs sera évaluée par : </w:t>
      </w:r>
    </w:p>
    <w:p w14:paraId="7FE4E911" w14:textId="77777777" w:rsidR="008C2534" w:rsidRDefault="003A75A5">
      <w:pPr>
        <w:pStyle w:val="Paragraphedeliste"/>
        <w:numPr>
          <w:ilvl w:val="0"/>
          <w:numId w:val="30"/>
        </w:numPr>
      </w:pPr>
      <w:r>
        <w:t>Calcul des coefficients de corrélation intra-classe</w:t>
      </w:r>
    </w:p>
    <w:p w14:paraId="7FE4E912" w14:textId="77777777" w:rsidR="008C2534" w:rsidRDefault="003A75A5">
      <w:pPr>
        <w:pStyle w:val="Paragraphedeliste"/>
        <w:numPr>
          <w:ilvl w:val="0"/>
          <w:numId w:val="30"/>
        </w:numPr>
      </w:pPr>
      <w:r>
        <w:t xml:space="preserve">Analyse graphique de </w:t>
      </w:r>
      <w:proofErr w:type="spellStart"/>
      <w:r>
        <w:t>Bland</w:t>
      </w:r>
      <w:proofErr w:type="spellEnd"/>
      <w:r>
        <w:t xml:space="preserve"> et Altman</w:t>
      </w:r>
    </w:p>
    <w:p w14:paraId="7FE4E913" w14:textId="77777777" w:rsidR="008C2534" w:rsidRDefault="003A75A5">
      <w:pPr>
        <w:pStyle w:val="Titre4"/>
      </w:pPr>
      <w:r>
        <w:t>Objectif principal</w:t>
      </w:r>
    </w:p>
    <w:p w14:paraId="7FE4E914" w14:textId="77777777" w:rsidR="008C2534" w:rsidRDefault="003A75A5">
      <w:pPr>
        <w:jc w:val="both"/>
      </w:pPr>
      <w:r>
        <w:t xml:space="preserve">La recherche préalable d’une relation </w:t>
      </w:r>
      <w:r>
        <w:t xml:space="preserve">entre la qualité de l‘image et l’IMC ou l’âge des patients sera conduite au moyen d’une comparaison des moyennes de ces variables en fonction du score diagnostic (&lt;4 versus </w:t>
      </w:r>
      <w:r>
        <w:rPr>
          <w:rFonts w:cstheme="minorHAnsi"/>
        </w:rPr>
        <w:t>≥</w:t>
      </w:r>
      <w:r>
        <w:t>4) pour chacun des deux collimateurs.</w:t>
      </w:r>
    </w:p>
    <w:p w14:paraId="7FE4E915" w14:textId="77777777" w:rsidR="008C2534" w:rsidRDefault="003A75A5">
      <w:pPr>
        <w:jc w:val="both"/>
      </w:pPr>
      <w:r>
        <w:t xml:space="preserve">La différence de qualité diagnostique entre </w:t>
      </w:r>
      <w:r>
        <w:t xml:space="preserve">les deux dispositifs sera explorée par comparaison appariée  des pourcentages d’image obtenant un score supérieur ou égal à 4 au moyen du test de Mac </w:t>
      </w:r>
      <w:proofErr w:type="spellStart"/>
      <w:r>
        <w:t>Nemar</w:t>
      </w:r>
      <w:proofErr w:type="spellEnd"/>
      <w:r>
        <w:t>.</w:t>
      </w:r>
    </w:p>
    <w:p w14:paraId="7FE4E916" w14:textId="77777777" w:rsidR="008C2534" w:rsidRDefault="003A75A5">
      <w:pPr>
        <w:jc w:val="both"/>
      </w:pPr>
      <w:r>
        <w:t>Au cas où un ou plusieurs facteurs de confusion seraient identifiés, une analyse ajustée par la mét</w:t>
      </w:r>
      <w:r>
        <w:t xml:space="preserve">hode de </w:t>
      </w:r>
      <w:proofErr w:type="spellStart"/>
      <w:r>
        <w:t>Mantel-Haenszel</w:t>
      </w:r>
      <w:proofErr w:type="spellEnd"/>
      <w:r>
        <w:rPr>
          <w:rFonts w:ascii="Verdana" w:eastAsia="Times New Roman" w:hAnsi="Verdana" w:cs="Times New Roman"/>
          <w:color w:val="000000"/>
          <w:sz w:val="16"/>
          <w:szCs w:val="16"/>
          <w:lang w:eastAsia="fr-FR"/>
        </w:rPr>
        <w:t> </w:t>
      </w:r>
      <w:r>
        <w:t xml:space="preserve"> sera réalisée.</w:t>
      </w:r>
    </w:p>
    <w:p w14:paraId="7FE4E917" w14:textId="77777777" w:rsidR="008C2534" w:rsidRDefault="008C2534">
      <w:pPr>
        <w:jc w:val="both"/>
      </w:pPr>
    </w:p>
    <w:p w14:paraId="7FE4E918" w14:textId="77777777" w:rsidR="008C2534" w:rsidRDefault="003A75A5">
      <w:pPr>
        <w:pStyle w:val="Titre4"/>
      </w:pPr>
      <w:r>
        <w:t>Objectifs secondaires</w:t>
      </w:r>
    </w:p>
    <w:p w14:paraId="7FE4E919" w14:textId="77777777" w:rsidR="008C2534" w:rsidRDefault="003A75A5">
      <w:pPr>
        <w:jc w:val="both"/>
      </w:pPr>
      <w:r>
        <w:t xml:space="preserve">Les comparaisons de performance des dispositifs conduites en sous-groupes (topographie d’examen ou objets test) feront appel au test de Mac </w:t>
      </w:r>
      <w:proofErr w:type="spellStart"/>
      <w:r>
        <w:t>Nemar</w:t>
      </w:r>
      <w:proofErr w:type="spellEnd"/>
      <w:r>
        <w:t>.</w:t>
      </w:r>
    </w:p>
    <w:p w14:paraId="7FE4E91A" w14:textId="77777777" w:rsidR="008C2534" w:rsidRDefault="003A75A5">
      <w:pPr>
        <w:jc w:val="both"/>
      </w:pPr>
      <w:r>
        <w:lastRenderedPageBreak/>
        <w:t>Comme pour l’objectif principal, si un ou plus</w:t>
      </w:r>
      <w:r>
        <w:t xml:space="preserve">ieurs facteurs de confusion sont identifiés, une analyse ajustée par la méthode de </w:t>
      </w:r>
      <w:proofErr w:type="spellStart"/>
      <w:r>
        <w:t>Mantel-Haenszel</w:t>
      </w:r>
      <w:proofErr w:type="spellEnd"/>
      <w:r>
        <w:t xml:space="preserve"> sera réalisée.</w:t>
      </w:r>
    </w:p>
    <w:p w14:paraId="7FE4E91B" w14:textId="77777777" w:rsidR="008C2534" w:rsidRDefault="008C2534">
      <w:pPr>
        <w:jc w:val="both"/>
      </w:pPr>
    </w:p>
    <w:p w14:paraId="7FE4E91C" w14:textId="77777777" w:rsidR="008C2534" w:rsidRDefault="003A75A5">
      <w:pPr>
        <w:pStyle w:val="Titre2"/>
        <w:tabs>
          <w:tab w:val="clear" w:pos="1032"/>
        </w:tabs>
        <w:ind w:left="1284" w:hanging="576"/>
      </w:pPr>
      <w:bookmarkStart w:id="149" w:name="_Toc203880567"/>
      <w:bookmarkStart w:id="150" w:name="_Toc203880944"/>
      <w:bookmarkStart w:id="151" w:name="_Toc205870870"/>
      <w:bookmarkStart w:id="152" w:name="_Toc205870990"/>
      <w:bookmarkStart w:id="153" w:name="_Toc205871110"/>
      <w:bookmarkStart w:id="154" w:name="_Toc210446692"/>
      <w:bookmarkStart w:id="155" w:name="_Toc452454492"/>
      <w:bookmarkStart w:id="156" w:name="_Toc505606815"/>
      <w:r>
        <w:t>Nombre prévu de personnes à inclure dans la recherche</w:t>
      </w:r>
      <w:bookmarkEnd w:id="149"/>
      <w:bookmarkEnd w:id="150"/>
      <w:bookmarkEnd w:id="151"/>
      <w:bookmarkEnd w:id="152"/>
      <w:bookmarkEnd w:id="153"/>
      <w:bookmarkEnd w:id="154"/>
      <w:bookmarkEnd w:id="155"/>
      <w:bookmarkEnd w:id="156"/>
    </w:p>
    <w:p w14:paraId="7FE4E91D" w14:textId="77777777" w:rsidR="008C2534" w:rsidRDefault="003A75A5">
      <w:pPr>
        <w:pStyle w:val="Sansinterligne"/>
      </w:pPr>
      <w:r>
        <w:t>Sur la base des performances estimées connues du collimateur de référence, le calcul du</w:t>
      </w:r>
      <w:r>
        <w:t xml:space="preserve"> nombre de sujets nécessaire repose sur une hypothèse de non infériorité du nouveau dispositif à la marge de non infériorité de 12 %.</w:t>
      </w:r>
    </w:p>
    <w:p w14:paraId="7FE4E91E" w14:textId="77777777" w:rsidR="008C2534" w:rsidRDefault="003A75A5">
      <w:pPr>
        <w:pStyle w:val="Sansinterligne"/>
      </w:pPr>
      <w:r>
        <w:t>Le recueil en un seul temps des données ne justifie pas de prévoir un taux de perdus de vue.</w:t>
      </w:r>
    </w:p>
    <w:p w14:paraId="7FE4E91F" w14:textId="77777777" w:rsidR="008C2534" w:rsidRDefault="008C2534">
      <w:pPr>
        <w:pStyle w:val="Sansinterligne"/>
      </w:pPr>
    </w:p>
    <w:p w14:paraId="7FE4E920" w14:textId="77777777" w:rsidR="008C2534" w:rsidRDefault="003A75A5">
      <w:pPr>
        <w:pStyle w:val="Sansinterligne"/>
        <w:numPr>
          <w:ilvl w:val="0"/>
          <w:numId w:val="32"/>
        </w:numPr>
      </w:pPr>
      <w:r>
        <w:t xml:space="preserve">p1 : % d’images de </w:t>
      </w:r>
      <w:r>
        <w:t>bonne qualité attendu avec collimateur de référence = 97%</w:t>
      </w:r>
    </w:p>
    <w:p w14:paraId="7FE4E921" w14:textId="77777777" w:rsidR="008C2534" w:rsidRDefault="003A75A5">
      <w:pPr>
        <w:pStyle w:val="Sansinterligne"/>
        <w:numPr>
          <w:ilvl w:val="0"/>
          <w:numId w:val="32"/>
        </w:numPr>
      </w:pPr>
      <w:r>
        <w:t>p2 : % d’images de bonne qualité attendu avec le nouveau collimateur = 85%</w:t>
      </w:r>
    </w:p>
    <w:p w14:paraId="7FE4E922" w14:textId="77777777" w:rsidR="008C2534" w:rsidRDefault="003A75A5">
      <w:pPr>
        <w:pStyle w:val="Sansinterligne"/>
        <w:numPr>
          <w:ilvl w:val="0"/>
          <w:numId w:val="32"/>
        </w:numPr>
      </w:pPr>
      <w:r>
        <w:t>Marge de non-infériorité p2-p1 = 12%</w:t>
      </w:r>
    </w:p>
    <w:p w14:paraId="7FE4E923" w14:textId="77777777" w:rsidR="008C2534" w:rsidRDefault="003A75A5">
      <w:pPr>
        <w:pStyle w:val="Sansinterligne"/>
        <w:numPr>
          <w:ilvl w:val="0"/>
          <w:numId w:val="32"/>
        </w:numPr>
      </w:pPr>
      <w:r>
        <w:t>α Risque de première espèce = 5%</w:t>
      </w:r>
      <w:r>
        <w:tab/>
        <w:t xml:space="preserve">1-β Puissance = 80% </w:t>
      </w:r>
      <w:r>
        <w:tab/>
        <w:t>Formulation : unilatérale</w:t>
      </w:r>
    </w:p>
    <w:p w14:paraId="7FE4E924" w14:textId="77777777" w:rsidR="008C2534" w:rsidRDefault="008C2534">
      <w:pPr>
        <w:pStyle w:val="Sansinterligne"/>
      </w:pPr>
    </w:p>
    <w:p w14:paraId="7FE4E925" w14:textId="77777777" w:rsidR="008C2534" w:rsidRDefault="003A75A5">
      <w:pPr>
        <w:pStyle w:val="Sansinterligne"/>
        <w:rPr>
          <w:b/>
        </w:rPr>
      </w:pPr>
      <w:r>
        <w:rPr>
          <w:b/>
        </w:rPr>
        <w:t>Métho</w:t>
      </w:r>
      <w:r>
        <w:rPr>
          <w:b/>
        </w:rPr>
        <w:t xml:space="preserve">de  de calcul : </w:t>
      </w:r>
      <w:r>
        <w:t xml:space="preserve">package </w:t>
      </w:r>
      <w:proofErr w:type="spellStart"/>
      <w:r>
        <w:t>epiR</w:t>
      </w:r>
      <w:proofErr w:type="spellEnd"/>
      <w:r>
        <w:t xml:space="preserve"> fonction </w:t>
      </w:r>
      <w:proofErr w:type="spellStart"/>
      <w:r>
        <w:t>epi.prosize</w:t>
      </w:r>
      <w:proofErr w:type="spellEnd"/>
    </w:p>
    <w:p w14:paraId="7FE4E926" w14:textId="77777777" w:rsidR="008C2534" w:rsidRDefault="008C2534">
      <w:pPr>
        <w:pStyle w:val="Sansinterligne"/>
        <w:rPr>
          <w:b/>
        </w:rPr>
      </w:pPr>
    </w:p>
    <w:p w14:paraId="7FE4E927" w14:textId="77777777" w:rsidR="008C2534" w:rsidRDefault="003A75A5">
      <w:pPr>
        <w:pStyle w:val="Sansinterligne"/>
        <w:jc w:val="center"/>
        <w:rPr>
          <w:b/>
        </w:rPr>
      </w:pPr>
      <w:r>
        <w:rPr>
          <w:b/>
        </w:rPr>
        <w:t>n Nombre de sujets nécessaire = 70</w:t>
      </w:r>
    </w:p>
    <w:p w14:paraId="7FE4E928" w14:textId="77777777" w:rsidR="008C2534" w:rsidRDefault="003A75A5">
      <w:pPr>
        <w:pStyle w:val="Titre2"/>
        <w:tabs>
          <w:tab w:val="clear" w:pos="1032"/>
        </w:tabs>
        <w:ind w:left="1284" w:hanging="576"/>
        <w:jc w:val="left"/>
      </w:pPr>
      <w:bookmarkStart w:id="157" w:name="_Toc203880568"/>
      <w:bookmarkStart w:id="158" w:name="_Toc203880945"/>
      <w:bookmarkStart w:id="159" w:name="_Toc205870871"/>
      <w:bookmarkStart w:id="160" w:name="_Toc205870991"/>
      <w:bookmarkStart w:id="161" w:name="_Toc205871111"/>
      <w:bookmarkStart w:id="162" w:name="_Toc210446693"/>
      <w:bookmarkStart w:id="163" w:name="_Toc452454493"/>
      <w:bookmarkStart w:id="164" w:name="_Toc505606816"/>
      <w:r>
        <w:t>Degré de signification statistique prévu</w:t>
      </w:r>
      <w:bookmarkEnd w:id="157"/>
      <w:bookmarkEnd w:id="158"/>
      <w:bookmarkEnd w:id="159"/>
      <w:bookmarkEnd w:id="160"/>
      <w:bookmarkEnd w:id="161"/>
      <w:bookmarkEnd w:id="162"/>
      <w:bookmarkEnd w:id="163"/>
      <w:bookmarkEnd w:id="164"/>
    </w:p>
    <w:p w14:paraId="7FE4E929" w14:textId="77777777" w:rsidR="008C2534" w:rsidRDefault="003A75A5">
      <w:pPr>
        <w:jc w:val="both"/>
      </w:pPr>
      <w:r>
        <w:t xml:space="preserve">Pour l’ensemble des tests statistiques, le risque de première espèce est fixé à </w:t>
      </w:r>
      <w:r>
        <w:rPr>
          <w:rFonts w:cstheme="minorHAnsi"/>
        </w:rPr>
        <w:t>α</w:t>
      </w:r>
      <w:r>
        <w:t xml:space="preserve"> = 5%.</w:t>
      </w:r>
    </w:p>
    <w:p w14:paraId="7FE4E92A" w14:textId="77777777" w:rsidR="008C2534" w:rsidRDefault="003A75A5">
      <w:pPr>
        <w:pStyle w:val="Titre2"/>
        <w:tabs>
          <w:tab w:val="clear" w:pos="1032"/>
        </w:tabs>
        <w:ind w:left="1284" w:hanging="576"/>
        <w:jc w:val="left"/>
      </w:pPr>
      <w:bookmarkStart w:id="165" w:name="_Toc203880569"/>
      <w:bookmarkStart w:id="166" w:name="_Toc203880946"/>
      <w:bookmarkStart w:id="167" w:name="_Toc205870872"/>
      <w:bookmarkStart w:id="168" w:name="_Toc205870992"/>
      <w:bookmarkStart w:id="169" w:name="_Toc205871112"/>
      <w:bookmarkStart w:id="170" w:name="_Toc210446694"/>
      <w:bookmarkStart w:id="171" w:name="_Toc452454494"/>
      <w:bookmarkStart w:id="172" w:name="_Toc505606817"/>
      <w:bookmarkStart w:id="173" w:name="_Toc144030313"/>
      <w:bookmarkStart w:id="174" w:name="_Toc144030492"/>
      <w:bookmarkStart w:id="175" w:name="_Toc144031177"/>
      <w:bookmarkStart w:id="176" w:name="_Toc144031563"/>
      <w:bookmarkStart w:id="177" w:name="_Toc144032493"/>
      <w:bookmarkStart w:id="178" w:name="_Toc144032652"/>
      <w:bookmarkStart w:id="179" w:name="_Toc144033389"/>
      <w:bookmarkStart w:id="180" w:name="_Toc144097000"/>
      <w:r>
        <w:t>Critères statistiques d’arrêt de la recherche</w:t>
      </w:r>
      <w:bookmarkEnd w:id="165"/>
      <w:bookmarkEnd w:id="166"/>
      <w:bookmarkEnd w:id="167"/>
      <w:bookmarkEnd w:id="168"/>
      <w:bookmarkEnd w:id="169"/>
      <w:bookmarkEnd w:id="170"/>
      <w:bookmarkEnd w:id="171"/>
      <w:bookmarkEnd w:id="172"/>
    </w:p>
    <w:p w14:paraId="7FE4E92B" w14:textId="77777777" w:rsidR="008C2534" w:rsidRDefault="003A75A5">
      <w:pPr>
        <w:jc w:val="both"/>
      </w:pPr>
      <w:r>
        <w:t>Aucun.</w:t>
      </w:r>
    </w:p>
    <w:p w14:paraId="7FE4E92C" w14:textId="77777777" w:rsidR="008C2534" w:rsidRDefault="003A75A5">
      <w:pPr>
        <w:pStyle w:val="Titre2"/>
        <w:tabs>
          <w:tab w:val="clear" w:pos="1032"/>
        </w:tabs>
        <w:ind w:left="1284" w:hanging="576"/>
        <w:jc w:val="left"/>
      </w:pPr>
      <w:bookmarkStart w:id="181" w:name="_Toc203880570"/>
      <w:bookmarkStart w:id="182" w:name="_Toc203880947"/>
      <w:bookmarkStart w:id="183" w:name="_Toc205870873"/>
      <w:bookmarkStart w:id="184" w:name="_Toc205870993"/>
      <w:bookmarkStart w:id="185" w:name="_Toc205871113"/>
      <w:bookmarkStart w:id="186" w:name="_Toc210446695"/>
      <w:bookmarkStart w:id="187" w:name="_Toc452454495"/>
      <w:bookmarkStart w:id="188" w:name="_Toc505606818"/>
      <w:bookmarkEnd w:id="173"/>
      <w:bookmarkEnd w:id="174"/>
      <w:bookmarkEnd w:id="175"/>
      <w:bookmarkEnd w:id="176"/>
      <w:bookmarkEnd w:id="177"/>
      <w:bookmarkEnd w:id="178"/>
      <w:bookmarkEnd w:id="179"/>
      <w:bookmarkEnd w:id="180"/>
      <w:r>
        <w:t>Méthode de prise en compte des données manquantes, inutilisées ou non valides</w:t>
      </w:r>
      <w:bookmarkEnd w:id="181"/>
      <w:bookmarkEnd w:id="182"/>
      <w:bookmarkEnd w:id="183"/>
      <w:bookmarkEnd w:id="184"/>
      <w:bookmarkEnd w:id="185"/>
      <w:bookmarkEnd w:id="186"/>
      <w:bookmarkEnd w:id="187"/>
      <w:bookmarkEnd w:id="188"/>
    </w:p>
    <w:p w14:paraId="7FE4E92D" w14:textId="77777777" w:rsidR="008C2534" w:rsidRDefault="003A75A5">
      <w:pPr>
        <w:jc w:val="both"/>
      </w:pPr>
      <w:r>
        <w:t>Les patients pour lesquels un critère</w:t>
      </w:r>
      <w:r>
        <w:t xml:space="preserve"> de jugement principal est manquant seront exclus des analyses.</w:t>
      </w:r>
    </w:p>
    <w:p w14:paraId="7FE4E92E" w14:textId="77777777" w:rsidR="008C2534" w:rsidRDefault="008C2534"/>
    <w:p w14:paraId="7FE4E92F" w14:textId="77777777" w:rsidR="008C2534" w:rsidRDefault="008C2534">
      <w:pPr>
        <w:jc w:val="both"/>
      </w:pPr>
    </w:p>
    <w:p w14:paraId="7FE4E930" w14:textId="77777777" w:rsidR="008C2534" w:rsidRDefault="008C2534">
      <w:pPr>
        <w:jc w:val="both"/>
      </w:pPr>
    </w:p>
    <w:p w14:paraId="7FE4E931" w14:textId="77777777" w:rsidR="008C2534" w:rsidRDefault="003A75A5">
      <w:pPr>
        <w:pStyle w:val="Titre1"/>
        <w:keepNext w:val="0"/>
        <w:tabs>
          <w:tab w:val="num" w:pos="0"/>
          <w:tab w:val="left" w:pos="57"/>
        </w:tabs>
      </w:pPr>
      <w:bookmarkStart w:id="189" w:name="_Toc203880573"/>
      <w:bookmarkStart w:id="190" w:name="_Toc203880950"/>
      <w:bookmarkStart w:id="191" w:name="_Toc205870876"/>
      <w:bookmarkStart w:id="192" w:name="_Toc205870996"/>
      <w:bookmarkStart w:id="193" w:name="_Toc205871116"/>
      <w:bookmarkStart w:id="194" w:name="_Toc210446698"/>
      <w:bookmarkStart w:id="195" w:name="_Toc452454498"/>
      <w:bookmarkStart w:id="196" w:name="_Toc505606820"/>
      <w:r>
        <w:t>Droit d’accès aux données et documents source</w:t>
      </w:r>
      <w:bookmarkEnd w:id="189"/>
      <w:bookmarkEnd w:id="190"/>
      <w:bookmarkEnd w:id="191"/>
      <w:bookmarkEnd w:id="192"/>
      <w:bookmarkEnd w:id="193"/>
      <w:bookmarkEnd w:id="194"/>
      <w:bookmarkEnd w:id="195"/>
      <w:bookmarkEnd w:id="196"/>
    </w:p>
    <w:p w14:paraId="7FE4E932" w14:textId="77777777" w:rsidR="008C2534" w:rsidRDefault="003A75A5">
      <w:pPr>
        <w:pStyle w:val="Titre2"/>
        <w:tabs>
          <w:tab w:val="clear" w:pos="1032"/>
        </w:tabs>
        <w:ind w:left="1284" w:hanging="576"/>
        <w:jc w:val="left"/>
      </w:pPr>
      <w:bookmarkStart w:id="197" w:name="_Toc203880574"/>
      <w:bookmarkStart w:id="198" w:name="_Toc203880951"/>
      <w:bookmarkStart w:id="199" w:name="_Toc205870877"/>
      <w:bookmarkStart w:id="200" w:name="_Toc205870997"/>
      <w:bookmarkStart w:id="201" w:name="_Toc205871117"/>
      <w:bookmarkStart w:id="202" w:name="_Toc210446699"/>
      <w:bookmarkStart w:id="203" w:name="_Toc452454499"/>
      <w:bookmarkStart w:id="204" w:name="_Toc505606821"/>
      <w:r>
        <w:t>Accès aux données</w:t>
      </w:r>
      <w:bookmarkEnd w:id="197"/>
      <w:bookmarkEnd w:id="198"/>
      <w:bookmarkEnd w:id="199"/>
      <w:bookmarkEnd w:id="200"/>
      <w:bookmarkEnd w:id="201"/>
      <w:bookmarkEnd w:id="202"/>
      <w:bookmarkEnd w:id="203"/>
      <w:bookmarkEnd w:id="204"/>
    </w:p>
    <w:p w14:paraId="7FE4E933" w14:textId="77777777" w:rsidR="008C2534" w:rsidRDefault="008C2534">
      <w:pPr>
        <w:jc w:val="both"/>
        <w:rPr>
          <w:i/>
          <w:color w:val="0000FF"/>
          <w:u w:val="single"/>
        </w:rPr>
      </w:pPr>
    </w:p>
    <w:p w14:paraId="7FE4E934" w14:textId="77777777" w:rsidR="008C2534" w:rsidRDefault="003A75A5">
      <w:pPr>
        <w:jc w:val="both"/>
      </w:pPr>
      <w:r>
        <w:t>Conformément aux BPC :</w:t>
      </w:r>
    </w:p>
    <w:p w14:paraId="7FE4E935" w14:textId="77777777" w:rsidR="008C2534" w:rsidRDefault="003A75A5">
      <w:pPr>
        <w:jc w:val="both"/>
      </w:pPr>
      <w:r>
        <w:t>- le promoteur est chargé d’obtenir l’accord de l’ensemble des parties impliquées dans la recherche a</w:t>
      </w:r>
      <w:r>
        <w:t xml:space="preserve">fin de garantir l’accès direct à tous les lieux de déroulement de la recherche, aux données source, </w:t>
      </w:r>
      <w:r>
        <w:lastRenderedPageBreak/>
        <w:t>aux documents source et aux rapports dans un but de contrôle de qualité et d’audit par le promoteur,</w:t>
      </w:r>
    </w:p>
    <w:p w14:paraId="7FE4E936" w14:textId="77777777" w:rsidR="008C2534" w:rsidRDefault="003A75A5">
      <w:pPr>
        <w:jc w:val="both"/>
      </w:pPr>
      <w:r>
        <w:t>- les investigateurs mettront à disposition des personn</w:t>
      </w:r>
      <w:r>
        <w:t>es chargées du suivi, du contrôle de qualité ou de l'audit de la recherche biomédicale, les documents et données individuelles strictement nécessaires à ce contrôle, conformément aux dispositions législatives et réglementaires en vigueur (articles L.1121-3</w:t>
      </w:r>
      <w:r>
        <w:t xml:space="preserve"> et R.5121-13 du code de la santé publique).</w:t>
      </w:r>
    </w:p>
    <w:p w14:paraId="7FE4E937" w14:textId="77777777" w:rsidR="008C2534" w:rsidRDefault="008C2534">
      <w:pPr>
        <w:autoSpaceDE w:val="0"/>
        <w:autoSpaceDN w:val="0"/>
        <w:adjustRightInd w:val="0"/>
        <w:jc w:val="both"/>
        <w:rPr>
          <w:i/>
        </w:rPr>
      </w:pPr>
    </w:p>
    <w:p w14:paraId="7FE4E938" w14:textId="77777777" w:rsidR="008C2534" w:rsidRDefault="003A75A5">
      <w:pPr>
        <w:pStyle w:val="Titre2"/>
        <w:tabs>
          <w:tab w:val="clear" w:pos="1032"/>
        </w:tabs>
        <w:ind w:left="1284" w:hanging="576"/>
        <w:jc w:val="left"/>
      </w:pPr>
      <w:bookmarkStart w:id="205" w:name="_Toc203880575"/>
      <w:bookmarkStart w:id="206" w:name="_Toc203880952"/>
      <w:bookmarkStart w:id="207" w:name="_Toc205870878"/>
      <w:bookmarkStart w:id="208" w:name="_Toc205870998"/>
      <w:bookmarkStart w:id="209" w:name="_Toc205871118"/>
      <w:bookmarkStart w:id="210" w:name="_Toc210446700"/>
      <w:bookmarkStart w:id="211" w:name="_Toc452454500"/>
      <w:bookmarkStart w:id="212" w:name="_Toc505606822"/>
      <w:r>
        <w:t>Documents source</w:t>
      </w:r>
      <w:bookmarkEnd w:id="205"/>
      <w:bookmarkEnd w:id="206"/>
      <w:bookmarkEnd w:id="207"/>
      <w:bookmarkEnd w:id="208"/>
      <w:bookmarkEnd w:id="209"/>
      <w:bookmarkEnd w:id="210"/>
      <w:bookmarkEnd w:id="211"/>
      <w:bookmarkEnd w:id="212"/>
    </w:p>
    <w:p w14:paraId="7FE4E939" w14:textId="77777777" w:rsidR="008C2534" w:rsidRDefault="008C2534">
      <w:pPr>
        <w:autoSpaceDE w:val="0"/>
        <w:autoSpaceDN w:val="0"/>
        <w:adjustRightInd w:val="0"/>
        <w:jc w:val="both"/>
        <w:rPr>
          <w:i/>
          <w:color w:val="0000FF"/>
          <w:u w:val="single"/>
        </w:rPr>
      </w:pPr>
    </w:p>
    <w:p w14:paraId="7FE4E93A" w14:textId="77777777" w:rsidR="008C2534" w:rsidRDefault="003A75A5">
      <w:pPr>
        <w:autoSpaceDE w:val="0"/>
        <w:autoSpaceDN w:val="0"/>
        <w:adjustRightInd w:val="0"/>
        <w:jc w:val="both"/>
      </w:pPr>
      <w:r>
        <w:t>Les documents source étant définis comme tout document ou objet original permettant de prouver l'existence ou l'exactitude d'une donnée ou d'un fait enregistrés au cours de l’</w:t>
      </w:r>
      <w:hyperlink r:id="rId14" w:anchor="essaiclinique" w:history="1">
        <w:r>
          <w:t>étude clinique</w:t>
        </w:r>
      </w:hyperlink>
      <w:r>
        <w:t xml:space="preserve"> seront conservés pendant 25 ans par l'investigateur ou par l'hôpital s'il s'agit d'un dossier médical hospitalier.</w:t>
      </w:r>
    </w:p>
    <w:p w14:paraId="7FE4E93B" w14:textId="77777777" w:rsidR="008C2534" w:rsidRDefault="008C2534">
      <w:pPr>
        <w:autoSpaceDE w:val="0"/>
        <w:autoSpaceDN w:val="0"/>
        <w:adjustRightInd w:val="0"/>
        <w:jc w:val="both"/>
      </w:pPr>
    </w:p>
    <w:p w14:paraId="7FE4E93C" w14:textId="77777777" w:rsidR="008C2534" w:rsidRDefault="003A75A5">
      <w:pPr>
        <w:pStyle w:val="Titre2"/>
        <w:tabs>
          <w:tab w:val="clear" w:pos="1032"/>
        </w:tabs>
        <w:ind w:left="1284" w:hanging="576"/>
        <w:jc w:val="left"/>
      </w:pPr>
      <w:bookmarkStart w:id="213" w:name="_Toc203880576"/>
      <w:bookmarkStart w:id="214" w:name="_Toc203880953"/>
      <w:bookmarkStart w:id="215" w:name="_Toc205870879"/>
      <w:bookmarkStart w:id="216" w:name="_Toc205870999"/>
      <w:bookmarkStart w:id="217" w:name="_Toc205871119"/>
      <w:bookmarkStart w:id="218" w:name="_Toc210446701"/>
      <w:bookmarkStart w:id="219" w:name="_Toc452454501"/>
      <w:bookmarkStart w:id="220" w:name="_Toc505606823"/>
      <w:r>
        <w:t>Confidentialité des données</w:t>
      </w:r>
      <w:bookmarkEnd w:id="213"/>
      <w:bookmarkEnd w:id="214"/>
      <w:bookmarkEnd w:id="215"/>
      <w:bookmarkEnd w:id="216"/>
      <w:bookmarkEnd w:id="217"/>
      <w:bookmarkEnd w:id="218"/>
      <w:bookmarkEnd w:id="219"/>
      <w:bookmarkEnd w:id="220"/>
    </w:p>
    <w:p w14:paraId="7FE4E93D" w14:textId="77777777" w:rsidR="008C2534" w:rsidRDefault="008C2534">
      <w:pPr>
        <w:autoSpaceDE w:val="0"/>
        <w:autoSpaceDN w:val="0"/>
        <w:adjustRightInd w:val="0"/>
        <w:jc w:val="both"/>
        <w:rPr>
          <w:i/>
          <w:color w:val="0000FF"/>
          <w:u w:val="single"/>
        </w:rPr>
      </w:pPr>
    </w:p>
    <w:p w14:paraId="7FE4E93E" w14:textId="77777777" w:rsidR="008C2534" w:rsidRDefault="003A75A5">
      <w:pPr>
        <w:autoSpaceDE w:val="0"/>
        <w:autoSpaceDN w:val="0"/>
        <w:adjustRightInd w:val="0"/>
        <w:jc w:val="both"/>
      </w:pPr>
      <w:r>
        <w:t xml:space="preserve">Conformément aux dispositions concernant la confidentialité des données auxquelles ont accès les personnes chargées du contrôle de qualité d’une recherche biomédicale (article L.1121-3 du code de la santé publique), conformément aux dispositions relatives </w:t>
      </w:r>
      <w:r>
        <w:t xml:space="preserve">à la confidentialité des informations concernant notamment la nature des  produits , les essais, les personnes qui s'y prêtent et les résultats obtenus (article R. 5121-13 du code de la santé publique), les personnes ayant un accès direct prendront toutes </w:t>
      </w:r>
      <w:r>
        <w:t>les précautions nécessaires en vue d'assurer la confidentialité des informations relatives aux produits , aux essais, aux personnes qui s'y prêtent et notamment en ce qui concerne leur identité ainsi qu’aux résultats obtenus.</w:t>
      </w:r>
    </w:p>
    <w:p w14:paraId="7FE4E93F" w14:textId="77777777" w:rsidR="008C2534" w:rsidRDefault="003A75A5">
      <w:pPr>
        <w:autoSpaceDE w:val="0"/>
        <w:autoSpaceDN w:val="0"/>
        <w:adjustRightInd w:val="0"/>
        <w:jc w:val="both"/>
      </w:pPr>
      <w:r>
        <w:t>Ces personnes, au même titre q</w:t>
      </w:r>
      <w:r>
        <w:t>ue les investigateurs eux-mêmes, sont soumises au secret professionnel (selon les conditions définies par les articles 226-13 et 226-14 du code pénal).</w:t>
      </w:r>
    </w:p>
    <w:p w14:paraId="7FE4E940" w14:textId="77777777" w:rsidR="008C2534" w:rsidRDefault="003A75A5">
      <w:pPr>
        <w:autoSpaceDE w:val="0"/>
        <w:autoSpaceDN w:val="0"/>
        <w:adjustRightInd w:val="0"/>
        <w:jc w:val="both"/>
      </w:pPr>
      <w:r>
        <w:t>Pendant la recherche biomédicale ou à son issue, les données recueillies sur les personnes qui s’y prête</w:t>
      </w:r>
      <w:r>
        <w:t>nt et transmises au promoteur par les investigateurs (ou tous autres intervenants spécialisés) seront rendues anonymes.</w:t>
      </w:r>
    </w:p>
    <w:p w14:paraId="7FE4E941" w14:textId="77777777" w:rsidR="008C2534" w:rsidRDefault="003A75A5">
      <w:pPr>
        <w:autoSpaceDE w:val="0"/>
        <w:autoSpaceDN w:val="0"/>
        <w:adjustRightInd w:val="0"/>
        <w:jc w:val="both"/>
      </w:pPr>
      <w:r>
        <w:t xml:space="preserve">Elles ne doivent en aucun cas faire apparaître en clair les noms des personnes concernées ni leur adresse. </w:t>
      </w:r>
    </w:p>
    <w:p w14:paraId="7FE4E942" w14:textId="77777777" w:rsidR="008C2534" w:rsidRDefault="003A75A5">
      <w:pPr>
        <w:autoSpaceDE w:val="0"/>
        <w:autoSpaceDN w:val="0"/>
        <w:adjustRightInd w:val="0"/>
        <w:jc w:val="both"/>
      </w:pPr>
      <w:r>
        <w:t>Seules la première lettre du</w:t>
      </w:r>
      <w:r>
        <w:t xml:space="preserve"> nom du sujet et la première lettre de son prénom seront enregistrées, accompagnées d’un numéro codé propre à l’étude indiquant l’ordre d’inclusion des sujets. Les images du patient seront </w:t>
      </w:r>
      <w:proofErr w:type="spellStart"/>
      <w:r>
        <w:t>anonymisées</w:t>
      </w:r>
      <w:proofErr w:type="spellEnd"/>
      <w:r>
        <w:t>, au moyen d'une fonctionnalité spécifique de la console</w:t>
      </w:r>
      <w:r>
        <w:t xml:space="preserve"> de traitement d'image.</w:t>
      </w:r>
    </w:p>
    <w:p w14:paraId="7FE4E943" w14:textId="77777777" w:rsidR="008C2534" w:rsidRDefault="003A75A5">
      <w:pPr>
        <w:autoSpaceDE w:val="0"/>
        <w:autoSpaceDN w:val="0"/>
        <w:adjustRightInd w:val="0"/>
        <w:jc w:val="both"/>
      </w:pPr>
      <w:r>
        <w:lastRenderedPageBreak/>
        <w:t>Le promoteur s’assurera que chaque personne qui se prête à la recherche a donné son accord par écrit pour l’accès aux données individuelles la concernant et strictement nécessaires au contrôle de qualité de la recherche.</w:t>
      </w:r>
    </w:p>
    <w:p w14:paraId="7FE4E944" w14:textId="77777777" w:rsidR="008C2534" w:rsidRDefault="008C2534">
      <w:pPr>
        <w:rPr>
          <w:b/>
          <w:color w:val="000000"/>
        </w:rPr>
      </w:pPr>
    </w:p>
    <w:p w14:paraId="7FE4E945" w14:textId="77777777" w:rsidR="008C2534" w:rsidRDefault="003A75A5">
      <w:pPr>
        <w:pStyle w:val="Titre1"/>
        <w:keepNext w:val="0"/>
        <w:tabs>
          <w:tab w:val="num" w:pos="0"/>
          <w:tab w:val="left" w:pos="57"/>
        </w:tabs>
      </w:pPr>
      <w:bookmarkStart w:id="221" w:name="_Toc203880577"/>
      <w:bookmarkStart w:id="222" w:name="_Toc203880954"/>
      <w:bookmarkStart w:id="223" w:name="_Toc205870880"/>
      <w:bookmarkStart w:id="224" w:name="_Toc205871000"/>
      <w:bookmarkStart w:id="225" w:name="_Toc205871120"/>
      <w:bookmarkStart w:id="226" w:name="_Toc210446702"/>
      <w:bookmarkStart w:id="227" w:name="_Toc452454502"/>
      <w:bookmarkStart w:id="228" w:name="_Toc505606824"/>
      <w:r>
        <w:t>Contrôle e</w:t>
      </w:r>
      <w:r>
        <w:t>t assurance de la qualité</w:t>
      </w:r>
      <w:bookmarkEnd w:id="221"/>
      <w:bookmarkEnd w:id="222"/>
      <w:bookmarkEnd w:id="223"/>
      <w:bookmarkEnd w:id="224"/>
      <w:bookmarkEnd w:id="225"/>
      <w:bookmarkEnd w:id="226"/>
      <w:bookmarkEnd w:id="227"/>
      <w:bookmarkEnd w:id="228"/>
    </w:p>
    <w:p w14:paraId="7FE4E946" w14:textId="77777777" w:rsidR="008C2534" w:rsidRDefault="008C2534">
      <w:pPr>
        <w:jc w:val="both"/>
      </w:pPr>
    </w:p>
    <w:p w14:paraId="7FE4E947" w14:textId="77777777" w:rsidR="008C2534" w:rsidRDefault="003A75A5">
      <w:pPr>
        <w:jc w:val="both"/>
      </w:pPr>
      <w:r>
        <w:t>Un Attaché de Recherche Clinique (ARC) mandaté par le promoteur s’assurera de la bonne réalisation de l’étude.</w:t>
      </w:r>
    </w:p>
    <w:p w14:paraId="7FE4E948" w14:textId="77777777" w:rsidR="008C2534" w:rsidRDefault="003A75A5">
      <w:pPr>
        <w:jc w:val="both"/>
      </w:pPr>
      <w:r>
        <w:t>L'investigateur et les membres de son équipe acceptent de se rendre disponibles lors des visites de Contrôle de Qualit</w:t>
      </w:r>
      <w:r>
        <w:t>é effectuées à intervalles réguliers par l’Attaché de Recherche Clinique. Lors de ces visites, les éléments suivant seront revus :</w:t>
      </w:r>
    </w:p>
    <w:p w14:paraId="7FE4E949" w14:textId="77777777" w:rsidR="008C2534" w:rsidRDefault="003A75A5">
      <w:pPr>
        <w:numPr>
          <w:ilvl w:val="0"/>
          <w:numId w:val="19"/>
        </w:numPr>
        <w:spacing w:after="0" w:line="240" w:lineRule="auto"/>
        <w:jc w:val="both"/>
      </w:pPr>
      <w:r>
        <w:t>consentement exprès</w:t>
      </w:r>
    </w:p>
    <w:p w14:paraId="7FE4E94A" w14:textId="77777777" w:rsidR="008C2534" w:rsidRDefault="003A75A5">
      <w:pPr>
        <w:numPr>
          <w:ilvl w:val="0"/>
          <w:numId w:val="19"/>
        </w:numPr>
        <w:spacing w:after="0" w:line="240" w:lineRule="auto"/>
        <w:jc w:val="both"/>
      </w:pPr>
      <w:r>
        <w:t>respect du protocole de l'étude et des procédures qui y sont définies</w:t>
      </w:r>
    </w:p>
    <w:p w14:paraId="7FE4E94B" w14:textId="77777777" w:rsidR="008C2534" w:rsidRDefault="008C2534">
      <w:pPr>
        <w:pStyle w:val="Normalcentr"/>
      </w:pPr>
    </w:p>
    <w:p w14:paraId="7FE4E94C" w14:textId="77777777" w:rsidR="008C2534" w:rsidRDefault="003A75A5">
      <w:pPr>
        <w:jc w:val="both"/>
      </w:pPr>
      <w:r>
        <w:t>D’autre part, Les investigateurs s</w:t>
      </w:r>
      <w:r>
        <w:t>’engagent à accepter les audits d’assurance qualité effectués par le promoteur ainsi que les inspections effectuées par les Autorités Compétentes. Toutes les données, tous les documents et rapports peuvent faire l'objet d'audits et d'inspections réglementa</w:t>
      </w:r>
      <w:r>
        <w:t>ires sans que puisse être opposé le secret médical.</w:t>
      </w:r>
    </w:p>
    <w:p w14:paraId="7FE4E94D" w14:textId="77777777" w:rsidR="008C2534" w:rsidRDefault="003A75A5">
      <w:pPr>
        <w:pStyle w:val="Titre1"/>
        <w:keepNext w:val="0"/>
        <w:tabs>
          <w:tab w:val="num" w:pos="0"/>
          <w:tab w:val="left" w:pos="57"/>
        </w:tabs>
      </w:pPr>
      <w:bookmarkStart w:id="229" w:name="_Toc203880582"/>
      <w:bookmarkStart w:id="230" w:name="_Toc203880959"/>
      <w:bookmarkStart w:id="231" w:name="_Toc205870881"/>
      <w:bookmarkStart w:id="232" w:name="_Toc205871001"/>
      <w:bookmarkStart w:id="233" w:name="_Toc205871121"/>
      <w:bookmarkStart w:id="234" w:name="_Toc210446703"/>
      <w:bookmarkStart w:id="235" w:name="_Toc452454503"/>
      <w:bookmarkStart w:id="236" w:name="_Toc505606825"/>
      <w:r>
        <w:t>Considérations éthiques</w:t>
      </w:r>
      <w:bookmarkEnd w:id="229"/>
      <w:bookmarkEnd w:id="230"/>
      <w:bookmarkEnd w:id="231"/>
      <w:bookmarkEnd w:id="232"/>
      <w:bookmarkEnd w:id="233"/>
      <w:bookmarkEnd w:id="234"/>
      <w:bookmarkEnd w:id="235"/>
      <w:bookmarkEnd w:id="236"/>
    </w:p>
    <w:p w14:paraId="7FE4E94E" w14:textId="77777777" w:rsidR="008C2534" w:rsidRDefault="003A75A5">
      <w:pPr>
        <w:pStyle w:val="Titre2"/>
        <w:tabs>
          <w:tab w:val="clear" w:pos="1032"/>
        </w:tabs>
        <w:ind w:left="1284" w:hanging="576"/>
        <w:jc w:val="left"/>
      </w:pPr>
      <w:bookmarkStart w:id="237" w:name="_Toc203880583"/>
      <w:bookmarkStart w:id="238" w:name="_Toc203880960"/>
      <w:bookmarkStart w:id="239" w:name="_Toc205870882"/>
      <w:bookmarkStart w:id="240" w:name="_Toc205871002"/>
      <w:bookmarkStart w:id="241" w:name="_Toc205871122"/>
      <w:bookmarkStart w:id="242" w:name="_Toc210446704"/>
      <w:bookmarkStart w:id="243" w:name="_Toc452454504"/>
      <w:bookmarkStart w:id="244" w:name="_Toc505606826"/>
      <w:r>
        <w:t>Comité de Protection des Personnes</w:t>
      </w:r>
      <w:bookmarkEnd w:id="237"/>
      <w:bookmarkEnd w:id="238"/>
      <w:bookmarkEnd w:id="239"/>
      <w:bookmarkEnd w:id="240"/>
      <w:bookmarkEnd w:id="241"/>
      <w:bookmarkEnd w:id="242"/>
      <w:bookmarkEnd w:id="243"/>
      <w:bookmarkEnd w:id="244"/>
    </w:p>
    <w:p w14:paraId="7FE4E94F" w14:textId="77777777" w:rsidR="008C2534" w:rsidRDefault="008C2534">
      <w:pPr>
        <w:autoSpaceDE w:val="0"/>
        <w:autoSpaceDN w:val="0"/>
        <w:adjustRightInd w:val="0"/>
        <w:jc w:val="both"/>
      </w:pPr>
    </w:p>
    <w:p w14:paraId="7FE4E950" w14:textId="77777777" w:rsidR="008C2534" w:rsidRDefault="003A75A5">
      <w:pPr>
        <w:autoSpaceDE w:val="0"/>
        <w:autoSpaceDN w:val="0"/>
        <w:adjustRightInd w:val="0"/>
        <w:jc w:val="both"/>
      </w:pPr>
      <w:r>
        <w:t xml:space="preserve">Le protocole, le formulaire d'information de l'étude seront soumis pour avis à un Comité de Protection des Personnes désigné par tirage au </w:t>
      </w:r>
      <w:r>
        <w:t>sort.</w:t>
      </w:r>
    </w:p>
    <w:p w14:paraId="7FE4E951" w14:textId="77777777" w:rsidR="008C2534" w:rsidRDefault="003A75A5">
      <w:pPr>
        <w:jc w:val="both"/>
      </w:pPr>
      <w:r>
        <w:t>La notification de l'avis favorable du CPP sera transmise au promoteur de l'étude et à l'Autorité compétente.</w:t>
      </w:r>
    </w:p>
    <w:p w14:paraId="7FE4E952" w14:textId="77777777" w:rsidR="008C2534" w:rsidRDefault="003A75A5">
      <w:pPr>
        <w:pStyle w:val="Titre2"/>
        <w:tabs>
          <w:tab w:val="clear" w:pos="1032"/>
        </w:tabs>
        <w:ind w:left="1284" w:hanging="576"/>
        <w:jc w:val="left"/>
        <w:rPr>
          <w:rFonts w:cs="Times New Roman"/>
          <w:szCs w:val="24"/>
        </w:rPr>
      </w:pPr>
      <w:bookmarkStart w:id="245" w:name="_Toc203880584"/>
      <w:bookmarkStart w:id="246" w:name="_Toc203880961"/>
      <w:bookmarkStart w:id="247" w:name="_Toc205870883"/>
      <w:bookmarkStart w:id="248" w:name="_Toc205871003"/>
      <w:bookmarkStart w:id="249" w:name="_Toc205871123"/>
      <w:bookmarkStart w:id="250" w:name="_Toc210446705"/>
      <w:bookmarkStart w:id="251" w:name="_Toc452454505"/>
      <w:bookmarkStart w:id="252" w:name="_Toc505606827"/>
      <w:r>
        <w:t>Modifications substantielles</w:t>
      </w:r>
      <w:bookmarkEnd w:id="245"/>
      <w:bookmarkEnd w:id="246"/>
      <w:bookmarkEnd w:id="247"/>
      <w:bookmarkEnd w:id="248"/>
      <w:bookmarkEnd w:id="249"/>
      <w:bookmarkEnd w:id="250"/>
      <w:bookmarkEnd w:id="251"/>
      <w:bookmarkEnd w:id="252"/>
    </w:p>
    <w:p w14:paraId="7FE4E953" w14:textId="77777777" w:rsidR="008C2534" w:rsidRDefault="008C2534">
      <w:pPr>
        <w:jc w:val="both"/>
        <w:rPr>
          <w:i/>
          <w:color w:val="0000FF"/>
          <w:u w:val="single"/>
        </w:rPr>
      </w:pPr>
    </w:p>
    <w:p w14:paraId="7FE4E954" w14:textId="77777777" w:rsidR="008C2534" w:rsidRDefault="003A75A5">
      <w:pPr>
        <w:jc w:val="both"/>
      </w:pPr>
      <w:r>
        <w:t>En cas de modification substantielle apportée au protocole par l’investigateur, elle sera approuvée par le pro</w:t>
      </w:r>
      <w:r>
        <w:t>moteur. Ce dernier devra obtenir préalablement à sa mise en œuvre un avis favorable du CPP. Un nouveau consentement des personnes participant à la recherche sera recueilli si nécessaire.</w:t>
      </w:r>
    </w:p>
    <w:p w14:paraId="7FE4E955" w14:textId="77777777" w:rsidR="008C2534" w:rsidRDefault="008C2534">
      <w:pPr>
        <w:jc w:val="both"/>
      </w:pPr>
    </w:p>
    <w:p w14:paraId="7FE4E956" w14:textId="77777777" w:rsidR="008C2534" w:rsidRDefault="003A75A5">
      <w:pPr>
        <w:pStyle w:val="Titre2"/>
        <w:tabs>
          <w:tab w:val="clear" w:pos="1032"/>
        </w:tabs>
        <w:ind w:left="1284" w:hanging="576"/>
        <w:jc w:val="left"/>
        <w:rPr>
          <w:rFonts w:cs="Times New Roman"/>
          <w:szCs w:val="24"/>
        </w:rPr>
      </w:pPr>
      <w:bookmarkStart w:id="253" w:name="_Toc505606828"/>
      <w:bookmarkStart w:id="254" w:name="_Toc203880585"/>
      <w:bookmarkStart w:id="255" w:name="_Toc203880962"/>
      <w:bookmarkStart w:id="256" w:name="_Toc205870884"/>
      <w:bookmarkStart w:id="257" w:name="_Toc205871004"/>
      <w:bookmarkStart w:id="258" w:name="_Toc205871124"/>
      <w:bookmarkStart w:id="259" w:name="_Toc210446706"/>
      <w:bookmarkStart w:id="260" w:name="_Toc452454506"/>
      <w:r>
        <w:lastRenderedPageBreak/>
        <w:t>Information du patient et consentement exprès</w:t>
      </w:r>
      <w:bookmarkEnd w:id="253"/>
      <w:r>
        <w:t xml:space="preserve"> </w:t>
      </w:r>
      <w:bookmarkEnd w:id="254"/>
      <w:bookmarkEnd w:id="255"/>
      <w:bookmarkEnd w:id="256"/>
      <w:bookmarkEnd w:id="257"/>
      <w:bookmarkEnd w:id="258"/>
      <w:bookmarkEnd w:id="259"/>
      <w:bookmarkEnd w:id="260"/>
    </w:p>
    <w:p w14:paraId="7FE4E957" w14:textId="77777777" w:rsidR="008C2534" w:rsidRDefault="008C2534">
      <w:pPr>
        <w:jc w:val="both"/>
      </w:pPr>
    </w:p>
    <w:p w14:paraId="7FE4E958" w14:textId="77777777" w:rsidR="008C2534" w:rsidRDefault="003A75A5">
      <w:pPr>
        <w:jc w:val="both"/>
      </w:pPr>
      <w:r>
        <w:t xml:space="preserve">Les patients </w:t>
      </w:r>
      <w:r>
        <w:t>seront informés de façon complète et loyale, en des termes compréhensibles, des objectifs et des contraintes de l'étude, des risques éventuels encourus, des mesures de surveillance et de sécurité nécessaires, de leurs droits de refuser de participer à l'ét</w:t>
      </w:r>
      <w:r>
        <w:t>ude ou de la possibilité de se rétracter à tout moment.</w:t>
      </w:r>
    </w:p>
    <w:p w14:paraId="7FE4E959" w14:textId="77777777" w:rsidR="008C2534" w:rsidRDefault="003A75A5">
      <w:pPr>
        <w:jc w:val="both"/>
        <w:rPr>
          <w:i/>
          <w:color w:val="0000FF"/>
        </w:rPr>
      </w:pPr>
      <w:r>
        <w:t xml:space="preserve">Toutes ces informations figurent sur un formulaire d’information remis au patient. Le consentement exprès et écrit du patient sera recueilli par l’investigateur, ou un médecin qui le représente avant </w:t>
      </w:r>
      <w:r>
        <w:t xml:space="preserve">l’inclusion définitive dans l’étude. </w:t>
      </w:r>
    </w:p>
    <w:p w14:paraId="7FE4E95A" w14:textId="77777777" w:rsidR="008C2534" w:rsidRDefault="008C2534">
      <w:pPr>
        <w:jc w:val="both"/>
      </w:pPr>
    </w:p>
    <w:p w14:paraId="7FE4E95B" w14:textId="77777777" w:rsidR="008C2534" w:rsidRDefault="003A75A5">
      <w:pPr>
        <w:pStyle w:val="Titre2"/>
        <w:tabs>
          <w:tab w:val="clear" w:pos="1032"/>
        </w:tabs>
        <w:ind w:left="1284" w:hanging="576"/>
        <w:jc w:val="left"/>
      </w:pPr>
      <w:bookmarkStart w:id="261" w:name="_Toc203880589"/>
      <w:bookmarkStart w:id="262" w:name="_Toc203880966"/>
      <w:bookmarkStart w:id="263" w:name="_Toc205870888"/>
      <w:bookmarkStart w:id="264" w:name="_Toc205871008"/>
      <w:bookmarkStart w:id="265" w:name="_Toc205871128"/>
      <w:bookmarkStart w:id="266" w:name="_Toc210446710"/>
      <w:bookmarkStart w:id="267" w:name="_Toc452454510"/>
      <w:bookmarkStart w:id="268" w:name="_Toc505606829"/>
      <w:r>
        <w:t>Inscription au fichier national des personnes se prêtant à une recherche biomédicale</w:t>
      </w:r>
      <w:bookmarkEnd w:id="261"/>
      <w:bookmarkEnd w:id="262"/>
      <w:bookmarkEnd w:id="263"/>
      <w:bookmarkEnd w:id="264"/>
      <w:bookmarkEnd w:id="265"/>
      <w:bookmarkEnd w:id="266"/>
      <w:bookmarkEnd w:id="267"/>
      <w:bookmarkEnd w:id="268"/>
      <w:r>
        <w:t xml:space="preserve">   </w:t>
      </w:r>
    </w:p>
    <w:p w14:paraId="7FE4E95C" w14:textId="77777777" w:rsidR="008C2534" w:rsidRDefault="008C2534">
      <w:pPr>
        <w:jc w:val="both"/>
      </w:pPr>
    </w:p>
    <w:p w14:paraId="7FE4E95D" w14:textId="77777777" w:rsidR="008C2534" w:rsidRDefault="003A75A5">
      <w:pPr>
        <w:jc w:val="both"/>
      </w:pPr>
      <w:r>
        <w:t>Cette inscription n’est pas prévue dans le cadre de la recherche</w:t>
      </w:r>
    </w:p>
    <w:p w14:paraId="7FE4E95E" w14:textId="77777777" w:rsidR="008C2534" w:rsidRDefault="008C2534">
      <w:pPr>
        <w:jc w:val="both"/>
      </w:pPr>
    </w:p>
    <w:p w14:paraId="7FE4E95F" w14:textId="77777777" w:rsidR="008C2534" w:rsidRDefault="003A75A5">
      <w:pPr>
        <w:pStyle w:val="Titre1"/>
        <w:keepNext w:val="0"/>
        <w:tabs>
          <w:tab w:val="num" w:pos="0"/>
          <w:tab w:val="left" w:pos="57"/>
        </w:tabs>
      </w:pPr>
      <w:bookmarkStart w:id="269" w:name="_Toc203880590"/>
      <w:bookmarkStart w:id="270" w:name="_Toc203880967"/>
      <w:bookmarkStart w:id="271" w:name="_Toc205870889"/>
      <w:bookmarkStart w:id="272" w:name="_Toc205871009"/>
      <w:bookmarkStart w:id="273" w:name="_Toc205871129"/>
      <w:bookmarkStart w:id="274" w:name="_Toc210446711"/>
      <w:bookmarkStart w:id="275" w:name="_Toc452454511"/>
      <w:bookmarkStart w:id="276" w:name="_Toc505606830"/>
      <w:r>
        <w:t>Produit des données et conservation des documents et données</w:t>
      </w:r>
      <w:bookmarkEnd w:id="269"/>
      <w:bookmarkEnd w:id="270"/>
      <w:bookmarkEnd w:id="271"/>
      <w:bookmarkEnd w:id="272"/>
      <w:bookmarkEnd w:id="273"/>
      <w:bookmarkEnd w:id="274"/>
      <w:bookmarkEnd w:id="275"/>
      <w:bookmarkEnd w:id="276"/>
    </w:p>
    <w:p w14:paraId="7FE4E960" w14:textId="77777777" w:rsidR="008C2534" w:rsidRDefault="003A75A5">
      <w:pPr>
        <w:pStyle w:val="Titre2"/>
        <w:tabs>
          <w:tab w:val="clear" w:pos="1032"/>
        </w:tabs>
        <w:ind w:left="1284" w:hanging="576"/>
        <w:jc w:val="left"/>
      </w:pPr>
      <w:bookmarkStart w:id="277" w:name="_Toc203880581"/>
      <w:bookmarkStart w:id="278" w:name="_Toc203880958"/>
      <w:bookmarkStart w:id="279" w:name="_Toc205870890"/>
      <w:bookmarkStart w:id="280" w:name="_Toc205871010"/>
      <w:bookmarkStart w:id="281" w:name="_Toc205871130"/>
      <w:bookmarkStart w:id="282" w:name="_Toc210446712"/>
      <w:bookmarkStart w:id="283" w:name="_Toc452454512"/>
      <w:bookmarkStart w:id="284" w:name="_Toc505606831"/>
      <w:r>
        <w:t>F</w:t>
      </w:r>
      <w:r>
        <w:t>iche d’observation</w:t>
      </w:r>
      <w:bookmarkEnd w:id="277"/>
      <w:bookmarkEnd w:id="278"/>
      <w:bookmarkEnd w:id="279"/>
      <w:bookmarkEnd w:id="280"/>
      <w:bookmarkEnd w:id="281"/>
      <w:bookmarkEnd w:id="282"/>
      <w:bookmarkEnd w:id="283"/>
      <w:bookmarkEnd w:id="284"/>
    </w:p>
    <w:p w14:paraId="7FE4E961" w14:textId="77777777" w:rsidR="008C2534" w:rsidRDefault="008C2534"/>
    <w:p w14:paraId="7FE4E962" w14:textId="77777777" w:rsidR="008C2534" w:rsidRDefault="003A75A5">
      <w:pPr>
        <w:jc w:val="both"/>
      </w:pPr>
      <w:r>
        <w:t>Toutes les informations requises par le protocole doivent être consignées sur les cahiers d’observation et une explication doit être apportée pour chaque donnée manquante. Les données devront être recueillies au fur et à mesure qu'elles</w:t>
      </w:r>
      <w:r>
        <w:t xml:space="preserve"> sont obtenues, et transcrites dans ces cahiers de façon nette et lisible.</w:t>
      </w:r>
    </w:p>
    <w:p w14:paraId="7FE4E963" w14:textId="77777777" w:rsidR="008C2534" w:rsidRDefault="003A75A5">
      <w:pPr>
        <w:jc w:val="both"/>
      </w:pPr>
      <w:r>
        <w:t>Les données erronées relevées sur les cahiers d'observation seront clairement barrées et les nouvelles données seront copiées, à côté de l'information barrée, accompagnées des initi</w:t>
      </w:r>
      <w:r>
        <w:t>ales, de la date et éventuellement d’une justification par l’investigateur ou la personne  autorisée qui aura fait la correction.</w:t>
      </w:r>
    </w:p>
    <w:p w14:paraId="7FE4E964" w14:textId="77777777" w:rsidR="008C2534" w:rsidRDefault="008C2534"/>
    <w:p w14:paraId="7FE4E965" w14:textId="77777777" w:rsidR="008C2534" w:rsidRDefault="003A75A5">
      <w:pPr>
        <w:pStyle w:val="Titre2"/>
        <w:tabs>
          <w:tab w:val="clear" w:pos="1032"/>
        </w:tabs>
        <w:ind w:left="1284" w:hanging="576"/>
        <w:jc w:val="left"/>
      </w:pPr>
      <w:bookmarkStart w:id="285" w:name="_Toc203880591"/>
      <w:bookmarkStart w:id="286" w:name="_Toc203880968"/>
      <w:bookmarkStart w:id="287" w:name="_Toc205870891"/>
      <w:bookmarkStart w:id="288" w:name="_Toc205871011"/>
      <w:bookmarkStart w:id="289" w:name="_Toc205871131"/>
      <w:bookmarkStart w:id="290" w:name="_Toc210446713"/>
      <w:bookmarkStart w:id="291" w:name="_Toc452454513"/>
      <w:bookmarkStart w:id="292" w:name="_Toc505606832"/>
      <w:r>
        <w:t>Saisie et produit des données</w:t>
      </w:r>
      <w:bookmarkEnd w:id="285"/>
      <w:bookmarkEnd w:id="286"/>
      <w:bookmarkEnd w:id="287"/>
      <w:bookmarkEnd w:id="288"/>
      <w:bookmarkEnd w:id="289"/>
      <w:bookmarkEnd w:id="290"/>
      <w:bookmarkEnd w:id="291"/>
      <w:bookmarkEnd w:id="292"/>
    </w:p>
    <w:p w14:paraId="7FE4E966" w14:textId="77777777" w:rsidR="008C2534" w:rsidRDefault="008C2534">
      <w:pPr>
        <w:rPr>
          <w:i/>
          <w:color w:val="00B050"/>
        </w:rPr>
      </w:pPr>
    </w:p>
    <w:p w14:paraId="7FE4E967" w14:textId="77777777" w:rsidR="008C2534" w:rsidRDefault="003A75A5">
      <w:pPr>
        <w:jc w:val="both"/>
      </w:pPr>
      <w:r>
        <w:t>Les données patients</w:t>
      </w:r>
      <w:r>
        <w:t xml:space="preserve"> seront recueillies dans le CRF papier au fur et à mesure de l’étude.</w:t>
      </w:r>
    </w:p>
    <w:p w14:paraId="7FE4E968" w14:textId="77777777" w:rsidR="008C2534" w:rsidRDefault="003A75A5">
      <w:pPr>
        <w:jc w:val="both"/>
      </w:pPr>
      <w:r>
        <w:lastRenderedPageBreak/>
        <w:t xml:space="preserve">Les données d’imagerie seront </w:t>
      </w:r>
      <w:proofErr w:type="spellStart"/>
      <w:r>
        <w:t>anonymisées</w:t>
      </w:r>
      <w:proofErr w:type="spellEnd"/>
      <w:r>
        <w:t xml:space="preserve"> dans le logiciel OSIRIX / HOROS avec suppression des champs relatifs à l’identité : selon la norme DICOM, les principaux champs sont : </w:t>
      </w:r>
      <w:proofErr w:type="spellStart"/>
      <w:r>
        <w:t>PatientNa</w:t>
      </w:r>
      <w:r>
        <w:t>me</w:t>
      </w:r>
      <w:proofErr w:type="spellEnd"/>
      <w:r>
        <w:t xml:space="preserve"> (remplacé par le numéro d’étude), </w:t>
      </w:r>
      <w:proofErr w:type="spellStart"/>
      <w:r>
        <w:t>PatientID</w:t>
      </w:r>
      <w:proofErr w:type="spellEnd"/>
      <w:r>
        <w:t xml:space="preserve"> (remplacé par le numéro d’étude), </w:t>
      </w:r>
      <w:proofErr w:type="spellStart"/>
      <w:r>
        <w:t>PatientBirthdate</w:t>
      </w:r>
      <w:proofErr w:type="spellEnd"/>
      <w:r>
        <w:t xml:space="preserve">, </w:t>
      </w:r>
      <w:proofErr w:type="spellStart"/>
      <w:r>
        <w:t>PatientStudyDate</w:t>
      </w:r>
      <w:proofErr w:type="spellEnd"/>
      <w:r>
        <w:t xml:space="preserve">, </w:t>
      </w:r>
      <w:proofErr w:type="spellStart"/>
      <w:r>
        <w:t>PatientBirthName</w:t>
      </w:r>
      <w:proofErr w:type="spellEnd"/>
      <w:r>
        <w:t xml:space="preserve"> et </w:t>
      </w:r>
      <w:proofErr w:type="spellStart"/>
      <w:r>
        <w:t>PatientsMother’sBirthName</w:t>
      </w:r>
      <w:proofErr w:type="spellEnd"/>
      <w:r>
        <w:t xml:space="preserve">. Les champs </w:t>
      </w:r>
      <w:proofErr w:type="spellStart"/>
      <w:r>
        <w:t>PatientAge</w:t>
      </w:r>
      <w:proofErr w:type="spellEnd"/>
      <w:r>
        <w:t xml:space="preserve"> et </w:t>
      </w:r>
      <w:proofErr w:type="spellStart"/>
      <w:r>
        <w:t>PatientSex</w:t>
      </w:r>
      <w:proofErr w:type="spellEnd"/>
      <w:r>
        <w:t xml:space="preserve"> seront conservés.</w:t>
      </w:r>
    </w:p>
    <w:p w14:paraId="7FE4E969" w14:textId="77777777" w:rsidR="008C2534" w:rsidRDefault="003A75A5">
      <w:pPr>
        <w:jc w:val="both"/>
      </w:pPr>
      <w:r>
        <w:t xml:space="preserve">Les données </w:t>
      </w:r>
      <w:proofErr w:type="spellStart"/>
      <w:r>
        <w:t>anonymisées</w:t>
      </w:r>
      <w:proofErr w:type="spellEnd"/>
      <w:r>
        <w:t xml:space="preserve"> seront envoyée</w:t>
      </w:r>
      <w:r>
        <w:t xml:space="preserve">s au centre de recherche de GE </w:t>
      </w:r>
      <w:proofErr w:type="spellStart"/>
      <w:r>
        <w:t>medical</w:t>
      </w:r>
      <w:proofErr w:type="spellEnd"/>
      <w:r>
        <w:t xml:space="preserve"> system par un protocole sécurisé et crypté (</w:t>
      </w:r>
      <w:proofErr w:type="spellStart"/>
      <w:r>
        <w:t>secure</w:t>
      </w:r>
      <w:proofErr w:type="spellEnd"/>
      <w:r>
        <w:t xml:space="preserve"> FTP).</w:t>
      </w:r>
    </w:p>
    <w:p w14:paraId="7FE4E96A" w14:textId="77777777" w:rsidR="008C2534" w:rsidRDefault="003A75A5">
      <w:pPr>
        <w:pStyle w:val="Titre2"/>
        <w:tabs>
          <w:tab w:val="clear" w:pos="1032"/>
        </w:tabs>
        <w:ind w:left="1284" w:hanging="576"/>
        <w:jc w:val="left"/>
      </w:pPr>
      <w:bookmarkStart w:id="293" w:name="_Toc203880592"/>
      <w:bookmarkStart w:id="294" w:name="_Toc203880969"/>
      <w:bookmarkStart w:id="295" w:name="_Toc205870892"/>
      <w:bookmarkStart w:id="296" w:name="_Toc205871012"/>
      <w:bookmarkStart w:id="297" w:name="_Toc205871132"/>
      <w:bookmarkStart w:id="298" w:name="_Toc210446714"/>
      <w:bookmarkStart w:id="299" w:name="_Toc452454514"/>
      <w:bookmarkStart w:id="300" w:name="_Toc505606833"/>
      <w:r>
        <w:t>CNIL</w:t>
      </w:r>
      <w:bookmarkEnd w:id="293"/>
      <w:bookmarkEnd w:id="294"/>
      <w:bookmarkEnd w:id="295"/>
      <w:bookmarkEnd w:id="296"/>
      <w:bookmarkEnd w:id="297"/>
      <w:bookmarkEnd w:id="298"/>
      <w:bookmarkEnd w:id="299"/>
      <w:bookmarkEnd w:id="300"/>
    </w:p>
    <w:p w14:paraId="7FE4E96B" w14:textId="77777777" w:rsidR="008C2534" w:rsidRDefault="008C2534">
      <w:pPr>
        <w:pStyle w:val="Commentaire"/>
        <w:jc w:val="both"/>
        <w:rPr>
          <w:i/>
          <w:color w:val="008000"/>
          <w:sz w:val="24"/>
          <w:szCs w:val="24"/>
        </w:rPr>
      </w:pPr>
    </w:p>
    <w:p w14:paraId="7FE4E96C" w14:textId="77777777" w:rsidR="008C2534" w:rsidRDefault="003A75A5">
      <w:pPr>
        <w:jc w:val="both"/>
        <w:rPr>
          <w:rFonts w:ascii="Calibri" w:hAnsi="Calibri"/>
        </w:rPr>
      </w:pPr>
      <w:r>
        <w:rPr>
          <w:rFonts w:ascii="Calibri" w:hAnsi="Calibri"/>
        </w:rPr>
        <w:t>Cette étude entre dans le cadre de la « Méthodologie de Référence » (MR-001) en application des dispositions de l’article 54 alinéa 5 de la loi n°78-17 du</w:t>
      </w:r>
      <w:r>
        <w:rPr>
          <w:rFonts w:ascii="Calibri" w:hAnsi="Calibri"/>
        </w:rPr>
        <w:t xml:space="preserve"> 6 janvier 1978 modifiée relative à l’informatique, aux fichiers et aux libertés. Ce changement a été homologué par décision du 5 janvier 2006. Le CHR d’ORLEANS, promoteur de l’étude, a signé un engagement de conformité à cette « Méthodologie de Référence </w:t>
      </w:r>
      <w:r>
        <w:rPr>
          <w:rFonts w:ascii="Calibri" w:hAnsi="Calibri"/>
        </w:rPr>
        <w:t xml:space="preserve">» le 10 mars 2017. </w:t>
      </w:r>
    </w:p>
    <w:p w14:paraId="7FE4E96D" w14:textId="77777777" w:rsidR="008C2534" w:rsidRDefault="008C2534">
      <w:pPr>
        <w:pStyle w:val="Commentaire"/>
        <w:jc w:val="both"/>
        <w:rPr>
          <w:i/>
          <w:color w:val="008000"/>
          <w:sz w:val="24"/>
          <w:szCs w:val="24"/>
        </w:rPr>
      </w:pPr>
    </w:p>
    <w:p w14:paraId="7FE4E96E" w14:textId="77777777" w:rsidR="008C2534" w:rsidRDefault="003A75A5">
      <w:pPr>
        <w:pStyle w:val="Titre2"/>
        <w:tabs>
          <w:tab w:val="clear" w:pos="1032"/>
        </w:tabs>
        <w:ind w:left="1284" w:hanging="576"/>
        <w:jc w:val="left"/>
      </w:pPr>
      <w:bookmarkStart w:id="301" w:name="_Toc203880593"/>
      <w:bookmarkStart w:id="302" w:name="_Toc203880970"/>
      <w:bookmarkStart w:id="303" w:name="_Toc205870893"/>
      <w:bookmarkStart w:id="304" w:name="_Toc205871013"/>
      <w:bookmarkStart w:id="305" w:name="_Toc205871133"/>
      <w:bookmarkStart w:id="306" w:name="_Toc210446715"/>
      <w:bookmarkStart w:id="307" w:name="_Toc452454515"/>
      <w:bookmarkStart w:id="308" w:name="_Toc505606834"/>
      <w:r>
        <w:t>Archivage</w:t>
      </w:r>
      <w:bookmarkEnd w:id="301"/>
      <w:bookmarkEnd w:id="302"/>
      <w:bookmarkEnd w:id="303"/>
      <w:bookmarkEnd w:id="304"/>
      <w:bookmarkEnd w:id="305"/>
      <w:bookmarkEnd w:id="306"/>
      <w:bookmarkEnd w:id="307"/>
      <w:bookmarkEnd w:id="308"/>
    </w:p>
    <w:p w14:paraId="7FE4E96F" w14:textId="77777777" w:rsidR="008C2534" w:rsidRDefault="008C2534">
      <w:pPr>
        <w:jc w:val="both"/>
        <w:rPr>
          <w:rFonts w:ascii="Calibri" w:hAnsi="Calibri"/>
        </w:rPr>
      </w:pPr>
    </w:p>
    <w:p w14:paraId="7FE4E970" w14:textId="77777777" w:rsidR="008C2534" w:rsidRDefault="003A75A5">
      <w:pPr>
        <w:jc w:val="both"/>
        <w:rPr>
          <w:rFonts w:ascii="Calibri" w:hAnsi="Calibri"/>
        </w:rPr>
      </w:pPr>
      <w:r>
        <w:rPr>
          <w:rFonts w:ascii="Calibri" w:hAnsi="Calibri"/>
        </w:rPr>
        <w:t>Les documents suivants seront archivés par le nom de l’étude dans les locaux de la direction de la recherche du CHR d’ORLEANS jusqu’à la fin de la période d’utilité pratique.</w:t>
      </w:r>
    </w:p>
    <w:p w14:paraId="7FE4E971" w14:textId="77777777" w:rsidR="008C2534" w:rsidRDefault="003A75A5">
      <w:pPr>
        <w:jc w:val="both"/>
        <w:rPr>
          <w:rFonts w:ascii="Calibri" w:hAnsi="Calibri"/>
        </w:rPr>
      </w:pPr>
      <w:r>
        <w:rPr>
          <w:rFonts w:ascii="Calibri" w:hAnsi="Calibri"/>
        </w:rPr>
        <w:t xml:space="preserve">Ces documents sont : </w:t>
      </w:r>
    </w:p>
    <w:p w14:paraId="7FE4E972" w14:textId="77777777" w:rsidR="008C2534" w:rsidRDefault="003A75A5">
      <w:pPr>
        <w:pStyle w:val="Listecouleur-Accent11"/>
        <w:numPr>
          <w:ilvl w:val="0"/>
          <w:numId w:val="22"/>
        </w:numPr>
        <w:jc w:val="both"/>
        <w:rPr>
          <w:rFonts w:ascii="Calibri" w:hAnsi="Calibri"/>
          <w:sz w:val="22"/>
          <w:szCs w:val="22"/>
        </w:rPr>
      </w:pPr>
      <w:r>
        <w:rPr>
          <w:rFonts w:ascii="Calibri" w:hAnsi="Calibri"/>
          <w:sz w:val="22"/>
          <w:szCs w:val="22"/>
        </w:rPr>
        <w:t>Protocole et annexes, amend</w:t>
      </w:r>
      <w:r>
        <w:rPr>
          <w:rFonts w:ascii="Calibri" w:hAnsi="Calibri"/>
          <w:sz w:val="22"/>
          <w:szCs w:val="22"/>
        </w:rPr>
        <w:t>ements éventuels,</w:t>
      </w:r>
    </w:p>
    <w:p w14:paraId="7FE4E973" w14:textId="77777777" w:rsidR="008C2534" w:rsidRDefault="003A75A5">
      <w:pPr>
        <w:pStyle w:val="Listecouleur-Accent11"/>
        <w:numPr>
          <w:ilvl w:val="0"/>
          <w:numId w:val="22"/>
        </w:numPr>
        <w:jc w:val="both"/>
        <w:rPr>
          <w:rFonts w:ascii="Calibri" w:hAnsi="Calibri"/>
          <w:sz w:val="22"/>
          <w:szCs w:val="22"/>
        </w:rPr>
      </w:pPr>
      <w:r>
        <w:rPr>
          <w:rFonts w:ascii="Calibri" w:hAnsi="Calibri"/>
          <w:sz w:val="22"/>
          <w:szCs w:val="22"/>
        </w:rPr>
        <w:t xml:space="preserve">Formulaires d’information </w:t>
      </w:r>
    </w:p>
    <w:p w14:paraId="7FE4E974" w14:textId="77777777" w:rsidR="008C2534" w:rsidRDefault="003A75A5">
      <w:pPr>
        <w:pStyle w:val="Listecouleur-Accent11"/>
        <w:numPr>
          <w:ilvl w:val="0"/>
          <w:numId w:val="22"/>
        </w:numPr>
        <w:jc w:val="both"/>
        <w:rPr>
          <w:rFonts w:ascii="Calibri" w:hAnsi="Calibri"/>
          <w:sz w:val="22"/>
          <w:szCs w:val="22"/>
        </w:rPr>
      </w:pPr>
      <w:r>
        <w:rPr>
          <w:rFonts w:ascii="Calibri" w:hAnsi="Calibri"/>
          <w:sz w:val="22"/>
          <w:szCs w:val="22"/>
        </w:rPr>
        <w:t>Données individuelles (copies authentifiées de données brutes)</w:t>
      </w:r>
    </w:p>
    <w:p w14:paraId="7FE4E975" w14:textId="77777777" w:rsidR="008C2534" w:rsidRDefault="003A75A5">
      <w:pPr>
        <w:pStyle w:val="Listecouleur-Accent11"/>
        <w:numPr>
          <w:ilvl w:val="0"/>
          <w:numId w:val="22"/>
        </w:numPr>
        <w:jc w:val="both"/>
        <w:rPr>
          <w:rFonts w:ascii="Calibri" w:hAnsi="Calibri"/>
          <w:sz w:val="22"/>
          <w:szCs w:val="22"/>
        </w:rPr>
      </w:pPr>
      <w:r>
        <w:rPr>
          <w:rFonts w:ascii="Calibri" w:hAnsi="Calibri"/>
          <w:sz w:val="22"/>
          <w:szCs w:val="22"/>
        </w:rPr>
        <w:t>Documents de suivi</w:t>
      </w:r>
    </w:p>
    <w:p w14:paraId="7FE4E976" w14:textId="77777777" w:rsidR="008C2534" w:rsidRDefault="003A75A5">
      <w:pPr>
        <w:pStyle w:val="Listecouleur-Accent11"/>
        <w:numPr>
          <w:ilvl w:val="0"/>
          <w:numId w:val="22"/>
        </w:numPr>
        <w:jc w:val="both"/>
        <w:rPr>
          <w:rFonts w:ascii="Calibri" w:hAnsi="Calibri"/>
          <w:sz w:val="22"/>
          <w:szCs w:val="22"/>
        </w:rPr>
      </w:pPr>
      <w:r>
        <w:rPr>
          <w:rFonts w:ascii="Calibri" w:hAnsi="Calibri"/>
          <w:sz w:val="22"/>
          <w:szCs w:val="22"/>
        </w:rPr>
        <w:t>Analyses statistiques</w:t>
      </w:r>
    </w:p>
    <w:p w14:paraId="7FE4E977" w14:textId="77777777" w:rsidR="008C2534" w:rsidRDefault="003A75A5">
      <w:pPr>
        <w:pStyle w:val="Listecouleur-Accent11"/>
        <w:numPr>
          <w:ilvl w:val="0"/>
          <w:numId w:val="22"/>
        </w:numPr>
        <w:jc w:val="both"/>
        <w:rPr>
          <w:rFonts w:ascii="Calibri" w:hAnsi="Calibri"/>
          <w:sz w:val="22"/>
          <w:szCs w:val="22"/>
        </w:rPr>
      </w:pPr>
      <w:r>
        <w:rPr>
          <w:rFonts w:ascii="Calibri" w:hAnsi="Calibri"/>
          <w:sz w:val="22"/>
          <w:szCs w:val="22"/>
        </w:rPr>
        <w:t>Rapport final de l’étude</w:t>
      </w:r>
    </w:p>
    <w:p w14:paraId="7FE4E978" w14:textId="77777777" w:rsidR="008C2534" w:rsidRDefault="008C2534">
      <w:pPr>
        <w:pStyle w:val="Listecouleur-Accent11"/>
        <w:jc w:val="both"/>
        <w:rPr>
          <w:rFonts w:ascii="Calibri" w:hAnsi="Calibri"/>
          <w:sz w:val="22"/>
          <w:szCs w:val="22"/>
        </w:rPr>
      </w:pPr>
    </w:p>
    <w:p w14:paraId="7FE4E979" w14:textId="77777777" w:rsidR="008C2534" w:rsidRDefault="003A75A5">
      <w:pPr>
        <w:jc w:val="both"/>
        <w:rPr>
          <w:rFonts w:ascii="Calibri" w:hAnsi="Calibri"/>
        </w:rPr>
      </w:pPr>
      <w:r>
        <w:rPr>
          <w:rFonts w:ascii="Calibri" w:hAnsi="Calibri"/>
        </w:rPr>
        <w:t>A l’issue de la période d’utilité pratique, l’ensemble des documents à archiver s</w:t>
      </w:r>
      <w:r>
        <w:rPr>
          <w:rFonts w:ascii="Calibri" w:hAnsi="Calibri"/>
        </w:rPr>
        <w:t>era placé sous la responsabilité du Promoteur pendant 25 ans après la fin de l’étude conformément aux pratiques institutionnelles.</w:t>
      </w:r>
    </w:p>
    <w:p w14:paraId="7FE4E97A" w14:textId="77777777" w:rsidR="008C2534" w:rsidRDefault="003A75A5">
      <w:pPr>
        <w:jc w:val="both"/>
        <w:rPr>
          <w:rFonts w:ascii="Calibri" w:hAnsi="Calibri"/>
        </w:rPr>
      </w:pPr>
      <w:r>
        <w:rPr>
          <w:rFonts w:ascii="Calibri" w:hAnsi="Calibri"/>
        </w:rPr>
        <w:t>Aucun déplacement ou destruction ne pourra être effectué sans l’accord du Promoteur. Au terme des 25 ans, le promoteur sera c</w:t>
      </w:r>
      <w:r>
        <w:rPr>
          <w:rFonts w:ascii="Calibri" w:hAnsi="Calibri"/>
        </w:rPr>
        <w:t>onsulté pour destruction. Toutes les données, tous les documents et rapports pourront faire l’objet d’audit ou d’inspection.</w:t>
      </w:r>
    </w:p>
    <w:p w14:paraId="7FE4E97B" w14:textId="77777777" w:rsidR="008C2534" w:rsidRDefault="003A75A5">
      <w:pPr>
        <w:pStyle w:val="Paragraphedeliste"/>
        <w:ind w:left="0"/>
        <w:jc w:val="both"/>
      </w:pPr>
      <w:r>
        <w:t>Comme pour l’examen standard, les données d’imagerie de l’étude seront stockées et archivées dans le PACS de l’établissement.</w:t>
      </w:r>
    </w:p>
    <w:p w14:paraId="7FE4E97C" w14:textId="77777777" w:rsidR="008C2534" w:rsidRDefault="008C2534">
      <w:pPr>
        <w:jc w:val="both"/>
      </w:pPr>
    </w:p>
    <w:p w14:paraId="7FE4E97D" w14:textId="77777777" w:rsidR="008C2534" w:rsidRDefault="003A75A5">
      <w:pPr>
        <w:pStyle w:val="Titre1"/>
        <w:keepNext w:val="0"/>
        <w:tabs>
          <w:tab w:val="num" w:pos="0"/>
          <w:tab w:val="left" w:pos="57"/>
        </w:tabs>
      </w:pPr>
      <w:bookmarkStart w:id="309" w:name="_Toc203880594"/>
      <w:bookmarkStart w:id="310" w:name="_Toc203880971"/>
      <w:bookmarkStart w:id="311" w:name="_Toc205870894"/>
      <w:bookmarkStart w:id="312" w:name="_Toc205871014"/>
      <w:bookmarkStart w:id="313" w:name="_Toc205871134"/>
      <w:bookmarkStart w:id="314" w:name="_Toc210446716"/>
      <w:bookmarkStart w:id="315" w:name="_Toc452454516"/>
      <w:bookmarkStart w:id="316" w:name="_Toc505606835"/>
      <w:r>
        <w:lastRenderedPageBreak/>
        <w:t>Financement et assurance</w:t>
      </w:r>
      <w:bookmarkEnd w:id="309"/>
      <w:bookmarkEnd w:id="310"/>
      <w:bookmarkEnd w:id="311"/>
      <w:bookmarkEnd w:id="312"/>
      <w:bookmarkEnd w:id="313"/>
      <w:bookmarkEnd w:id="314"/>
      <w:bookmarkEnd w:id="315"/>
      <w:bookmarkEnd w:id="316"/>
    </w:p>
    <w:p w14:paraId="7FE4E97E" w14:textId="77777777" w:rsidR="008C2534" w:rsidRDefault="003A75A5">
      <w:pPr>
        <w:pStyle w:val="Titre2"/>
        <w:tabs>
          <w:tab w:val="clear" w:pos="1032"/>
        </w:tabs>
        <w:ind w:left="1284" w:hanging="576"/>
        <w:jc w:val="left"/>
      </w:pPr>
      <w:bookmarkStart w:id="317" w:name="_Toc203880595"/>
      <w:bookmarkStart w:id="318" w:name="_Toc203880972"/>
      <w:bookmarkStart w:id="319" w:name="_Toc205870895"/>
      <w:bookmarkStart w:id="320" w:name="_Toc205871015"/>
      <w:bookmarkStart w:id="321" w:name="_Toc205871135"/>
      <w:bookmarkStart w:id="322" w:name="_Toc210446717"/>
      <w:bookmarkStart w:id="323" w:name="_Toc452454517"/>
      <w:bookmarkStart w:id="324" w:name="_Toc505606836"/>
      <w:r>
        <w:t>Budget de l’étude</w:t>
      </w:r>
      <w:bookmarkEnd w:id="317"/>
      <w:bookmarkEnd w:id="318"/>
      <w:bookmarkEnd w:id="319"/>
      <w:bookmarkEnd w:id="320"/>
      <w:bookmarkEnd w:id="321"/>
      <w:bookmarkEnd w:id="322"/>
      <w:bookmarkEnd w:id="323"/>
      <w:bookmarkEnd w:id="324"/>
    </w:p>
    <w:p w14:paraId="7FE4E97F" w14:textId="77777777" w:rsidR="008C2534" w:rsidRDefault="008C2534">
      <w:pPr>
        <w:jc w:val="both"/>
      </w:pPr>
    </w:p>
    <w:p w14:paraId="7FE4E980" w14:textId="77777777" w:rsidR="008C2534" w:rsidRDefault="003A75A5">
      <w:pPr>
        <w:jc w:val="both"/>
      </w:pPr>
      <w:r>
        <w:t>Le CHR D’ORLEANS prend en charge les frais liés à la recherche pour ce qui concerne :</w:t>
      </w:r>
    </w:p>
    <w:p w14:paraId="7FE4E981" w14:textId="77777777" w:rsidR="008C2534" w:rsidRDefault="003A75A5">
      <w:pPr>
        <w:numPr>
          <w:ilvl w:val="0"/>
          <w:numId w:val="21"/>
        </w:numPr>
        <w:spacing w:after="0" w:line="240" w:lineRule="auto"/>
        <w:jc w:val="both"/>
      </w:pPr>
      <w:r>
        <w:t>Examens relatifs au protocole : scintigraphie avec le nouveau collimateur</w:t>
      </w:r>
    </w:p>
    <w:p w14:paraId="7FE4E982" w14:textId="77777777" w:rsidR="008C2534" w:rsidRDefault="003A75A5">
      <w:pPr>
        <w:numPr>
          <w:ilvl w:val="0"/>
          <w:numId w:val="21"/>
        </w:numPr>
        <w:spacing w:after="0" w:line="240" w:lineRule="auto"/>
        <w:jc w:val="both"/>
      </w:pPr>
      <w:r>
        <w:t xml:space="preserve">Temps médical </w:t>
      </w:r>
    </w:p>
    <w:p w14:paraId="7FE4E983" w14:textId="77777777" w:rsidR="008C2534" w:rsidRDefault="003A75A5">
      <w:pPr>
        <w:numPr>
          <w:ilvl w:val="0"/>
          <w:numId w:val="21"/>
        </w:numPr>
        <w:spacing w:after="0" w:line="240" w:lineRule="auto"/>
        <w:jc w:val="both"/>
      </w:pPr>
      <w:r>
        <w:t xml:space="preserve">Temps statisticien </w:t>
      </w:r>
    </w:p>
    <w:p w14:paraId="7FE4E984" w14:textId="77777777" w:rsidR="008C2534" w:rsidRDefault="003A75A5">
      <w:pPr>
        <w:numPr>
          <w:ilvl w:val="0"/>
          <w:numId w:val="21"/>
        </w:numPr>
        <w:spacing w:after="0" w:line="240" w:lineRule="auto"/>
        <w:jc w:val="both"/>
      </w:pPr>
      <w:r>
        <w:t>Tems chef de proj</w:t>
      </w:r>
      <w:r>
        <w:t>et</w:t>
      </w:r>
    </w:p>
    <w:p w14:paraId="7FE4E985" w14:textId="77777777" w:rsidR="008C2534" w:rsidRDefault="003A75A5">
      <w:pPr>
        <w:numPr>
          <w:ilvl w:val="0"/>
          <w:numId w:val="21"/>
        </w:numPr>
        <w:spacing w:after="0" w:line="240" w:lineRule="auto"/>
        <w:jc w:val="both"/>
      </w:pPr>
      <w:r>
        <w:t xml:space="preserve">Contrôle qualité par un ARC mandaté par le promoteur </w:t>
      </w:r>
    </w:p>
    <w:p w14:paraId="7FE4E986" w14:textId="77777777" w:rsidR="008C2534" w:rsidRDefault="003A75A5">
      <w:pPr>
        <w:numPr>
          <w:ilvl w:val="0"/>
          <w:numId w:val="21"/>
        </w:numPr>
        <w:spacing w:after="0" w:line="240" w:lineRule="auto"/>
        <w:jc w:val="both"/>
      </w:pPr>
      <w:r>
        <w:t>Assurances</w:t>
      </w:r>
    </w:p>
    <w:p w14:paraId="7FE4E987" w14:textId="77777777" w:rsidR="008C2534" w:rsidRDefault="008C2534">
      <w:pPr>
        <w:spacing w:after="0" w:line="240" w:lineRule="auto"/>
        <w:jc w:val="both"/>
      </w:pPr>
    </w:p>
    <w:p w14:paraId="7FE4E988" w14:textId="77777777" w:rsidR="008C2534" w:rsidRDefault="003A75A5">
      <w:pPr>
        <w:spacing w:after="0" w:line="240" w:lineRule="auto"/>
        <w:jc w:val="both"/>
      </w:pPr>
      <w:r>
        <w:t xml:space="preserve">GE </w:t>
      </w:r>
      <w:proofErr w:type="spellStart"/>
      <w:r>
        <w:t>medical</w:t>
      </w:r>
      <w:proofErr w:type="spellEnd"/>
      <w:r>
        <w:t xml:space="preserve"> system fournira les deux collimateurs nécessaires à l’étude.</w:t>
      </w:r>
    </w:p>
    <w:p w14:paraId="7FE4E989" w14:textId="77777777" w:rsidR="008C2534" w:rsidRDefault="003A75A5">
      <w:pPr>
        <w:pStyle w:val="Titre2"/>
        <w:tabs>
          <w:tab w:val="clear" w:pos="1032"/>
        </w:tabs>
        <w:ind w:left="1284" w:hanging="576"/>
        <w:jc w:val="left"/>
      </w:pPr>
      <w:bookmarkStart w:id="325" w:name="_Toc203880596"/>
      <w:bookmarkStart w:id="326" w:name="_Toc203880973"/>
      <w:bookmarkStart w:id="327" w:name="_Toc205870896"/>
      <w:bookmarkStart w:id="328" w:name="_Toc205871016"/>
      <w:bookmarkStart w:id="329" w:name="_Toc205871136"/>
      <w:bookmarkStart w:id="330" w:name="_Toc210446718"/>
      <w:bookmarkStart w:id="331" w:name="_Toc452454518"/>
      <w:bookmarkStart w:id="332" w:name="_Toc505606837"/>
      <w:r>
        <w:t>Assurance</w:t>
      </w:r>
      <w:bookmarkEnd w:id="325"/>
      <w:bookmarkEnd w:id="326"/>
      <w:bookmarkEnd w:id="327"/>
      <w:bookmarkEnd w:id="328"/>
      <w:bookmarkEnd w:id="329"/>
      <w:bookmarkEnd w:id="330"/>
      <w:bookmarkEnd w:id="331"/>
      <w:bookmarkEnd w:id="332"/>
    </w:p>
    <w:p w14:paraId="7FE4E98A" w14:textId="77777777" w:rsidR="008C2534" w:rsidRDefault="008C2534">
      <w:pPr>
        <w:jc w:val="both"/>
        <w:rPr>
          <w:i/>
          <w:color w:val="0000FF"/>
        </w:rPr>
      </w:pPr>
    </w:p>
    <w:p w14:paraId="7FE4E98B" w14:textId="77777777" w:rsidR="008C2534" w:rsidRDefault="003A75A5">
      <w:pPr>
        <w:jc w:val="both"/>
        <w:rPr>
          <w:rFonts w:ascii="Calibri" w:hAnsi="Calibri"/>
        </w:rPr>
      </w:pPr>
      <w:r>
        <w:rPr>
          <w:rFonts w:ascii="Calibri" w:hAnsi="Calibri"/>
        </w:rPr>
        <w:t xml:space="preserve">Le CHR d’ORLEANS a souscrit pour toute la durée de l'étude une assurance auprès de la SHAM garantissant sa propre responsabilité civile ainsi que celle de tout médecin impliqué dans la réalisation de l'étude. </w:t>
      </w:r>
    </w:p>
    <w:p w14:paraId="7FE4E98C" w14:textId="77777777" w:rsidR="008C2534" w:rsidRDefault="003A75A5">
      <w:pPr>
        <w:jc w:val="both"/>
        <w:rPr>
          <w:rFonts w:ascii="Calibri" w:hAnsi="Calibri"/>
        </w:rPr>
      </w:pPr>
      <w:r>
        <w:rPr>
          <w:rFonts w:ascii="Calibri" w:hAnsi="Calibri"/>
        </w:rPr>
        <w:t>Il assurera également l'indemnisation intégral</w:t>
      </w:r>
      <w:r>
        <w:rPr>
          <w:rFonts w:ascii="Calibri" w:hAnsi="Calibri"/>
        </w:rPr>
        <w:t>e des conséquences dommageables à la recherche pour la personne qui s'y prête et ses ayants droit, sauf preuve à sa charge que le dommage n'est pas imputable à sa faute ou à celle de tout intervenant, sans que puisse être opposé le fait d'un tiers ou le re</w:t>
      </w:r>
      <w:r>
        <w:rPr>
          <w:rFonts w:ascii="Calibri" w:hAnsi="Calibri"/>
        </w:rPr>
        <w:t>trait volontaire de la personne qui avait initialement consenti à se prêter à la recherche.</w:t>
      </w:r>
    </w:p>
    <w:p w14:paraId="7FE4E98D" w14:textId="77777777" w:rsidR="008C2534" w:rsidRDefault="008C2534">
      <w:pPr>
        <w:jc w:val="both"/>
        <w:rPr>
          <w:i/>
          <w:color w:val="0000FF"/>
        </w:rPr>
      </w:pPr>
    </w:p>
    <w:p w14:paraId="7FE4E98E" w14:textId="77777777" w:rsidR="008C2534" w:rsidRDefault="003A75A5">
      <w:pPr>
        <w:pStyle w:val="Titre1"/>
        <w:keepNext w:val="0"/>
        <w:tabs>
          <w:tab w:val="num" w:pos="0"/>
          <w:tab w:val="left" w:pos="57"/>
        </w:tabs>
      </w:pPr>
      <w:bookmarkStart w:id="333" w:name="_Toc203880597"/>
      <w:bookmarkStart w:id="334" w:name="_Toc203880974"/>
      <w:bookmarkStart w:id="335" w:name="_Toc205870897"/>
      <w:bookmarkStart w:id="336" w:name="_Toc205871017"/>
      <w:bookmarkStart w:id="337" w:name="_Toc205871137"/>
      <w:bookmarkStart w:id="338" w:name="_Toc210446719"/>
      <w:bookmarkStart w:id="339" w:name="_Toc452454519"/>
      <w:bookmarkStart w:id="340" w:name="_Toc505606838"/>
      <w:r>
        <w:t>Faisabilité de l'étude</w:t>
      </w:r>
      <w:bookmarkEnd w:id="333"/>
      <w:bookmarkEnd w:id="334"/>
      <w:bookmarkEnd w:id="335"/>
      <w:bookmarkEnd w:id="336"/>
      <w:bookmarkEnd w:id="337"/>
      <w:bookmarkEnd w:id="338"/>
      <w:bookmarkEnd w:id="339"/>
      <w:bookmarkEnd w:id="340"/>
    </w:p>
    <w:p w14:paraId="7FE4E98F" w14:textId="77777777" w:rsidR="008C2534" w:rsidRDefault="008C2534"/>
    <w:p w14:paraId="7FE4E990" w14:textId="77777777" w:rsidR="008C2534" w:rsidRDefault="003A75A5">
      <w:pPr>
        <w:jc w:val="both"/>
      </w:pPr>
      <w:r>
        <w:t>La file active des patients du service de médecine nucléaire se compose d'environ 50 rendez-vous de scintigraphie osseuse par semaine, 15 s</w:t>
      </w:r>
      <w:r>
        <w:t xml:space="preserve">cintigraphies pulmonaires par semaine, 3 scintigraphies cérébrales au </w:t>
      </w:r>
      <w:proofErr w:type="spellStart"/>
      <w:r>
        <w:t>Datscan</w:t>
      </w:r>
      <w:proofErr w:type="spellEnd"/>
      <w:r>
        <w:t xml:space="preserve"> par semaine, 5 scintigraphies thyroïdiennes et 2 scintigraphies parathyroïdiennes par semaine.</w:t>
      </w:r>
    </w:p>
    <w:p w14:paraId="7FE4E991" w14:textId="77777777" w:rsidR="008C2534" w:rsidRDefault="003A75A5">
      <w:pPr>
        <w:jc w:val="both"/>
      </w:pPr>
      <w:r>
        <w:t xml:space="preserve">La fiche d'information de participation à l'étude sera envoyée à tous les patients </w:t>
      </w:r>
      <w:r>
        <w:t xml:space="preserve">convoqués dans le service. Devant l'absence de risque pour le patient et la faible contrainte liée à l'étude, on peut supposer qu'au moins un patient sur 10, soit 5 patients par semaine seront d'accord pour y participer. L'ensemble des médecins du service </w:t>
      </w:r>
      <w:r>
        <w:t>(cinq médecins), pourront inclure les patients. Ainsi, l'objectif de 70 patients sur une durée de 12 mois après acceptation de l'étude de semble tout à fait adapté à notre activité.</w:t>
      </w:r>
    </w:p>
    <w:p w14:paraId="7FE4E992" w14:textId="77777777" w:rsidR="008C2534" w:rsidRDefault="008C2534">
      <w:pPr>
        <w:jc w:val="both"/>
      </w:pPr>
    </w:p>
    <w:p w14:paraId="7FE4E993" w14:textId="77777777" w:rsidR="008C2534" w:rsidRDefault="003A75A5">
      <w:pPr>
        <w:pStyle w:val="Titre1"/>
        <w:keepNext w:val="0"/>
        <w:tabs>
          <w:tab w:val="num" w:pos="0"/>
          <w:tab w:val="left" w:pos="57"/>
        </w:tabs>
      </w:pPr>
      <w:bookmarkStart w:id="341" w:name="_Toc203880598"/>
      <w:bookmarkStart w:id="342" w:name="_Toc203880975"/>
      <w:bookmarkStart w:id="343" w:name="_Toc205870898"/>
      <w:bookmarkStart w:id="344" w:name="_Toc205871018"/>
      <w:bookmarkStart w:id="345" w:name="_Toc205871138"/>
      <w:bookmarkStart w:id="346" w:name="_Toc210446720"/>
      <w:bookmarkStart w:id="347" w:name="_Toc452454520"/>
      <w:bookmarkStart w:id="348" w:name="_Toc505606839"/>
      <w:r>
        <w:lastRenderedPageBreak/>
        <w:t>Règles relatives à la publication</w:t>
      </w:r>
      <w:bookmarkEnd w:id="341"/>
      <w:bookmarkEnd w:id="342"/>
      <w:bookmarkEnd w:id="343"/>
      <w:bookmarkEnd w:id="344"/>
      <w:bookmarkEnd w:id="345"/>
      <w:bookmarkEnd w:id="346"/>
      <w:bookmarkEnd w:id="347"/>
      <w:bookmarkEnd w:id="348"/>
    </w:p>
    <w:p w14:paraId="7FE4E994" w14:textId="77777777" w:rsidR="008C2534" w:rsidRDefault="008C2534">
      <w:pPr>
        <w:jc w:val="both"/>
        <w:rPr>
          <w:i/>
          <w:color w:val="0000FF"/>
          <w:u w:val="single"/>
        </w:rPr>
      </w:pPr>
    </w:p>
    <w:p w14:paraId="7FE4E995" w14:textId="77777777" w:rsidR="008C2534" w:rsidRDefault="003A75A5">
      <w:pPr>
        <w:jc w:val="both"/>
      </w:pPr>
      <w:r>
        <w:t xml:space="preserve">Les communications et rapports </w:t>
      </w:r>
      <w:r>
        <w:t xml:space="preserve">scientifiques correspondant à cette étude seront réalisés sous la responsabilité de l’investigateur principal coordonnateur de l'étude avec l’accord des investigateurs responsables. Les coauteurs du rapport et des publications seront les investigateurs et </w:t>
      </w:r>
      <w:r>
        <w:t>les cliniciens impliqués, au prorata de leur contribution à l’étude, ainsi que le biostatisticien et les chercheurs associés.</w:t>
      </w:r>
    </w:p>
    <w:p w14:paraId="7FE4E996" w14:textId="77777777" w:rsidR="008C2534" w:rsidRDefault="003A75A5">
      <w:pPr>
        <w:jc w:val="both"/>
      </w:pPr>
      <w:r>
        <w:t xml:space="preserve">Les règles de publications suivront les recommandations internationales (N </w:t>
      </w:r>
      <w:proofErr w:type="spellStart"/>
      <w:r>
        <w:t>Engl</w:t>
      </w:r>
      <w:proofErr w:type="spellEnd"/>
      <w:r>
        <w:t xml:space="preserve"> J Med, 1997; 336 :309-315).</w:t>
      </w:r>
    </w:p>
    <w:p w14:paraId="7FE4E997" w14:textId="77777777" w:rsidR="008C2534" w:rsidRDefault="003A75A5">
      <w:pPr>
        <w:jc w:val="both"/>
      </w:pPr>
      <w:r>
        <w:t>L’étude sera enregistr</w:t>
      </w:r>
      <w:r>
        <w:t>ée sur un site web en libre accès (</w:t>
      </w:r>
      <w:proofErr w:type="spellStart"/>
      <w:r>
        <w:t>Clinical</w:t>
      </w:r>
      <w:proofErr w:type="spellEnd"/>
      <w:r>
        <w:t xml:space="preserve"> trial) avant l'inclusion du 1</w:t>
      </w:r>
      <w:r>
        <w:rPr>
          <w:vertAlign w:val="superscript"/>
        </w:rPr>
        <w:t>er</w:t>
      </w:r>
      <w:r>
        <w:t xml:space="preserve"> patient dans cette étude.</w:t>
      </w:r>
    </w:p>
    <w:p w14:paraId="7FE4E998" w14:textId="77777777" w:rsidR="008C2534" w:rsidRDefault="008C2534">
      <w:pPr>
        <w:jc w:val="both"/>
      </w:pPr>
    </w:p>
    <w:p w14:paraId="7FE4E999" w14:textId="77777777" w:rsidR="008C2534" w:rsidRDefault="003A75A5">
      <w:pPr>
        <w:pStyle w:val="Titre1"/>
      </w:pPr>
      <w:r>
        <w:t xml:space="preserve"> </w:t>
      </w:r>
      <w:bookmarkStart w:id="349" w:name="_Toc452454521"/>
      <w:bookmarkStart w:id="350" w:name="_Toc505606840"/>
      <w:r>
        <w:t>Bibliographie</w:t>
      </w:r>
      <w:bookmarkEnd w:id="349"/>
      <w:bookmarkEnd w:id="350"/>
    </w:p>
    <w:p w14:paraId="7FE4E99A" w14:textId="77777777" w:rsidR="008C2534" w:rsidRDefault="008C2534"/>
    <w:p w14:paraId="7FE4E99B" w14:textId="77777777" w:rsidR="008C2534" w:rsidRPr="00776FBE" w:rsidRDefault="003A75A5">
      <w:pPr>
        <w:rPr>
          <w:lang w:val="en-US"/>
        </w:rPr>
      </w:pPr>
      <w:r>
        <w:rPr>
          <w:lang w:val="en-US"/>
        </w:rPr>
        <w:t xml:space="preserve">Evaluation of a novel collimator for molecular breast tomosynthesis. </w:t>
      </w:r>
      <w:proofErr w:type="spellStart"/>
      <w:r>
        <w:rPr>
          <w:lang w:val="en-US"/>
        </w:rPr>
        <w:t>Gilland</w:t>
      </w:r>
      <w:proofErr w:type="spellEnd"/>
      <w:r>
        <w:rPr>
          <w:lang w:val="en-US"/>
        </w:rPr>
        <w:t xml:space="preserve"> et al. </w:t>
      </w:r>
      <w:r w:rsidRPr="00776FBE">
        <w:rPr>
          <w:u w:val="single"/>
          <w:lang w:val="en-US"/>
        </w:rPr>
        <w:t>Med Phys</w:t>
      </w:r>
      <w:r w:rsidRPr="00776FBE">
        <w:rPr>
          <w:lang w:val="en-US"/>
        </w:rPr>
        <w:t xml:space="preserve"> 2017 Nov;44(11):5740-5748</w:t>
      </w:r>
    </w:p>
    <w:p w14:paraId="7FE4E99C" w14:textId="77777777" w:rsidR="008C2534" w:rsidRPr="00776FBE" w:rsidRDefault="008C2534">
      <w:pPr>
        <w:rPr>
          <w:lang w:val="en-US"/>
        </w:rPr>
      </w:pPr>
    </w:p>
    <w:p w14:paraId="7FE4E99D" w14:textId="77777777" w:rsidR="008C2534" w:rsidRDefault="003A75A5">
      <w:pPr>
        <w:rPr>
          <w:lang w:val="en-US"/>
        </w:rPr>
      </w:pPr>
      <w:r>
        <w:rPr>
          <w:lang w:val="en-US"/>
        </w:rPr>
        <w:t>Comparison of myo</w:t>
      </w:r>
      <w:r>
        <w:rPr>
          <w:lang w:val="en-US"/>
        </w:rPr>
        <w:t xml:space="preserve">cardial perfusion imaging using thallium-201 between a new cadmium-zinc-telluride cardiac camera and a conventional SPECT camera. </w:t>
      </w:r>
      <w:proofErr w:type="spellStart"/>
      <w:r>
        <w:rPr>
          <w:lang w:val="en-US"/>
        </w:rPr>
        <w:t>Songy</w:t>
      </w:r>
      <w:proofErr w:type="spellEnd"/>
      <w:r>
        <w:rPr>
          <w:lang w:val="en-US"/>
        </w:rPr>
        <w:t xml:space="preserve"> et al, </w:t>
      </w:r>
      <w:hyperlink r:id="rId15" w:tooltip="Clinical nuclear medicine." w:history="1">
        <w:r>
          <w:rPr>
            <w:rStyle w:val="Lienhypertexte"/>
            <w:lang w:val="en-US"/>
          </w:rPr>
          <w:t xml:space="preserve">Clin </w:t>
        </w:r>
        <w:proofErr w:type="spellStart"/>
        <w:r>
          <w:rPr>
            <w:rStyle w:val="Lienhypertexte"/>
            <w:lang w:val="en-US"/>
          </w:rPr>
          <w:t>Nucl</w:t>
        </w:r>
        <w:proofErr w:type="spellEnd"/>
        <w:r>
          <w:rPr>
            <w:rStyle w:val="Lienhypertexte"/>
            <w:lang w:val="en-US"/>
          </w:rPr>
          <w:t xml:space="preserve"> Med.</w:t>
        </w:r>
      </w:hyperlink>
      <w:r>
        <w:rPr>
          <w:lang w:val="en-US"/>
        </w:rPr>
        <w:t xml:space="preserve"> 2011 </w:t>
      </w:r>
      <w:r>
        <w:rPr>
          <w:lang w:val="en-US"/>
        </w:rPr>
        <w:t>Sep;36(9):776-80</w:t>
      </w:r>
    </w:p>
    <w:p w14:paraId="7FE4E99E" w14:textId="77777777" w:rsidR="008C2534" w:rsidRDefault="003A75A5">
      <w:pPr>
        <w:pStyle w:val="Titre1"/>
        <w:keepNext w:val="0"/>
        <w:tabs>
          <w:tab w:val="num" w:pos="0"/>
          <w:tab w:val="left" w:pos="57"/>
        </w:tabs>
      </w:pPr>
      <w:bookmarkStart w:id="351" w:name="_Toc203880599"/>
      <w:bookmarkStart w:id="352" w:name="_Toc203880976"/>
      <w:bookmarkStart w:id="353" w:name="_Toc205870899"/>
      <w:bookmarkStart w:id="354" w:name="_Toc205871019"/>
      <w:bookmarkStart w:id="355" w:name="_Toc205871139"/>
      <w:bookmarkStart w:id="356" w:name="_Toc210446721"/>
      <w:bookmarkStart w:id="357" w:name="_Toc452454522"/>
      <w:bookmarkStart w:id="358" w:name="_Toc505606841"/>
      <w:r>
        <w:t>Liste des annexes</w:t>
      </w:r>
      <w:bookmarkEnd w:id="351"/>
      <w:bookmarkEnd w:id="352"/>
      <w:bookmarkEnd w:id="353"/>
      <w:bookmarkEnd w:id="354"/>
      <w:bookmarkEnd w:id="355"/>
      <w:bookmarkEnd w:id="356"/>
      <w:bookmarkEnd w:id="357"/>
      <w:bookmarkEnd w:id="358"/>
    </w:p>
    <w:p w14:paraId="7FE4E99F" w14:textId="77777777" w:rsidR="008C2534" w:rsidRDefault="008C2534">
      <w:pPr>
        <w:rPr>
          <w:i/>
          <w:color w:val="0000FF"/>
        </w:rPr>
      </w:pPr>
    </w:p>
    <w:p w14:paraId="7FE4E9A0" w14:textId="77777777" w:rsidR="008C2534" w:rsidRDefault="003A75A5">
      <w:pPr>
        <w:rPr>
          <w:i/>
        </w:rPr>
      </w:pPr>
      <w:r>
        <w:rPr>
          <w:i/>
        </w:rPr>
        <w:t>bordereau de recueil de données / questionnaires</w:t>
      </w:r>
    </w:p>
    <w:p w14:paraId="7FE4E9A1" w14:textId="77777777" w:rsidR="008C2534" w:rsidRDefault="008C2534"/>
    <w:p w14:paraId="7FE4E9A2" w14:textId="77777777" w:rsidR="008C2534" w:rsidRDefault="008C2534"/>
    <w:p w14:paraId="7FE4E9A3" w14:textId="77777777" w:rsidR="008C2534" w:rsidRDefault="008C2534"/>
    <w:p w14:paraId="7FE4E9A4" w14:textId="77777777" w:rsidR="008C2534" w:rsidRDefault="008C2534"/>
    <w:p w14:paraId="7FE4E9A5" w14:textId="77777777" w:rsidR="008C2534" w:rsidRDefault="003A75A5">
      <w:r>
        <w:t xml:space="preserve">Marquage CE du nouveau collimateur : </w:t>
      </w:r>
    </w:p>
    <w:p w14:paraId="7FE4E9A6" w14:textId="77777777" w:rsidR="008C2534" w:rsidRDefault="003A75A5">
      <w:r>
        <w:rPr>
          <w:noProof/>
          <w:lang w:eastAsia="fr-FR"/>
        </w:rPr>
        <w:lastRenderedPageBreak/>
        <w:drawing>
          <wp:inline distT="0" distB="0" distL="0" distR="0" wp14:anchorId="7FE4E9B7" wp14:editId="7FE4E9B8">
            <wp:extent cx="5759450" cy="1863090"/>
            <wp:effectExtent l="0" t="0" r="635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9450" cy="1863090"/>
                    </a:xfrm>
                    <a:prstGeom prst="rect">
                      <a:avLst/>
                    </a:prstGeom>
                  </pic:spPr>
                </pic:pic>
              </a:graphicData>
            </a:graphic>
          </wp:inline>
        </w:drawing>
      </w:r>
    </w:p>
    <w:sectPr w:rsidR="008C2534">
      <w:footerReference w:type="default" r:id="rId17"/>
      <w:pgSz w:w="11906" w:h="16838"/>
      <w:pgMar w:top="1702"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 w:author="Elodie TATSI TOTOUOM" w:date="2018-02-19T17:15:00Z" w:initials="ET">
    <w:p w14:paraId="7FE4E9B9" w14:textId="77777777" w:rsidR="008C2534" w:rsidRDefault="003A75A5">
      <w:pPr>
        <w:pStyle w:val="Commentaire"/>
      </w:pPr>
      <w:r>
        <w:rPr>
          <w:rStyle w:val="Marquedecommentaire"/>
        </w:rPr>
        <w:annotationRef/>
      </w:r>
      <w:r>
        <w:t>Il leur avait été demandé à la CRE de préciser à partir de quel EVA on le patient ne sera pas inclus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E4E9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E4E9B9" w16cid:durableId="20CCF6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4E9BC" w14:textId="77777777" w:rsidR="008C2534" w:rsidRDefault="003A75A5">
      <w:pPr>
        <w:spacing w:after="0" w:line="240" w:lineRule="auto"/>
      </w:pPr>
      <w:r>
        <w:separator/>
      </w:r>
    </w:p>
  </w:endnote>
  <w:endnote w:type="continuationSeparator" w:id="0">
    <w:p w14:paraId="7FE4E9BD" w14:textId="77777777" w:rsidR="008C2534" w:rsidRDefault="003A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utch 801 Roman">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4E9BF" w14:textId="77777777" w:rsidR="008C2534" w:rsidRDefault="003A75A5">
    <w:pPr>
      <w:pStyle w:val="Pieddepage"/>
    </w:pPr>
    <w:r>
      <w:rPr>
        <w:i/>
      </w:rPr>
      <w:t>Version 1.0 du 01/02/2018</w:t>
    </w:r>
    <w:r>
      <w:rPr>
        <w:i/>
      </w:rPr>
      <w:ptab w:relativeTo="margin" w:alignment="center" w:leader="none"/>
    </w:r>
    <w:r>
      <w:rPr>
        <w:i/>
      </w:rPr>
      <w:t>CHRO-2018-03</w:t>
    </w:r>
    <w:r>
      <w:ptab w:relativeTo="margin" w:alignment="right" w:leader="none"/>
    </w:r>
    <w:r>
      <w:t xml:space="preserve">Page </w:t>
    </w:r>
    <w:r>
      <w:fldChar w:fldCharType="begin"/>
    </w:r>
    <w:r>
      <w:instrText xml:space="preserve"> PAGE   \* MERGEFORMAT </w:instrText>
    </w:r>
    <w:r>
      <w:fldChar w:fldCharType="separate"/>
    </w:r>
    <w:r>
      <w:rPr>
        <w:noProof/>
      </w:rPr>
      <w:t>1</w:t>
    </w:r>
    <w:r>
      <w:fldChar w:fldCharType="end"/>
    </w:r>
    <w:r>
      <w:t xml:space="preserve"> sur </w:t>
    </w:r>
    <w:r>
      <w:fldChar w:fldCharType="begin"/>
    </w:r>
    <w:r>
      <w:instrText xml:space="preserve"> NUMPAGES   \* MERGEFORMAT </w:instrText>
    </w:r>
    <w:r>
      <w:fldChar w:fldCharType="separate"/>
    </w:r>
    <w:r>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4E9BA" w14:textId="77777777" w:rsidR="008C2534" w:rsidRDefault="003A75A5">
      <w:pPr>
        <w:spacing w:after="0" w:line="240" w:lineRule="auto"/>
      </w:pPr>
      <w:r>
        <w:separator/>
      </w:r>
    </w:p>
  </w:footnote>
  <w:footnote w:type="continuationSeparator" w:id="0">
    <w:p w14:paraId="7FE4E9BB" w14:textId="77777777" w:rsidR="008C2534" w:rsidRDefault="003A7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FAC"/>
    <w:multiLevelType w:val="hybridMultilevel"/>
    <w:tmpl w:val="FAAEAFCE"/>
    <w:lvl w:ilvl="0" w:tplc="343AEA3A">
      <w:numFmt w:val="bullet"/>
      <w:lvlText w:val="-"/>
      <w:lvlJc w:val="left"/>
      <w:pPr>
        <w:tabs>
          <w:tab w:val="num" w:pos="360"/>
        </w:tabs>
        <w:ind w:left="357" w:hanging="357"/>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71546"/>
    <w:multiLevelType w:val="hybridMultilevel"/>
    <w:tmpl w:val="E9C6D1F8"/>
    <w:lvl w:ilvl="0" w:tplc="DAE8733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21948"/>
    <w:multiLevelType w:val="multilevel"/>
    <w:tmpl w:val="D92CE502"/>
    <w:lvl w:ilvl="0">
      <w:start w:val="1"/>
      <w:numFmt w:val="decimal"/>
      <w:pStyle w:val="TM5"/>
      <w:lvlText w:val="%1."/>
      <w:lvlJc w:val="left"/>
      <w:pPr>
        <w:tabs>
          <w:tab w:val="num" w:pos="1800"/>
        </w:tabs>
        <w:ind w:left="1800" w:hanging="360"/>
      </w:pPr>
      <w:rPr>
        <w:rFonts w:hint="default"/>
      </w:rPr>
    </w:lvl>
    <w:lvl w:ilvl="1">
      <w:start w:val="1"/>
      <w:numFmt w:val="decimal"/>
      <w:pStyle w:val="T1"/>
      <w:lvlText w:val="%1.%2."/>
      <w:lvlJc w:val="left"/>
      <w:pPr>
        <w:tabs>
          <w:tab w:val="num" w:pos="2232"/>
        </w:tabs>
        <w:ind w:left="2232" w:hanging="432"/>
      </w:pPr>
      <w:rPr>
        <w:rFonts w:hint="default"/>
      </w:rPr>
    </w:lvl>
    <w:lvl w:ilvl="2">
      <w:start w:val="1"/>
      <w:numFmt w:val="decimal"/>
      <w:pStyle w:val="T2"/>
      <w:lvlText w:val="%1.%2.%3."/>
      <w:lvlJc w:val="left"/>
      <w:pPr>
        <w:tabs>
          <w:tab w:val="num" w:pos="2880"/>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 w15:restartNumberingAfterBreak="0">
    <w:nsid w:val="117742D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2E45F41"/>
    <w:multiLevelType w:val="hybridMultilevel"/>
    <w:tmpl w:val="F9ACC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2EFA9A4C"/>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2850"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DF16AFC"/>
    <w:multiLevelType w:val="singleLevel"/>
    <w:tmpl w:val="6DD05362"/>
    <w:lvl w:ilvl="0">
      <w:start w:val="1"/>
      <w:numFmt w:val="bullet"/>
      <w:lvlText w:val=""/>
      <w:lvlJc w:val="left"/>
      <w:pPr>
        <w:tabs>
          <w:tab w:val="num" w:pos="360"/>
        </w:tabs>
        <w:ind w:left="0" w:firstLine="0"/>
      </w:pPr>
      <w:rPr>
        <w:rFonts w:ascii="Wingdings" w:hAnsi="Wingdings" w:hint="default"/>
        <w:b w:val="0"/>
        <w:i w:val="0"/>
      </w:rPr>
    </w:lvl>
  </w:abstractNum>
  <w:abstractNum w:abstractNumId="7" w15:restartNumberingAfterBreak="0">
    <w:nsid w:val="1E1C5753"/>
    <w:multiLevelType w:val="hybridMultilevel"/>
    <w:tmpl w:val="254ACC24"/>
    <w:lvl w:ilvl="0" w:tplc="AB7891B0">
      <w:numFmt w:val="bullet"/>
      <w:lvlText w:val="-"/>
      <w:lvlJc w:val="left"/>
      <w:pPr>
        <w:tabs>
          <w:tab w:val="num" w:pos="1065"/>
        </w:tabs>
        <w:ind w:left="1065" w:hanging="360"/>
      </w:pPr>
      <w:rPr>
        <w:rFonts w:ascii="Times New Roman" w:eastAsia="Times New Roman" w:hAnsi="Times New Roman" w:cs="Times New Roman" w:hint="default"/>
      </w:rPr>
    </w:lvl>
    <w:lvl w:ilvl="1" w:tplc="593CDF22">
      <w:numFmt w:val="bullet"/>
      <w:lvlText w:val="-"/>
      <w:lvlJc w:val="left"/>
      <w:pPr>
        <w:tabs>
          <w:tab w:val="num" w:pos="1785"/>
        </w:tabs>
        <w:ind w:left="1785" w:hanging="360"/>
      </w:pPr>
      <w:rPr>
        <w:rFonts w:ascii="Times New Roman" w:eastAsia="Times New Roman" w:hAnsi="Times New Roman" w:cs="Times New Roman"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1F8D1C1E"/>
    <w:multiLevelType w:val="hybridMultilevel"/>
    <w:tmpl w:val="128A9526"/>
    <w:lvl w:ilvl="0" w:tplc="BE822C84">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B5395E"/>
    <w:multiLevelType w:val="hybridMultilevel"/>
    <w:tmpl w:val="55982264"/>
    <w:lvl w:ilvl="0" w:tplc="FFFFFFFF">
      <w:numFmt w:val="bullet"/>
      <w:lvlText w:val="-"/>
      <w:lvlJc w:val="left"/>
      <w:pPr>
        <w:tabs>
          <w:tab w:val="num" w:pos="1065"/>
        </w:tabs>
        <w:ind w:left="1065" w:hanging="705"/>
      </w:pPr>
      <w:rPr>
        <w:rFonts w:ascii="Times New Roman" w:eastAsia="Times New Roman" w:hAnsi="Times New Roman" w:hint="default"/>
      </w:rPr>
    </w:lvl>
    <w:lvl w:ilvl="1" w:tplc="C4E6246C">
      <w:start w:val="1"/>
      <w:numFmt w:val="decimal"/>
      <w:lvlText w:val="%2."/>
      <w:lvlJc w:val="left"/>
      <w:pPr>
        <w:tabs>
          <w:tab w:val="num" w:pos="1440"/>
        </w:tabs>
        <w:ind w:left="1440" w:hanging="360"/>
      </w:pPr>
      <w:rPr>
        <w:rFonts w:asciiTheme="minorHAnsi" w:eastAsiaTheme="minorEastAsia" w:hAnsiTheme="minorHAnsi" w:cstheme="minorBidi"/>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91D6D"/>
    <w:multiLevelType w:val="hybridMultilevel"/>
    <w:tmpl w:val="516E66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AE01D2"/>
    <w:multiLevelType w:val="hybridMultilevel"/>
    <w:tmpl w:val="2A9C252E"/>
    <w:lvl w:ilvl="0" w:tplc="8BC0D7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AD5BC8"/>
    <w:multiLevelType w:val="hybridMultilevel"/>
    <w:tmpl w:val="93A462E0"/>
    <w:lvl w:ilvl="0" w:tplc="FFFFFFFF">
      <w:numFmt w:val="bullet"/>
      <w:lvlText w:val="-"/>
      <w:lvlJc w:val="left"/>
      <w:pPr>
        <w:tabs>
          <w:tab w:val="num" w:pos="360"/>
        </w:tabs>
        <w:ind w:left="357" w:hanging="357"/>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9341BA"/>
    <w:multiLevelType w:val="hybridMultilevel"/>
    <w:tmpl w:val="6C10F9D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C7B1BC9"/>
    <w:multiLevelType w:val="hybridMultilevel"/>
    <w:tmpl w:val="32A65A32"/>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C40A3D"/>
    <w:multiLevelType w:val="hybridMultilevel"/>
    <w:tmpl w:val="0DCA5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6B27AA"/>
    <w:multiLevelType w:val="hybridMultilevel"/>
    <w:tmpl w:val="1E4E1014"/>
    <w:lvl w:ilvl="0" w:tplc="FFFFFFFF">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030789"/>
    <w:multiLevelType w:val="multilevel"/>
    <w:tmpl w:val="484CE7E6"/>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1032"/>
        </w:tabs>
        <w:ind w:left="1032" w:hanging="432"/>
      </w:pPr>
      <w:rPr>
        <w:rFonts w:hint="default"/>
        <w:color w:val="auto"/>
      </w:rPr>
    </w:lvl>
    <w:lvl w:ilvl="2">
      <w:start w:val="1"/>
      <w:numFmt w:val="decimal"/>
      <w:pStyle w:val="Titre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4C405A2"/>
    <w:multiLevelType w:val="hybridMultilevel"/>
    <w:tmpl w:val="84F04F76"/>
    <w:lvl w:ilvl="0" w:tplc="040C000B">
      <w:numFmt w:val="bullet"/>
      <w:lvlText w:val="-"/>
      <w:lvlJc w:val="left"/>
      <w:pPr>
        <w:tabs>
          <w:tab w:val="num" w:pos="720"/>
        </w:tabs>
        <w:ind w:left="720" w:hanging="360"/>
      </w:pPr>
      <w:rPr>
        <w:rFonts w:ascii="Times New Roman" w:eastAsia="Times New Roman" w:hAnsi="Times New Roman" w:cs="Times New Roman" w:hint="default"/>
      </w:rPr>
    </w:lvl>
    <w:lvl w:ilvl="1" w:tplc="593CDF22"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B11ADB"/>
    <w:multiLevelType w:val="hybridMultilevel"/>
    <w:tmpl w:val="B04AABA0"/>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6B696A35"/>
    <w:multiLevelType w:val="multilevel"/>
    <w:tmpl w:val="42C054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CA96B06"/>
    <w:multiLevelType w:val="singleLevel"/>
    <w:tmpl w:val="3D16D978"/>
    <w:lvl w:ilvl="0">
      <w:start w:val="1"/>
      <w:numFmt w:val="bullet"/>
      <w:lvlText w:val=""/>
      <w:lvlJc w:val="left"/>
      <w:pPr>
        <w:tabs>
          <w:tab w:val="num" w:pos="360"/>
        </w:tabs>
        <w:ind w:left="0" w:firstLine="0"/>
      </w:pPr>
      <w:rPr>
        <w:rFonts w:ascii="Wingdings" w:hAnsi="Wingdings" w:hint="default"/>
        <w:b w:val="0"/>
        <w:i w:val="0"/>
      </w:rPr>
    </w:lvl>
  </w:abstractNum>
  <w:abstractNum w:abstractNumId="22" w15:restartNumberingAfterBreak="0">
    <w:nsid w:val="731C402A"/>
    <w:multiLevelType w:val="hybridMultilevel"/>
    <w:tmpl w:val="80A01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1A4C3B"/>
    <w:multiLevelType w:val="hybridMultilevel"/>
    <w:tmpl w:val="A0242B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98B2BD9"/>
    <w:multiLevelType w:val="hybridMultilevel"/>
    <w:tmpl w:val="C534F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34756D"/>
    <w:multiLevelType w:val="hybridMultilevel"/>
    <w:tmpl w:val="349CD082"/>
    <w:lvl w:ilvl="0" w:tplc="C632E78E">
      <w:numFmt w:val="bullet"/>
      <w:lvlText w:val="-"/>
      <w:lvlJc w:val="left"/>
      <w:pPr>
        <w:tabs>
          <w:tab w:val="num" w:pos="360"/>
        </w:tabs>
        <w:ind w:left="360" w:hanging="360"/>
      </w:pPr>
      <w:rPr>
        <w:rFonts w:hint="default"/>
        <w:i/>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B299F"/>
    <w:multiLevelType w:val="hybridMultilevel"/>
    <w:tmpl w:val="32180F0C"/>
    <w:lvl w:ilvl="0" w:tplc="EB222336">
      <w:start w:val="1"/>
      <w:numFmt w:val="decimal"/>
      <w:lvlText w:val="%1"/>
      <w:lvlJc w:val="left"/>
      <w:pPr>
        <w:ind w:left="1407" w:hanging="84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5"/>
  </w:num>
  <w:num w:numId="2">
    <w:abstractNumId w:val="9"/>
  </w:num>
  <w:num w:numId="3">
    <w:abstractNumId w:val="20"/>
  </w:num>
  <w:num w:numId="4">
    <w:abstractNumId w:val="1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3"/>
    </w:lvlOverride>
  </w:num>
  <w:num w:numId="7">
    <w:abstractNumId w:val="3"/>
  </w:num>
  <w:num w:numId="8">
    <w:abstractNumId w:val="6"/>
  </w:num>
  <w:num w:numId="9">
    <w:abstractNumId w:val="21"/>
  </w:num>
  <w:num w:numId="10">
    <w:abstractNumId w:val="8"/>
  </w:num>
  <w:num w:numId="11">
    <w:abstractNumId w:val="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25"/>
  </w:num>
  <w:num w:numId="16">
    <w:abstractNumId w:val="14"/>
  </w:num>
  <w:num w:numId="17">
    <w:abstractNumId w:val="19"/>
  </w:num>
  <w:num w:numId="18">
    <w:abstractNumId w:val="7"/>
  </w:num>
  <w:num w:numId="19">
    <w:abstractNumId w:val="1"/>
  </w:num>
  <w:num w:numId="20">
    <w:abstractNumId w:val="18"/>
  </w:num>
  <w:num w:numId="21">
    <w:abstractNumId w:val="16"/>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5"/>
  </w:num>
  <w:num w:numId="25">
    <w:abstractNumId w:val="13"/>
  </w:num>
  <w:num w:numId="26">
    <w:abstractNumId w:val="22"/>
  </w:num>
  <w:num w:numId="27">
    <w:abstractNumId w:val="11"/>
  </w:num>
  <w:num w:numId="28">
    <w:abstractNumId w:val="26"/>
  </w:num>
  <w:num w:numId="29">
    <w:abstractNumId w:val="23"/>
  </w:num>
  <w:num w:numId="30">
    <w:abstractNumId w:val="10"/>
  </w:num>
  <w:num w:numId="31">
    <w:abstractNumId w:val="24"/>
  </w:num>
  <w:num w:numId="32">
    <w:abstractNumId w:val="4"/>
  </w:num>
  <w:num w:numId="33">
    <w:abstractNumId w:val="17"/>
  </w:num>
  <w:num w:numId="34">
    <w:abstractNumId w:val="17"/>
  </w:num>
  <w:num w:numId="35">
    <w:abstractNumId w:val="1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534"/>
    <w:rsid w:val="003A75A5"/>
    <w:rsid w:val="00776FBE"/>
    <w:rsid w:val="007F7A31"/>
    <w:rsid w:val="008C25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E4E72D"/>
  <w15:docId w15:val="{0C7F5B0C-5D38-EA46-A87A-F0ED36E1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numPr>
        <w:numId w:val="4"/>
      </w:numPr>
      <w:pBdr>
        <w:bottom w:val="single" w:sz="4" w:space="1" w:color="595959" w:themeColor="text1" w:themeTint="A6"/>
      </w:pBdr>
      <w:spacing w:before="360" w:after="0"/>
      <w:jc w:val="both"/>
      <w:outlineLvl w:val="0"/>
    </w:pPr>
    <w:rPr>
      <w:rFonts w:asciiTheme="majorHAnsi" w:eastAsiaTheme="majorEastAsia" w:hAnsiTheme="majorHAnsi" w:cstheme="majorBidi"/>
      <w:b/>
      <w:bCs/>
      <w:smallCaps/>
      <w:color w:val="000000" w:themeColor="text1"/>
      <w:sz w:val="36"/>
      <w:szCs w:val="36"/>
    </w:rPr>
  </w:style>
  <w:style w:type="paragraph" w:styleId="Titre2">
    <w:name w:val="heading 2"/>
    <w:basedOn w:val="Normal"/>
    <w:next w:val="Normal"/>
    <w:link w:val="Titre2Car"/>
    <w:uiPriority w:val="9"/>
    <w:unhideWhenUsed/>
    <w:qFormat/>
    <w:pPr>
      <w:keepNext/>
      <w:keepLines/>
      <w:numPr>
        <w:ilvl w:val="1"/>
        <w:numId w:val="4"/>
      </w:numPr>
      <w:spacing w:before="360" w:after="0"/>
      <w:jc w:val="both"/>
      <w:outlineLvl w:val="1"/>
    </w:pPr>
    <w:rPr>
      <w:rFonts w:asciiTheme="majorHAnsi" w:eastAsiaTheme="majorEastAsia" w:hAnsiTheme="majorHAnsi" w:cstheme="majorBidi"/>
      <w:b/>
      <w:bCs/>
      <w:smallCaps/>
      <w:color w:val="000000" w:themeColor="text1"/>
      <w:sz w:val="28"/>
      <w:szCs w:val="28"/>
    </w:rPr>
  </w:style>
  <w:style w:type="paragraph" w:styleId="Titre3">
    <w:name w:val="heading 3"/>
    <w:basedOn w:val="Normal"/>
    <w:next w:val="Normal"/>
    <w:link w:val="Titre3Car"/>
    <w:uiPriority w:val="9"/>
    <w:unhideWhenUsed/>
    <w:qFormat/>
    <w:pPr>
      <w:keepNext/>
      <w:keepLines/>
      <w:numPr>
        <w:ilvl w:val="2"/>
        <w:numId w:val="4"/>
      </w:numPr>
      <w:spacing w:before="200" w:after="0"/>
      <w:jc w:val="both"/>
      <w:outlineLvl w:val="2"/>
    </w:pPr>
    <w:rPr>
      <w:rFonts w:asciiTheme="majorHAnsi" w:eastAsiaTheme="majorEastAsia" w:hAnsiTheme="majorHAnsi" w:cstheme="majorBidi"/>
      <w:b/>
      <w:bCs/>
      <w:color w:val="000000" w:themeColor="text1"/>
      <w:sz w:val="24"/>
    </w:rPr>
  </w:style>
  <w:style w:type="paragraph" w:styleId="Titre4">
    <w:name w:val="heading 4"/>
    <w:basedOn w:val="Normal"/>
    <w:next w:val="Normal"/>
    <w:link w:val="Titre4Car"/>
    <w:uiPriority w:val="9"/>
    <w:unhideWhenUsed/>
    <w:qFormat/>
    <w:pPr>
      <w:keepNext/>
      <w:keepLines/>
      <w:spacing w:before="200" w:after="0"/>
      <w:jc w:val="both"/>
      <w:outlineLvl w:val="3"/>
    </w:pPr>
    <w:rPr>
      <w:rFonts w:asciiTheme="majorHAnsi" w:eastAsiaTheme="majorEastAsia" w:hAnsiTheme="majorHAnsi" w:cstheme="majorBidi"/>
      <w:b/>
      <w:bCs/>
      <w:i/>
      <w:iCs/>
      <w:color w:val="000000" w:themeColor="text1"/>
      <w:sz w:val="24"/>
    </w:rPr>
  </w:style>
  <w:style w:type="paragraph" w:styleId="Titre5">
    <w:name w:val="heading 5"/>
    <w:basedOn w:val="Normal"/>
    <w:next w:val="Normal"/>
    <w:link w:val="Titre5Car"/>
    <w:uiPriority w:val="9"/>
    <w:unhideWhenUsed/>
    <w:qFormat/>
    <w:pPr>
      <w:keepNext/>
      <w:keepLines/>
      <w:spacing w:before="200" w:after="0"/>
      <w:jc w:val="both"/>
      <w:outlineLvl w:val="4"/>
    </w:pPr>
    <w:rPr>
      <w:rFonts w:asciiTheme="majorHAnsi" w:eastAsiaTheme="majorEastAsia" w:hAnsiTheme="majorHAnsi" w:cstheme="majorBidi"/>
      <w:color w:val="17365D" w:themeColor="text2" w:themeShade="BF"/>
      <w:sz w:val="24"/>
    </w:rPr>
  </w:style>
  <w:style w:type="paragraph" w:styleId="Titre6">
    <w:name w:val="heading 6"/>
    <w:basedOn w:val="Normal"/>
    <w:next w:val="Normal"/>
    <w:link w:val="Titre6Car"/>
    <w:uiPriority w:val="9"/>
    <w:unhideWhenUsed/>
    <w:qFormat/>
    <w:pPr>
      <w:keepNext/>
      <w:keepLines/>
      <w:spacing w:before="200" w:after="0"/>
      <w:jc w:val="both"/>
      <w:outlineLvl w:val="5"/>
    </w:pPr>
    <w:rPr>
      <w:rFonts w:asciiTheme="majorHAnsi" w:eastAsiaTheme="majorEastAsia" w:hAnsiTheme="majorHAnsi" w:cstheme="majorBidi"/>
      <w:i/>
      <w:iCs/>
      <w:color w:val="17365D" w:themeColor="text2" w:themeShade="BF"/>
      <w:sz w:val="24"/>
    </w:rPr>
  </w:style>
  <w:style w:type="paragraph" w:styleId="Titre7">
    <w:name w:val="heading 7"/>
    <w:basedOn w:val="Normal"/>
    <w:next w:val="Normal"/>
    <w:link w:val="Titre7Car"/>
    <w:uiPriority w:val="9"/>
    <w:unhideWhenUsed/>
    <w:qFormat/>
    <w:pPr>
      <w:keepNext/>
      <w:keepLines/>
      <w:spacing w:before="200" w:after="0"/>
      <w:jc w:val="both"/>
      <w:outlineLvl w:val="6"/>
    </w:pPr>
    <w:rPr>
      <w:rFonts w:asciiTheme="majorHAnsi" w:eastAsiaTheme="majorEastAsia" w:hAnsiTheme="majorHAnsi" w:cstheme="majorBidi"/>
      <w:i/>
      <w:iCs/>
      <w:color w:val="404040" w:themeColor="text1" w:themeTint="BF"/>
      <w:sz w:val="24"/>
    </w:rPr>
  </w:style>
  <w:style w:type="paragraph" w:styleId="Titre8">
    <w:name w:val="heading 8"/>
    <w:basedOn w:val="Normal"/>
    <w:next w:val="Normal"/>
    <w:link w:val="Titre8Car"/>
    <w:uiPriority w:val="9"/>
    <w:unhideWhenUsed/>
    <w:qFormat/>
    <w:pPr>
      <w:keepNext/>
      <w:keepLines/>
      <w:spacing w:before="200" w:after="0"/>
      <w:jc w:val="both"/>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smallCaps/>
      <w:color w:val="000000" w:themeColor="text1"/>
      <w:sz w:val="36"/>
      <w:szCs w:val="36"/>
    </w:rPr>
  </w:style>
  <w:style w:type="character" w:customStyle="1" w:styleId="Titre2Car">
    <w:name w:val="Titre 2 Car"/>
    <w:basedOn w:val="Policepardfaut"/>
    <w:link w:val="Titre2"/>
    <w:uiPriority w:val="9"/>
    <w:rPr>
      <w:rFonts w:asciiTheme="majorHAnsi" w:eastAsiaTheme="majorEastAsia" w:hAnsiTheme="majorHAnsi" w:cstheme="majorBidi"/>
      <w:b/>
      <w:bCs/>
      <w:smallCaps/>
      <w:color w:val="000000" w:themeColor="text1"/>
      <w:sz w:val="28"/>
      <w:szCs w:val="28"/>
    </w:rPr>
  </w:style>
  <w:style w:type="character" w:customStyle="1" w:styleId="Titre3Car">
    <w:name w:val="Titre 3 Car"/>
    <w:basedOn w:val="Policepardfaut"/>
    <w:link w:val="Titre3"/>
    <w:uiPriority w:val="9"/>
    <w:rPr>
      <w:rFonts w:asciiTheme="majorHAnsi" w:eastAsiaTheme="majorEastAsia" w:hAnsiTheme="majorHAnsi" w:cstheme="majorBidi"/>
      <w:b/>
      <w:bCs/>
      <w:color w:val="000000" w:themeColor="text1"/>
      <w:sz w:val="24"/>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000000" w:themeColor="text1"/>
      <w:sz w:val="24"/>
    </w:rPr>
  </w:style>
  <w:style w:type="character" w:customStyle="1" w:styleId="Titre5Car">
    <w:name w:val="Titre 5 Car"/>
    <w:basedOn w:val="Policepardfaut"/>
    <w:link w:val="Titre5"/>
    <w:uiPriority w:val="9"/>
    <w:rPr>
      <w:rFonts w:asciiTheme="majorHAnsi" w:eastAsiaTheme="majorEastAsia" w:hAnsiTheme="majorHAnsi" w:cstheme="majorBidi"/>
      <w:color w:val="17365D" w:themeColor="text2" w:themeShade="BF"/>
      <w:sz w:val="24"/>
    </w:rPr>
  </w:style>
  <w:style w:type="character" w:customStyle="1" w:styleId="Titre6Car">
    <w:name w:val="Titre 6 Car"/>
    <w:basedOn w:val="Policepardfaut"/>
    <w:link w:val="Titre6"/>
    <w:uiPriority w:val="9"/>
    <w:rPr>
      <w:rFonts w:asciiTheme="majorHAnsi" w:eastAsiaTheme="majorEastAsia" w:hAnsiTheme="majorHAnsi" w:cstheme="majorBidi"/>
      <w:i/>
      <w:iCs/>
      <w:color w:val="17365D" w:themeColor="text2" w:themeShade="BF"/>
      <w:sz w:val="24"/>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Corpsdetexte">
    <w:name w:val="Body Text"/>
    <w:basedOn w:val="Normal"/>
    <w:link w:val="CorpsdetexteCar"/>
    <w:uiPriority w:val="99"/>
    <w:unhideWhenUsed/>
    <w:pPr>
      <w:spacing w:after="0"/>
      <w:jc w:val="center"/>
    </w:pPr>
    <w:rPr>
      <w:rFonts w:eastAsiaTheme="minorEastAsia"/>
      <w:b/>
      <w:bCs/>
      <w:sz w:val="24"/>
    </w:rPr>
  </w:style>
  <w:style w:type="character" w:customStyle="1" w:styleId="CorpsdetexteCar">
    <w:name w:val="Corps de texte Car"/>
    <w:basedOn w:val="Policepardfaut"/>
    <w:link w:val="Corpsdetexte"/>
    <w:uiPriority w:val="99"/>
    <w:rPr>
      <w:rFonts w:eastAsiaTheme="minorEastAsia"/>
      <w:b/>
      <w:bCs/>
      <w:sz w:val="24"/>
    </w:rPr>
  </w:style>
  <w:style w:type="paragraph" w:styleId="NormalWeb">
    <w:name w:val="Normal (Web)"/>
    <w:basedOn w:val="Normal"/>
    <w:uiPriority w:val="99"/>
    <w:unhideWhenUsed/>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paragraph" w:customStyle="1" w:styleId="NormalGras">
    <w:name w:val="Normal + Gras"/>
    <w:aliases w:val="Petites majuscules"/>
    <w:basedOn w:val="Corpsdetexte"/>
    <w:uiPriority w:val="99"/>
    <w:pPr>
      <w:spacing w:line="240" w:lineRule="auto"/>
      <w:jc w:val="both"/>
    </w:pPr>
    <w:rPr>
      <w:rFonts w:ascii="Times New Roman" w:eastAsia="Times New Roman" w:hAnsi="Times New Roman" w:cs="Times New Roman"/>
      <w:bCs w:val="0"/>
      <w:szCs w:val="24"/>
      <w:lang w:eastAsia="fr-FR"/>
    </w:rPr>
  </w:style>
  <w:style w:type="paragraph" w:customStyle="1" w:styleId="Technisch4">
    <w:name w:val="Technisch 4"/>
    <w:uiPriority w:val="99"/>
    <w:pPr>
      <w:tabs>
        <w:tab w:val="left" w:pos="-720"/>
      </w:tabs>
      <w:suppressAutoHyphens/>
      <w:spacing w:after="0" w:line="240" w:lineRule="auto"/>
    </w:pPr>
    <w:rPr>
      <w:rFonts w:ascii="Dutch 801 Roman" w:eastAsia="Times New Roman" w:hAnsi="Dutch 801 Roman" w:cs="Times New Roman"/>
      <w:b/>
      <w:bCs/>
      <w:sz w:val="24"/>
      <w:szCs w:val="24"/>
      <w:lang w:val="en-US"/>
    </w:rPr>
  </w:style>
  <w:style w:type="paragraph" w:styleId="En-ttedetabledesmatires">
    <w:name w:val="TOC Heading"/>
    <w:basedOn w:val="Titre1"/>
    <w:next w:val="Normal"/>
    <w:uiPriority w:val="39"/>
    <w:unhideWhenUsed/>
    <w:qFormat/>
    <w:pPr>
      <w:pBdr>
        <w:bottom w:val="none" w:sz="0" w:space="0" w:color="auto"/>
      </w:pBdr>
      <w:spacing w:before="480"/>
      <w:jc w:val="left"/>
      <w:outlineLvl w:val="9"/>
    </w:pPr>
    <w:rPr>
      <w:smallCaps w:val="0"/>
      <w:color w:val="365F91" w:themeColor="accent1" w:themeShade="BF"/>
      <w:sz w:val="28"/>
      <w:szCs w:val="28"/>
      <w:lang w:eastAsia="fr-FR"/>
    </w:rPr>
  </w:style>
  <w:style w:type="paragraph" w:customStyle="1" w:styleId="paragraph">
    <w:name w:val="paragraph"/>
    <w:basedOn w:val="Normal"/>
    <w:uiPriority w:val="99"/>
    <w:pPr>
      <w:spacing w:before="120" w:after="0" w:line="240" w:lineRule="auto"/>
      <w:jc w:val="both"/>
    </w:pPr>
    <w:rPr>
      <w:rFonts w:ascii="Times New Roman" w:eastAsia="Times New Roman" w:hAnsi="Times New Roman" w:cs="Times New Roman"/>
      <w:sz w:val="24"/>
      <w:szCs w:val="24"/>
      <w:lang w:eastAsia="fr-FR"/>
    </w:rPr>
  </w:style>
  <w:style w:type="paragraph" w:styleId="TM3">
    <w:name w:val="toc 3"/>
    <w:basedOn w:val="Normal"/>
    <w:next w:val="Normal"/>
    <w:autoRedefine/>
    <w:uiPriority w:val="39"/>
    <w:pPr>
      <w:spacing w:after="0" w:line="240" w:lineRule="auto"/>
      <w:ind w:left="480"/>
    </w:pPr>
    <w:rPr>
      <w:rFonts w:ascii="Times New Roman" w:eastAsia="Times New Roman" w:hAnsi="Times New Roman" w:cs="Times New Roman"/>
      <w:i/>
      <w:iCs/>
      <w:sz w:val="20"/>
      <w:szCs w:val="20"/>
      <w:lang w:eastAsia="fr-FR"/>
    </w:rPr>
  </w:style>
  <w:style w:type="table" w:styleId="Grilledutableau">
    <w:name w:val="Table Grid"/>
    <w:basedOn w:val="TableauNormal"/>
    <w:uiPriority w:val="3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pPr>
      <w:spacing w:after="0" w:line="240" w:lineRule="auto"/>
    </w:pPr>
    <w:rPr>
      <w:rFonts w:ascii="Calibri" w:eastAsia="Times New Roman" w:hAnsi="Calibri" w:cs="Times New Roman"/>
    </w:rPr>
  </w:style>
  <w:style w:type="paragraph" w:styleId="Paragraphedeliste">
    <w:name w:val="List Paragraph"/>
    <w:basedOn w:val="Normal"/>
    <w:uiPriority w:val="34"/>
    <w:qFormat/>
    <w:pPr>
      <w:ind w:left="720"/>
      <w:contextualSpacing/>
    </w:pPr>
  </w:style>
  <w:style w:type="paragraph" w:styleId="TM1">
    <w:name w:val="toc 1"/>
    <w:basedOn w:val="Normal"/>
    <w:next w:val="Normal"/>
    <w:autoRedefine/>
    <w:uiPriority w:val="39"/>
    <w:unhideWhenUsed/>
    <w:pPr>
      <w:spacing w:after="100"/>
    </w:pPr>
  </w:style>
  <w:style w:type="paragraph" w:styleId="TM2">
    <w:name w:val="toc 2"/>
    <w:basedOn w:val="Normal"/>
    <w:next w:val="Normal"/>
    <w:autoRedefine/>
    <w:uiPriority w:val="39"/>
    <w:unhideWhenUsed/>
    <w:pPr>
      <w:spacing w:after="100"/>
      <w:ind w:left="220"/>
    </w:pPr>
  </w:style>
  <w:style w:type="character" w:styleId="Lienhypertexte">
    <w:name w:val="Hyperlink"/>
    <w:basedOn w:val="Policepardfaut"/>
    <w:uiPriority w:val="99"/>
    <w:unhideWhenUsed/>
    <w:rPr>
      <w:color w:val="0000FF" w:themeColor="hyperlink"/>
      <w:u w:val="single"/>
    </w:rPr>
  </w:style>
  <w:style w:type="paragraph" w:customStyle="1" w:styleId="BodyText32">
    <w:name w:val="Body Text 32"/>
    <w:basedOn w:val="Normal"/>
    <w:pPr>
      <w:spacing w:after="0" w:line="240" w:lineRule="auto"/>
      <w:jc w:val="both"/>
    </w:pPr>
    <w:rPr>
      <w:rFonts w:ascii="Times New Roman" w:eastAsia="Times New Roman" w:hAnsi="Times New Roman" w:cs="Times New Roman"/>
      <w:sz w:val="24"/>
      <w:szCs w:val="20"/>
      <w:lang w:eastAsia="fr-FR"/>
    </w:rPr>
  </w:style>
  <w:style w:type="paragraph" w:styleId="Normalcentr">
    <w:name w:val="Block Text"/>
    <w:basedOn w:val="Normal"/>
    <w:link w:val="NormalcentrCar"/>
    <w:pPr>
      <w:spacing w:after="120" w:line="240" w:lineRule="auto"/>
      <w:ind w:left="1440" w:right="1440"/>
    </w:pPr>
    <w:rPr>
      <w:rFonts w:ascii="Times New Roman" w:eastAsia="Times New Roman" w:hAnsi="Times New Roman" w:cs="Times New Roman"/>
      <w:sz w:val="24"/>
      <w:szCs w:val="24"/>
      <w:lang w:eastAsia="fr-FR"/>
    </w:rPr>
  </w:style>
  <w:style w:type="character" w:customStyle="1" w:styleId="NormalcentrCar">
    <w:name w:val="Normal centré Car"/>
    <w:link w:val="Normalcentr"/>
    <w:rPr>
      <w:rFonts w:ascii="Times New Roman" w:eastAsia="Times New Roman" w:hAnsi="Times New Roman" w:cs="Times New Roman"/>
      <w:sz w:val="24"/>
      <w:szCs w:val="24"/>
      <w:lang w:eastAsia="fr-FR"/>
    </w:rPr>
  </w:style>
  <w:style w:type="paragraph" w:styleId="Commentaire">
    <w:name w:val="annotation text"/>
    <w:basedOn w:val="Normal"/>
    <w:link w:val="CommentaireCar"/>
    <w:semiHidden/>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Pr>
      <w:rFonts w:ascii="Times New Roman" w:eastAsia="Times New Roman" w:hAnsi="Times New Roman" w:cs="Times New Roman"/>
      <w:sz w:val="20"/>
      <w:szCs w:val="20"/>
      <w:lang w:eastAsia="fr-FR"/>
    </w:rPr>
  </w:style>
  <w:style w:type="paragraph" w:styleId="TM5">
    <w:name w:val="toc 5"/>
    <w:basedOn w:val="Normal"/>
    <w:next w:val="Normal"/>
    <w:autoRedefine/>
    <w:uiPriority w:val="39"/>
    <w:pPr>
      <w:numPr>
        <w:numId w:val="11"/>
      </w:numPr>
      <w:tabs>
        <w:tab w:val="clear" w:pos="1800"/>
      </w:tabs>
      <w:spacing w:after="0" w:line="240" w:lineRule="auto"/>
      <w:ind w:left="960" w:firstLine="0"/>
    </w:pPr>
    <w:rPr>
      <w:rFonts w:ascii="Times New Roman" w:eastAsia="Times New Roman" w:hAnsi="Times New Roman" w:cs="Times New Roman"/>
      <w:sz w:val="18"/>
      <w:szCs w:val="18"/>
      <w:lang w:eastAsia="fr-FR"/>
    </w:rPr>
  </w:style>
  <w:style w:type="paragraph" w:customStyle="1" w:styleId="T1">
    <w:name w:val="T1"/>
    <w:basedOn w:val="Titre1"/>
    <w:pPr>
      <w:keepLines w:val="0"/>
      <w:numPr>
        <w:ilvl w:val="1"/>
        <w:numId w:val="11"/>
      </w:numPr>
      <w:pBdr>
        <w:bottom w:val="none" w:sz="0" w:space="0" w:color="auto"/>
      </w:pBdr>
      <w:tabs>
        <w:tab w:val="clear" w:pos="2232"/>
        <w:tab w:val="num" w:pos="360"/>
      </w:tabs>
      <w:spacing w:before="240" w:after="60" w:line="240" w:lineRule="auto"/>
      <w:ind w:left="360" w:hanging="360"/>
    </w:pPr>
    <w:rPr>
      <w:rFonts w:ascii="Times New Roman" w:eastAsia="Times New Roman" w:hAnsi="Times New Roman" w:cs="Arial"/>
      <w:smallCaps w:val="0"/>
      <w:color w:val="auto"/>
      <w:kern w:val="32"/>
      <w:sz w:val="24"/>
      <w:szCs w:val="32"/>
      <w:lang w:eastAsia="fr-FR"/>
    </w:rPr>
  </w:style>
  <w:style w:type="paragraph" w:customStyle="1" w:styleId="T2">
    <w:name w:val="T2"/>
    <w:basedOn w:val="Titre2"/>
    <w:autoRedefine/>
    <w:pPr>
      <w:numPr>
        <w:ilvl w:val="2"/>
        <w:numId w:val="11"/>
      </w:numPr>
      <w:tabs>
        <w:tab w:val="clear" w:pos="2880"/>
        <w:tab w:val="num" w:pos="792"/>
      </w:tabs>
      <w:ind w:left="792" w:hanging="432"/>
      <w:jc w:val="left"/>
    </w:pPr>
    <w:rPr>
      <w:rFonts w:ascii="Times New Roman" w:eastAsia="Times New Roman" w:hAnsi="Times New Roman" w:cs="Arial"/>
      <w:i/>
      <w:iCs/>
      <w:smallCaps w:val="0"/>
      <w:color w:val="auto"/>
      <w:sz w:val="24"/>
      <w:lang w:eastAsia="fr-FR"/>
    </w:rPr>
  </w:style>
  <w:style w:type="paragraph" w:customStyle="1" w:styleId="NormalLatin12pt">
    <w:name w:val="Normal + (Latin) 12 pt"/>
    <w:basedOn w:val="Normal"/>
    <w:pPr>
      <w:spacing w:after="0" w:line="240" w:lineRule="auto"/>
    </w:pPr>
    <w:rPr>
      <w:rFonts w:ascii="Times New Roman" w:eastAsia="Times New Roman" w:hAnsi="Times New Roman" w:cs="Times New Roman"/>
      <w:color w:val="0000FF"/>
      <w:sz w:val="20"/>
      <w:szCs w:val="20"/>
      <w:lang w:val="en-US" w:eastAsia="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eastAsia="fr-FR"/>
    </w:rPr>
  </w:style>
  <w:style w:type="paragraph" w:customStyle="1" w:styleId="Listecouleur-Accent11">
    <w:name w:val="Liste couleur - Accent 11"/>
    <w:basedOn w:val="Normal"/>
    <w:uiPriority w:val="99"/>
    <w:qFormat/>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gwt-inlinelabel">
    <w:name w:val="gwt-inlinelabel"/>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68257">
      <w:bodyDiv w:val="1"/>
      <w:marLeft w:val="0"/>
      <w:marRight w:val="0"/>
      <w:marTop w:val="0"/>
      <w:marBottom w:val="0"/>
      <w:divBdr>
        <w:top w:val="none" w:sz="0" w:space="0" w:color="auto"/>
        <w:left w:val="none" w:sz="0" w:space="0" w:color="auto"/>
        <w:bottom w:val="none" w:sz="0" w:space="0" w:color="auto"/>
        <w:right w:val="none" w:sz="0" w:space="0" w:color="auto"/>
      </w:divBdr>
    </w:div>
    <w:div w:id="298610201">
      <w:bodyDiv w:val="1"/>
      <w:marLeft w:val="0"/>
      <w:marRight w:val="0"/>
      <w:marTop w:val="0"/>
      <w:marBottom w:val="0"/>
      <w:divBdr>
        <w:top w:val="none" w:sz="0" w:space="0" w:color="auto"/>
        <w:left w:val="none" w:sz="0" w:space="0" w:color="auto"/>
        <w:bottom w:val="none" w:sz="0" w:space="0" w:color="auto"/>
        <w:right w:val="none" w:sz="0" w:space="0" w:color="auto"/>
      </w:divBdr>
    </w:div>
    <w:div w:id="547762983">
      <w:bodyDiv w:val="1"/>
      <w:marLeft w:val="0"/>
      <w:marRight w:val="0"/>
      <w:marTop w:val="0"/>
      <w:marBottom w:val="0"/>
      <w:divBdr>
        <w:top w:val="none" w:sz="0" w:space="0" w:color="auto"/>
        <w:left w:val="none" w:sz="0" w:space="0" w:color="auto"/>
        <w:bottom w:val="none" w:sz="0" w:space="0" w:color="auto"/>
        <w:right w:val="none" w:sz="0" w:space="0" w:color="auto"/>
      </w:divBdr>
      <w:divsChild>
        <w:div w:id="1938632705">
          <w:marLeft w:val="0"/>
          <w:marRight w:val="0"/>
          <w:marTop w:val="0"/>
          <w:marBottom w:val="0"/>
          <w:divBdr>
            <w:top w:val="none" w:sz="0" w:space="0" w:color="auto"/>
            <w:left w:val="none" w:sz="0" w:space="0" w:color="auto"/>
            <w:bottom w:val="none" w:sz="0" w:space="0" w:color="auto"/>
            <w:right w:val="none" w:sz="0" w:space="0" w:color="auto"/>
          </w:divBdr>
          <w:divsChild>
            <w:div w:id="1862936745">
              <w:marLeft w:val="0"/>
              <w:marRight w:val="0"/>
              <w:marTop w:val="0"/>
              <w:marBottom w:val="0"/>
              <w:divBdr>
                <w:top w:val="none" w:sz="0" w:space="0" w:color="auto"/>
                <w:left w:val="none" w:sz="0" w:space="0" w:color="auto"/>
                <w:bottom w:val="none" w:sz="0" w:space="0" w:color="auto"/>
                <w:right w:val="none" w:sz="0" w:space="0" w:color="auto"/>
              </w:divBdr>
              <w:divsChild>
                <w:div w:id="12841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78320">
      <w:bodyDiv w:val="1"/>
      <w:marLeft w:val="0"/>
      <w:marRight w:val="0"/>
      <w:marTop w:val="0"/>
      <w:marBottom w:val="0"/>
      <w:divBdr>
        <w:top w:val="none" w:sz="0" w:space="0" w:color="auto"/>
        <w:left w:val="none" w:sz="0" w:space="0" w:color="auto"/>
        <w:bottom w:val="none" w:sz="0" w:space="0" w:color="auto"/>
        <w:right w:val="none" w:sz="0" w:space="0" w:color="auto"/>
      </w:divBdr>
    </w:div>
    <w:div w:id="1221550438">
      <w:bodyDiv w:val="1"/>
      <w:marLeft w:val="0"/>
      <w:marRight w:val="0"/>
      <w:marTop w:val="0"/>
      <w:marBottom w:val="0"/>
      <w:divBdr>
        <w:top w:val="none" w:sz="0" w:space="0" w:color="auto"/>
        <w:left w:val="none" w:sz="0" w:space="0" w:color="auto"/>
        <w:bottom w:val="none" w:sz="0" w:space="0" w:color="auto"/>
        <w:right w:val="none" w:sz="0" w:space="0" w:color="auto"/>
      </w:divBdr>
    </w:div>
    <w:div w:id="147975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1825848" TargetMode="External"/><Relationship Id="rId13" Type="http://schemas.openxmlformats.org/officeDocument/2006/relationships/hyperlink" Target="https://www.R-projec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tif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ncbi.nlm.nih.gov/pubmed/21825848" TargetMode="Externa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134.157.220.13/urcest/sous_cadre.php?fich=Lexique/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B9966-BC8B-BD4C-9E8A-32E92442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7673</Words>
  <Characters>42205</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
    </vt:vector>
  </TitlesOfParts>
  <Company>CHR ORLEANS</Company>
  <LinksUpToDate>false</LinksUpToDate>
  <CharactersWithSpaces>49779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 CLERC</dc:creator>
  <cp:lastModifiedBy>Gilles METRARD</cp:lastModifiedBy>
  <cp:revision>6</cp:revision>
  <cp:lastPrinted>2018-02-02T08:24:00Z</cp:lastPrinted>
  <dcterms:created xsi:type="dcterms:W3CDTF">2018-02-22T14:47:00Z</dcterms:created>
  <dcterms:modified xsi:type="dcterms:W3CDTF">2019-07-07T20:56:00Z</dcterms:modified>
</cp:coreProperties>
</file>