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B0CF" w14:textId="77777777" w:rsidR="004B0A4A" w:rsidRPr="00F639E3" w:rsidRDefault="004B0A4A" w:rsidP="004B0A4A">
      <w:pPr>
        <w:spacing w:line="360" w:lineRule="auto"/>
        <w:jc w:val="center"/>
        <w:rPr>
          <w:b/>
          <w:i/>
          <w:color w:val="000000" w:themeColor="text1"/>
          <w:sz w:val="24"/>
          <w:szCs w:val="24"/>
        </w:rPr>
      </w:pPr>
      <w:r w:rsidRPr="00F639E3">
        <w:rPr>
          <w:b/>
          <w:i/>
          <w:color w:val="000000" w:themeColor="text1"/>
          <w:sz w:val="24"/>
          <w:szCs w:val="24"/>
        </w:rPr>
        <w:t>Supplementary Material</w:t>
      </w:r>
    </w:p>
    <w:p w14:paraId="24B08164" w14:textId="77777777" w:rsidR="004B0A4A" w:rsidRPr="00F639E3" w:rsidRDefault="004B0A4A" w:rsidP="001F714A">
      <w:pPr>
        <w:spacing w:line="360" w:lineRule="auto"/>
        <w:jc w:val="both"/>
        <w:rPr>
          <w:i/>
          <w:color w:val="000000" w:themeColor="text1"/>
          <w:sz w:val="24"/>
          <w:szCs w:val="24"/>
        </w:rPr>
      </w:pPr>
    </w:p>
    <w:p w14:paraId="288DF446" w14:textId="0935563E" w:rsidR="002A2414" w:rsidRPr="00F639E3" w:rsidRDefault="002A2414" w:rsidP="002A2414">
      <w:pPr>
        <w:spacing w:line="360" w:lineRule="auto"/>
        <w:jc w:val="both"/>
        <w:outlineLvl w:val="0"/>
        <w:rPr>
          <w:i/>
          <w:color w:val="000000" w:themeColor="text1"/>
          <w:sz w:val="24"/>
          <w:szCs w:val="24"/>
        </w:rPr>
      </w:pPr>
      <w:r w:rsidRPr="00F639E3">
        <w:rPr>
          <w:i/>
          <w:color w:val="000000" w:themeColor="text1"/>
          <w:sz w:val="24"/>
          <w:szCs w:val="24"/>
        </w:rPr>
        <w:t>Auditory pitch grammar learning – Test phase:</w:t>
      </w:r>
    </w:p>
    <w:p w14:paraId="759A8CC9" w14:textId="66935D88" w:rsidR="007D1A23" w:rsidRPr="00F639E3" w:rsidRDefault="00C77B30" w:rsidP="002A2414">
      <w:pPr>
        <w:spacing w:line="360" w:lineRule="auto"/>
        <w:jc w:val="both"/>
        <w:outlineLvl w:val="0"/>
        <w:rPr>
          <w:color w:val="000000" w:themeColor="text1"/>
          <w:sz w:val="24"/>
          <w:szCs w:val="24"/>
        </w:rPr>
      </w:pPr>
      <w:r w:rsidRPr="00F639E3">
        <w:rPr>
          <w:color w:val="000000" w:themeColor="text1"/>
          <w:sz w:val="24"/>
          <w:szCs w:val="24"/>
        </w:rPr>
        <w:t>The f</w:t>
      </w:r>
      <w:r w:rsidR="007D1A23" w:rsidRPr="00F639E3">
        <w:rPr>
          <w:color w:val="000000" w:themeColor="text1"/>
          <w:sz w:val="24"/>
          <w:szCs w:val="24"/>
        </w:rPr>
        <w:t xml:space="preserve">igures below </w:t>
      </w:r>
      <w:r w:rsidR="00D808FD" w:rsidRPr="00F639E3">
        <w:rPr>
          <w:color w:val="000000" w:themeColor="text1"/>
          <w:sz w:val="24"/>
          <w:szCs w:val="24"/>
        </w:rPr>
        <w:t>plot the individual data for the difference between</w:t>
      </w:r>
      <w:r w:rsidR="00196724" w:rsidRPr="00F639E3">
        <w:rPr>
          <w:color w:val="000000" w:themeColor="text1"/>
          <w:sz w:val="24"/>
          <w:szCs w:val="24"/>
        </w:rPr>
        <w:t xml:space="preserve"> ERP amplitudes for</w:t>
      </w:r>
      <w:r w:rsidR="00D808FD" w:rsidRPr="00F639E3">
        <w:rPr>
          <w:color w:val="000000" w:themeColor="text1"/>
          <w:sz w:val="24"/>
          <w:szCs w:val="24"/>
        </w:rPr>
        <w:t xml:space="preserve"> grammatical and ungrammatical targets for patients and controls for </w:t>
      </w:r>
      <w:r w:rsidR="00A51712" w:rsidRPr="00F639E3">
        <w:rPr>
          <w:color w:val="000000" w:themeColor="text1"/>
          <w:sz w:val="24"/>
          <w:szCs w:val="24"/>
        </w:rPr>
        <w:t xml:space="preserve">the </w:t>
      </w:r>
      <w:r w:rsidR="00221E09" w:rsidRPr="00F639E3">
        <w:rPr>
          <w:color w:val="000000" w:themeColor="text1"/>
          <w:sz w:val="24"/>
          <w:szCs w:val="24"/>
        </w:rPr>
        <w:t xml:space="preserve">midline electrodes </w:t>
      </w:r>
      <w:r w:rsidR="00D808FD" w:rsidRPr="00F639E3">
        <w:rPr>
          <w:color w:val="000000" w:themeColor="text1"/>
          <w:sz w:val="24"/>
          <w:szCs w:val="24"/>
        </w:rPr>
        <w:t xml:space="preserve">(top) and </w:t>
      </w:r>
      <w:r w:rsidR="00221E09" w:rsidRPr="00F639E3">
        <w:rPr>
          <w:color w:val="000000" w:themeColor="text1"/>
          <w:sz w:val="24"/>
          <w:szCs w:val="24"/>
        </w:rPr>
        <w:t xml:space="preserve">the ROI analyses </w:t>
      </w:r>
      <w:r w:rsidR="00D808FD" w:rsidRPr="00F639E3">
        <w:rPr>
          <w:color w:val="000000" w:themeColor="text1"/>
          <w:sz w:val="24"/>
          <w:szCs w:val="24"/>
        </w:rPr>
        <w:t>(</w:t>
      </w:r>
      <w:r w:rsidR="004F354D" w:rsidRPr="00F639E3">
        <w:rPr>
          <w:color w:val="000000" w:themeColor="text1"/>
          <w:sz w:val="24"/>
          <w:szCs w:val="24"/>
        </w:rPr>
        <w:t>middle</w:t>
      </w:r>
      <w:r w:rsidR="00D808FD" w:rsidRPr="00F639E3">
        <w:rPr>
          <w:color w:val="000000" w:themeColor="text1"/>
          <w:sz w:val="24"/>
          <w:szCs w:val="24"/>
        </w:rPr>
        <w:t>)</w:t>
      </w:r>
      <w:r w:rsidR="004F354D" w:rsidRPr="00F639E3">
        <w:rPr>
          <w:color w:val="000000" w:themeColor="text1"/>
          <w:sz w:val="24"/>
          <w:szCs w:val="24"/>
        </w:rPr>
        <w:t xml:space="preserve"> as well as </w:t>
      </w:r>
      <w:r w:rsidR="00EB7B7D" w:rsidRPr="00F639E3">
        <w:rPr>
          <w:color w:val="000000" w:themeColor="text1"/>
          <w:sz w:val="24"/>
          <w:szCs w:val="24"/>
        </w:rPr>
        <w:t>the individual behavioral data with the accuracy for patients and controls</w:t>
      </w:r>
      <w:r w:rsidR="004F354D" w:rsidRPr="00F639E3">
        <w:rPr>
          <w:color w:val="000000" w:themeColor="text1"/>
          <w:sz w:val="24"/>
          <w:szCs w:val="24"/>
        </w:rPr>
        <w:t xml:space="preserve"> (bottom)</w:t>
      </w:r>
      <w:r w:rsidR="00D808FD" w:rsidRPr="00F639E3">
        <w:rPr>
          <w:color w:val="000000" w:themeColor="text1"/>
          <w:sz w:val="24"/>
          <w:szCs w:val="24"/>
        </w:rPr>
        <w:t xml:space="preserve">. </w:t>
      </w:r>
      <w:r w:rsidR="00A51712" w:rsidRPr="00F639E3">
        <w:rPr>
          <w:color w:val="000000" w:themeColor="text1"/>
          <w:sz w:val="24"/>
          <w:szCs w:val="24"/>
        </w:rPr>
        <w:t xml:space="preserve"> </w:t>
      </w:r>
    </w:p>
    <w:p w14:paraId="42D1810E" w14:textId="75DB2105" w:rsidR="00C77B30" w:rsidRPr="00F639E3" w:rsidRDefault="00576529" w:rsidP="002A2414">
      <w:pPr>
        <w:spacing w:line="360" w:lineRule="auto"/>
        <w:jc w:val="both"/>
        <w:outlineLvl w:val="0"/>
        <w:rPr>
          <w:color w:val="000000" w:themeColor="text1"/>
          <w:sz w:val="24"/>
          <w:szCs w:val="24"/>
        </w:rPr>
      </w:pPr>
      <w:r w:rsidRPr="00F639E3">
        <w:rPr>
          <w:noProof/>
          <w:color w:val="000000" w:themeColor="text1"/>
        </w:rPr>
        <w:drawing>
          <wp:inline distT="0" distB="0" distL="0" distR="0" wp14:anchorId="728EAD48" wp14:editId="536EA9B5">
            <wp:extent cx="552196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2C0E3DB" w14:textId="0C32BB4A" w:rsidR="00576529" w:rsidRPr="00F639E3" w:rsidRDefault="00576529" w:rsidP="002A2414">
      <w:pPr>
        <w:spacing w:line="360" w:lineRule="auto"/>
        <w:jc w:val="both"/>
        <w:outlineLvl w:val="0"/>
        <w:rPr>
          <w:color w:val="000000" w:themeColor="text1"/>
          <w:sz w:val="24"/>
          <w:szCs w:val="24"/>
        </w:rPr>
      </w:pPr>
      <w:r w:rsidRPr="00F639E3">
        <w:rPr>
          <w:noProof/>
          <w:color w:val="000000" w:themeColor="text1"/>
        </w:rPr>
        <w:drawing>
          <wp:inline distT="0" distB="0" distL="0" distR="0" wp14:anchorId="1147AC06" wp14:editId="45AC6192">
            <wp:extent cx="5613400" cy="306832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1256BED" w14:textId="77777777" w:rsidR="00C77B30" w:rsidRPr="00F639E3" w:rsidRDefault="00C77B30" w:rsidP="002A2414">
      <w:pPr>
        <w:spacing w:line="360" w:lineRule="auto"/>
        <w:jc w:val="both"/>
        <w:outlineLvl w:val="0"/>
        <w:rPr>
          <w:color w:val="000000" w:themeColor="text1"/>
          <w:sz w:val="24"/>
          <w:szCs w:val="24"/>
        </w:rPr>
      </w:pPr>
    </w:p>
    <w:p w14:paraId="787DD334" w14:textId="69644BE3" w:rsidR="00F94C89" w:rsidRPr="00F639E3" w:rsidRDefault="00EB7B7D" w:rsidP="002A2414">
      <w:pPr>
        <w:spacing w:line="360" w:lineRule="auto"/>
        <w:jc w:val="both"/>
        <w:outlineLvl w:val="0"/>
        <w:rPr>
          <w:color w:val="000000" w:themeColor="text1"/>
          <w:sz w:val="24"/>
          <w:szCs w:val="24"/>
        </w:rPr>
      </w:pPr>
      <w:r w:rsidRPr="00F639E3">
        <w:rPr>
          <w:noProof/>
          <w:color w:val="000000" w:themeColor="text1"/>
          <w:sz w:val="24"/>
          <w:szCs w:val="24"/>
        </w:rPr>
        <w:lastRenderedPageBreak/>
        <w:drawing>
          <wp:inline distT="0" distB="0" distL="0" distR="0" wp14:anchorId="47C03308" wp14:editId="50441968">
            <wp:extent cx="4584192" cy="27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havior_individual_data.png"/>
                    <pic:cNvPicPr/>
                  </pic:nvPicPr>
                  <pic:blipFill>
                    <a:blip r:embed="rId6">
                      <a:extLst>
                        <a:ext uri="{28A0092B-C50C-407E-A947-70E740481C1C}">
                          <a14:useLocalDpi xmlns:a14="http://schemas.microsoft.com/office/drawing/2010/main" val="0"/>
                        </a:ext>
                      </a:extLst>
                    </a:blip>
                    <a:stretch>
                      <a:fillRect/>
                    </a:stretch>
                  </pic:blipFill>
                  <pic:spPr>
                    <a:xfrm>
                      <a:off x="0" y="0"/>
                      <a:ext cx="4584192" cy="2755392"/>
                    </a:xfrm>
                    <a:prstGeom prst="rect">
                      <a:avLst/>
                    </a:prstGeom>
                  </pic:spPr>
                </pic:pic>
              </a:graphicData>
            </a:graphic>
          </wp:inline>
        </w:drawing>
      </w:r>
    </w:p>
    <w:p w14:paraId="04DE898C" w14:textId="7BA05E6E" w:rsidR="00196724" w:rsidRPr="00F639E3" w:rsidRDefault="00196724">
      <w:pPr>
        <w:rPr>
          <w:color w:val="000000" w:themeColor="text1"/>
        </w:rPr>
      </w:pPr>
    </w:p>
    <w:p w14:paraId="6B1C55A2" w14:textId="77777777" w:rsidR="0093617B" w:rsidRPr="00F639E3" w:rsidRDefault="0093617B">
      <w:pPr>
        <w:rPr>
          <w:color w:val="000000" w:themeColor="text1"/>
        </w:rPr>
      </w:pPr>
    </w:p>
    <w:p w14:paraId="390E0F7A" w14:textId="592AE336" w:rsidR="002D08B4" w:rsidRPr="00F639E3" w:rsidRDefault="002D08B4">
      <w:pPr>
        <w:widowControl/>
        <w:suppressAutoHyphens w:val="0"/>
        <w:autoSpaceDE/>
        <w:rPr>
          <w:color w:val="000000" w:themeColor="text1"/>
        </w:rPr>
      </w:pPr>
      <w:r w:rsidRPr="00F639E3">
        <w:rPr>
          <w:color w:val="000000" w:themeColor="text1"/>
        </w:rPr>
        <w:br w:type="page"/>
      </w:r>
    </w:p>
    <w:p w14:paraId="7982BA55" w14:textId="77777777" w:rsidR="0093617B" w:rsidRPr="00F639E3" w:rsidRDefault="0093617B">
      <w:pPr>
        <w:rPr>
          <w:color w:val="000000" w:themeColor="text1"/>
        </w:rPr>
      </w:pPr>
    </w:p>
    <w:p w14:paraId="28D7A520" w14:textId="29352425" w:rsidR="00B05169" w:rsidRPr="00F639E3" w:rsidRDefault="00B05169" w:rsidP="00B05169">
      <w:pPr>
        <w:rPr>
          <w:color w:val="000000" w:themeColor="text1"/>
        </w:rPr>
      </w:pPr>
      <w:r w:rsidRPr="00F639E3">
        <w:rPr>
          <w:color w:val="000000" w:themeColor="text1"/>
        </w:rPr>
        <w:t xml:space="preserve">Table </w:t>
      </w:r>
      <w:r w:rsidR="00D82425">
        <w:rPr>
          <w:color w:val="000000" w:themeColor="text1"/>
        </w:rPr>
        <w:t>A</w:t>
      </w:r>
      <w:r w:rsidRPr="00F639E3">
        <w:rPr>
          <w:color w:val="000000" w:themeColor="text1"/>
        </w:rPr>
        <w:t xml:space="preserve">. Test Phase: Numerical difference (in </w:t>
      </w:r>
      <w:r w:rsidRPr="00F639E3">
        <w:rPr>
          <w:rFonts w:ascii="Cambria" w:hAnsi="Cambria"/>
          <w:color w:val="000000" w:themeColor="text1"/>
        </w:rPr>
        <w:t>μ</w:t>
      </w:r>
      <w:r w:rsidRPr="00F639E3">
        <w:rPr>
          <w:color w:val="000000" w:themeColor="text1"/>
        </w:rPr>
        <w:t>V) between ERP amplitudes for ungrammatical and grammatical target tones in 100-200ms time window in the regions of interest and midline electrodes for the control and patient groups. Negative values indicate that the response was more negative for ungrammatical targets in comparison to grammatical targets.</w:t>
      </w:r>
    </w:p>
    <w:tbl>
      <w:tblPr>
        <w:tblStyle w:val="TableGrid"/>
        <w:tblpPr w:leftFromText="141" w:rightFromText="141" w:vertAnchor="page" w:horzAnchor="page" w:tblpX="1810" w:tblpY="3065"/>
        <w:tblW w:w="0" w:type="auto"/>
        <w:tblLook w:val="04A0" w:firstRow="1" w:lastRow="0" w:firstColumn="1" w:lastColumn="0" w:noHBand="0" w:noVBand="1"/>
      </w:tblPr>
      <w:tblGrid>
        <w:gridCol w:w="3133"/>
        <w:gridCol w:w="1847"/>
        <w:gridCol w:w="1749"/>
      </w:tblGrid>
      <w:tr w:rsidR="00F639E3" w:rsidRPr="00F639E3" w14:paraId="18FCEA77" w14:textId="77777777" w:rsidTr="00196724">
        <w:tc>
          <w:tcPr>
            <w:tcW w:w="3133" w:type="dxa"/>
            <w:tcBorders>
              <w:left w:val="nil"/>
              <w:bottom w:val="single" w:sz="4" w:space="0" w:color="auto"/>
              <w:right w:val="nil"/>
            </w:tcBorders>
          </w:tcPr>
          <w:p w14:paraId="73E69051" w14:textId="77777777" w:rsidR="00B05169" w:rsidRPr="00F639E3" w:rsidRDefault="00B05169" w:rsidP="00196724">
            <w:pPr>
              <w:jc w:val="center"/>
              <w:rPr>
                <w:color w:val="000000" w:themeColor="text1"/>
              </w:rPr>
            </w:pPr>
            <w:r w:rsidRPr="00F639E3">
              <w:rPr>
                <w:color w:val="000000" w:themeColor="text1"/>
              </w:rPr>
              <w:t>Region of interest or midline electrode</w:t>
            </w:r>
          </w:p>
        </w:tc>
        <w:tc>
          <w:tcPr>
            <w:tcW w:w="1847" w:type="dxa"/>
            <w:tcBorders>
              <w:left w:val="nil"/>
              <w:bottom w:val="single" w:sz="4" w:space="0" w:color="auto"/>
              <w:right w:val="nil"/>
            </w:tcBorders>
          </w:tcPr>
          <w:p w14:paraId="6F3B6F81" w14:textId="77777777" w:rsidR="00B05169" w:rsidRPr="00F639E3" w:rsidRDefault="00B05169" w:rsidP="00196724">
            <w:pPr>
              <w:jc w:val="center"/>
              <w:rPr>
                <w:color w:val="000000" w:themeColor="text1"/>
              </w:rPr>
            </w:pPr>
            <w:r w:rsidRPr="00F639E3">
              <w:rPr>
                <w:color w:val="000000" w:themeColor="text1"/>
              </w:rPr>
              <w:t>Controls</w:t>
            </w:r>
          </w:p>
        </w:tc>
        <w:tc>
          <w:tcPr>
            <w:tcW w:w="1749" w:type="dxa"/>
            <w:tcBorders>
              <w:left w:val="nil"/>
              <w:bottom w:val="single" w:sz="4" w:space="0" w:color="auto"/>
              <w:right w:val="nil"/>
            </w:tcBorders>
          </w:tcPr>
          <w:p w14:paraId="5631A046" w14:textId="77777777" w:rsidR="00B05169" w:rsidRPr="00F639E3" w:rsidRDefault="00B05169" w:rsidP="00196724">
            <w:pPr>
              <w:jc w:val="center"/>
              <w:rPr>
                <w:color w:val="000000" w:themeColor="text1"/>
              </w:rPr>
            </w:pPr>
            <w:r w:rsidRPr="00F639E3">
              <w:rPr>
                <w:color w:val="000000" w:themeColor="text1"/>
              </w:rPr>
              <w:t>Patients</w:t>
            </w:r>
          </w:p>
          <w:p w14:paraId="48DE735F" w14:textId="77777777" w:rsidR="00B05169" w:rsidRPr="00F639E3" w:rsidRDefault="00B05169" w:rsidP="00196724">
            <w:pPr>
              <w:jc w:val="center"/>
              <w:rPr>
                <w:color w:val="000000" w:themeColor="text1"/>
              </w:rPr>
            </w:pPr>
          </w:p>
        </w:tc>
      </w:tr>
      <w:tr w:rsidR="00F639E3" w:rsidRPr="00F639E3" w14:paraId="140774D4" w14:textId="77777777" w:rsidTr="00196724">
        <w:tc>
          <w:tcPr>
            <w:tcW w:w="3133" w:type="dxa"/>
            <w:tcBorders>
              <w:top w:val="single" w:sz="4" w:space="0" w:color="auto"/>
              <w:left w:val="nil"/>
              <w:bottom w:val="nil"/>
              <w:right w:val="nil"/>
            </w:tcBorders>
          </w:tcPr>
          <w:p w14:paraId="39BBA0BC" w14:textId="77777777" w:rsidR="00B05169" w:rsidRPr="00F639E3" w:rsidRDefault="00B05169" w:rsidP="00196724">
            <w:pPr>
              <w:jc w:val="center"/>
              <w:rPr>
                <w:color w:val="000000" w:themeColor="text1"/>
              </w:rPr>
            </w:pPr>
            <w:r w:rsidRPr="00F639E3">
              <w:rPr>
                <w:color w:val="000000" w:themeColor="text1"/>
              </w:rPr>
              <w:t>Left anterior</w:t>
            </w:r>
          </w:p>
        </w:tc>
        <w:tc>
          <w:tcPr>
            <w:tcW w:w="1847" w:type="dxa"/>
            <w:tcBorders>
              <w:top w:val="single" w:sz="4" w:space="0" w:color="auto"/>
              <w:left w:val="nil"/>
              <w:bottom w:val="nil"/>
              <w:right w:val="nil"/>
            </w:tcBorders>
          </w:tcPr>
          <w:p w14:paraId="6E122D67" w14:textId="77777777" w:rsidR="00B05169" w:rsidRPr="00F639E3" w:rsidRDefault="00B05169" w:rsidP="00196724">
            <w:pPr>
              <w:jc w:val="center"/>
              <w:rPr>
                <w:color w:val="000000" w:themeColor="text1"/>
              </w:rPr>
            </w:pPr>
            <w:r w:rsidRPr="00F639E3">
              <w:rPr>
                <w:color w:val="000000" w:themeColor="text1"/>
              </w:rPr>
              <w:t>0.09</w:t>
            </w:r>
          </w:p>
        </w:tc>
        <w:tc>
          <w:tcPr>
            <w:tcW w:w="1749" w:type="dxa"/>
            <w:tcBorders>
              <w:top w:val="single" w:sz="4" w:space="0" w:color="auto"/>
              <w:left w:val="nil"/>
              <w:bottom w:val="nil"/>
              <w:right w:val="nil"/>
            </w:tcBorders>
          </w:tcPr>
          <w:p w14:paraId="4A64B1D7" w14:textId="77777777" w:rsidR="00B05169" w:rsidRPr="00F639E3" w:rsidRDefault="00B05169" w:rsidP="00196724">
            <w:pPr>
              <w:jc w:val="center"/>
              <w:rPr>
                <w:color w:val="000000" w:themeColor="text1"/>
              </w:rPr>
            </w:pPr>
            <w:r w:rsidRPr="00F639E3">
              <w:rPr>
                <w:color w:val="000000" w:themeColor="text1"/>
              </w:rPr>
              <w:t>-0.59</w:t>
            </w:r>
          </w:p>
        </w:tc>
      </w:tr>
      <w:tr w:rsidR="00F639E3" w:rsidRPr="00F639E3" w14:paraId="0844B7E4" w14:textId="77777777" w:rsidTr="00196724">
        <w:tc>
          <w:tcPr>
            <w:tcW w:w="3133" w:type="dxa"/>
            <w:tcBorders>
              <w:top w:val="nil"/>
              <w:left w:val="nil"/>
              <w:bottom w:val="nil"/>
              <w:right w:val="nil"/>
            </w:tcBorders>
          </w:tcPr>
          <w:p w14:paraId="7D1995D2" w14:textId="77777777" w:rsidR="00B05169" w:rsidRPr="00F639E3" w:rsidRDefault="00B05169" w:rsidP="00196724">
            <w:pPr>
              <w:jc w:val="center"/>
              <w:rPr>
                <w:color w:val="000000" w:themeColor="text1"/>
              </w:rPr>
            </w:pPr>
            <w:r w:rsidRPr="00F639E3">
              <w:rPr>
                <w:color w:val="000000" w:themeColor="text1"/>
              </w:rPr>
              <w:t>Right anterior</w:t>
            </w:r>
          </w:p>
        </w:tc>
        <w:tc>
          <w:tcPr>
            <w:tcW w:w="1847" w:type="dxa"/>
            <w:tcBorders>
              <w:top w:val="nil"/>
              <w:left w:val="nil"/>
              <w:bottom w:val="nil"/>
              <w:right w:val="nil"/>
            </w:tcBorders>
          </w:tcPr>
          <w:p w14:paraId="59958AF4" w14:textId="77777777" w:rsidR="00B05169" w:rsidRPr="00F639E3" w:rsidRDefault="00B05169" w:rsidP="00196724">
            <w:pPr>
              <w:jc w:val="center"/>
              <w:rPr>
                <w:color w:val="000000" w:themeColor="text1"/>
              </w:rPr>
            </w:pPr>
            <w:r w:rsidRPr="00F639E3">
              <w:rPr>
                <w:color w:val="000000" w:themeColor="text1"/>
              </w:rPr>
              <w:t>-0.23</w:t>
            </w:r>
          </w:p>
        </w:tc>
        <w:tc>
          <w:tcPr>
            <w:tcW w:w="1749" w:type="dxa"/>
            <w:tcBorders>
              <w:top w:val="nil"/>
              <w:left w:val="nil"/>
              <w:bottom w:val="nil"/>
              <w:right w:val="nil"/>
            </w:tcBorders>
          </w:tcPr>
          <w:p w14:paraId="5900A19C" w14:textId="77777777" w:rsidR="00B05169" w:rsidRPr="00F639E3" w:rsidRDefault="00B05169" w:rsidP="00196724">
            <w:pPr>
              <w:jc w:val="center"/>
              <w:rPr>
                <w:color w:val="000000" w:themeColor="text1"/>
              </w:rPr>
            </w:pPr>
            <w:r w:rsidRPr="00F639E3">
              <w:rPr>
                <w:color w:val="000000" w:themeColor="text1"/>
              </w:rPr>
              <w:t>-0.38</w:t>
            </w:r>
          </w:p>
        </w:tc>
      </w:tr>
      <w:tr w:rsidR="00F639E3" w:rsidRPr="00F639E3" w14:paraId="21480A7F" w14:textId="77777777" w:rsidTr="00196724">
        <w:tc>
          <w:tcPr>
            <w:tcW w:w="3133" w:type="dxa"/>
            <w:tcBorders>
              <w:top w:val="nil"/>
              <w:left w:val="nil"/>
              <w:bottom w:val="nil"/>
              <w:right w:val="nil"/>
            </w:tcBorders>
          </w:tcPr>
          <w:p w14:paraId="4F4F4D9D" w14:textId="77777777" w:rsidR="00B05169" w:rsidRPr="00F639E3" w:rsidRDefault="00B05169" w:rsidP="00196724">
            <w:pPr>
              <w:jc w:val="center"/>
              <w:rPr>
                <w:color w:val="000000" w:themeColor="text1"/>
              </w:rPr>
            </w:pPr>
            <w:r w:rsidRPr="00F639E3">
              <w:rPr>
                <w:color w:val="000000" w:themeColor="text1"/>
              </w:rPr>
              <w:t>Left posterior</w:t>
            </w:r>
          </w:p>
        </w:tc>
        <w:tc>
          <w:tcPr>
            <w:tcW w:w="1847" w:type="dxa"/>
            <w:tcBorders>
              <w:top w:val="nil"/>
              <w:left w:val="nil"/>
              <w:bottom w:val="nil"/>
              <w:right w:val="nil"/>
            </w:tcBorders>
          </w:tcPr>
          <w:p w14:paraId="30616B2F" w14:textId="77777777" w:rsidR="00B05169" w:rsidRPr="00F639E3" w:rsidRDefault="00B05169" w:rsidP="00196724">
            <w:pPr>
              <w:jc w:val="center"/>
              <w:rPr>
                <w:color w:val="000000" w:themeColor="text1"/>
              </w:rPr>
            </w:pPr>
            <w:r w:rsidRPr="00F639E3">
              <w:rPr>
                <w:color w:val="000000" w:themeColor="text1"/>
              </w:rPr>
              <w:t>-0.18</w:t>
            </w:r>
          </w:p>
        </w:tc>
        <w:tc>
          <w:tcPr>
            <w:tcW w:w="1749" w:type="dxa"/>
            <w:tcBorders>
              <w:top w:val="nil"/>
              <w:left w:val="nil"/>
              <w:bottom w:val="nil"/>
              <w:right w:val="nil"/>
            </w:tcBorders>
          </w:tcPr>
          <w:p w14:paraId="2459BA2D" w14:textId="77777777" w:rsidR="00B05169" w:rsidRPr="00F639E3" w:rsidRDefault="00B05169" w:rsidP="00196724">
            <w:pPr>
              <w:jc w:val="center"/>
              <w:rPr>
                <w:color w:val="000000" w:themeColor="text1"/>
              </w:rPr>
            </w:pPr>
            <w:r w:rsidRPr="00F639E3">
              <w:rPr>
                <w:color w:val="000000" w:themeColor="text1"/>
              </w:rPr>
              <w:t>-0.60</w:t>
            </w:r>
          </w:p>
        </w:tc>
      </w:tr>
      <w:tr w:rsidR="00F639E3" w:rsidRPr="00F639E3" w14:paraId="3F7432E0" w14:textId="77777777" w:rsidTr="00196724">
        <w:tc>
          <w:tcPr>
            <w:tcW w:w="3133" w:type="dxa"/>
            <w:tcBorders>
              <w:top w:val="nil"/>
              <w:left w:val="nil"/>
              <w:bottom w:val="nil"/>
              <w:right w:val="nil"/>
            </w:tcBorders>
          </w:tcPr>
          <w:p w14:paraId="63C75BD0" w14:textId="77777777" w:rsidR="00B05169" w:rsidRPr="00F639E3" w:rsidRDefault="00B05169" w:rsidP="00196724">
            <w:pPr>
              <w:jc w:val="center"/>
              <w:rPr>
                <w:color w:val="000000" w:themeColor="text1"/>
              </w:rPr>
            </w:pPr>
            <w:r w:rsidRPr="00F639E3">
              <w:rPr>
                <w:color w:val="000000" w:themeColor="text1"/>
              </w:rPr>
              <w:t>Right posterior</w:t>
            </w:r>
          </w:p>
        </w:tc>
        <w:tc>
          <w:tcPr>
            <w:tcW w:w="1847" w:type="dxa"/>
            <w:tcBorders>
              <w:top w:val="nil"/>
              <w:left w:val="nil"/>
              <w:bottom w:val="nil"/>
              <w:right w:val="nil"/>
            </w:tcBorders>
          </w:tcPr>
          <w:p w14:paraId="721A24CF" w14:textId="77777777" w:rsidR="00B05169" w:rsidRPr="00F639E3" w:rsidRDefault="00B05169" w:rsidP="00196724">
            <w:pPr>
              <w:jc w:val="center"/>
              <w:rPr>
                <w:color w:val="000000" w:themeColor="text1"/>
              </w:rPr>
            </w:pPr>
            <w:r w:rsidRPr="00F639E3">
              <w:rPr>
                <w:color w:val="000000" w:themeColor="text1"/>
              </w:rPr>
              <w:t>-0.48</w:t>
            </w:r>
          </w:p>
        </w:tc>
        <w:tc>
          <w:tcPr>
            <w:tcW w:w="1749" w:type="dxa"/>
            <w:tcBorders>
              <w:top w:val="nil"/>
              <w:left w:val="nil"/>
              <w:bottom w:val="nil"/>
              <w:right w:val="nil"/>
            </w:tcBorders>
          </w:tcPr>
          <w:p w14:paraId="700308C4" w14:textId="77777777" w:rsidR="00B05169" w:rsidRPr="00F639E3" w:rsidRDefault="00B05169" w:rsidP="00196724">
            <w:pPr>
              <w:jc w:val="center"/>
              <w:rPr>
                <w:color w:val="000000" w:themeColor="text1"/>
              </w:rPr>
            </w:pPr>
            <w:r w:rsidRPr="00F639E3">
              <w:rPr>
                <w:color w:val="000000" w:themeColor="text1"/>
              </w:rPr>
              <w:t>-0.39</w:t>
            </w:r>
          </w:p>
        </w:tc>
      </w:tr>
      <w:tr w:rsidR="00F639E3" w:rsidRPr="00F639E3" w14:paraId="03233FB5" w14:textId="77777777" w:rsidTr="00196724">
        <w:tc>
          <w:tcPr>
            <w:tcW w:w="3133" w:type="dxa"/>
            <w:tcBorders>
              <w:top w:val="nil"/>
              <w:left w:val="nil"/>
              <w:bottom w:val="nil"/>
              <w:right w:val="nil"/>
            </w:tcBorders>
          </w:tcPr>
          <w:p w14:paraId="67D095F6" w14:textId="77777777" w:rsidR="00B05169" w:rsidRPr="00F639E3" w:rsidRDefault="00B05169" w:rsidP="00196724">
            <w:pPr>
              <w:jc w:val="center"/>
              <w:rPr>
                <w:color w:val="000000" w:themeColor="text1"/>
              </w:rPr>
            </w:pPr>
            <w:r w:rsidRPr="00F639E3">
              <w:rPr>
                <w:color w:val="000000" w:themeColor="text1"/>
              </w:rPr>
              <w:t>Fz</w:t>
            </w:r>
          </w:p>
        </w:tc>
        <w:tc>
          <w:tcPr>
            <w:tcW w:w="1847" w:type="dxa"/>
            <w:tcBorders>
              <w:top w:val="nil"/>
              <w:left w:val="nil"/>
              <w:bottom w:val="nil"/>
              <w:right w:val="nil"/>
            </w:tcBorders>
          </w:tcPr>
          <w:p w14:paraId="4815EF5C" w14:textId="77777777" w:rsidR="00B05169" w:rsidRPr="00F639E3" w:rsidRDefault="00B05169" w:rsidP="00196724">
            <w:pPr>
              <w:jc w:val="center"/>
              <w:rPr>
                <w:color w:val="000000" w:themeColor="text1"/>
              </w:rPr>
            </w:pPr>
            <w:r w:rsidRPr="00F639E3">
              <w:rPr>
                <w:color w:val="000000" w:themeColor="text1"/>
              </w:rPr>
              <w:t>-0.35</w:t>
            </w:r>
          </w:p>
        </w:tc>
        <w:tc>
          <w:tcPr>
            <w:tcW w:w="1749" w:type="dxa"/>
            <w:tcBorders>
              <w:top w:val="nil"/>
              <w:left w:val="nil"/>
              <w:bottom w:val="nil"/>
              <w:right w:val="nil"/>
            </w:tcBorders>
          </w:tcPr>
          <w:p w14:paraId="0C8C72F8" w14:textId="77777777" w:rsidR="00B05169" w:rsidRPr="00F639E3" w:rsidRDefault="00B05169" w:rsidP="00196724">
            <w:pPr>
              <w:jc w:val="center"/>
              <w:rPr>
                <w:color w:val="000000" w:themeColor="text1"/>
              </w:rPr>
            </w:pPr>
            <w:r w:rsidRPr="00F639E3">
              <w:rPr>
                <w:color w:val="000000" w:themeColor="text1"/>
              </w:rPr>
              <w:t>-0.71</w:t>
            </w:r>
          </w:p>
        </w:tc>
      </w:tr>
      <w:tr w:rsidR="00F639E3" w:rsidRPr="00F639E3" w14:paraId="18AA7D52" w14:textId="77777777" w:rsidTr="00196724">
        <w:tc>
          <w:tcPr>
            <w:tcW w:w="3133" w:type="dxa"/>
            <w:tcBorders>
              <w:top w:val="nil"/>
              <w:left w:val="nil"/>
              <w:bottom w:val="nil"/>
              <w:right w:val="nil"/>
            </w:tcBorders>
          </w:tcPr>
          <w:p w14:paraId="7A4FAB49" w14:textId="77777777" w:rsidR="00B05169" w:rsidRPr="00F639E3" w:rsidRDefault="00B05169" w:rsidP="00196724">
            <w:pPr>
              <w:jc w:val="center"/>
              <w:rPr>
                <w:color w:val="000000" w:themeColor="text1"/>
              </w:rPr>
            </w:pPr>
            <w:r w:rsidRPr="00F639E3">
              <w:rPr>
                <w:color w:val="000000" w:themeColor="text1"/>
              </w:rPr>
              <w:t>Cz</w:t>
            </w:r>
          </w:p>
        </w:tc>
        <w:tc>
          <w:tcPr>
            <w:tcW w:w="1847" w:type="dxa"/>
            <w:tcBorders>
              <w:top w:val="nil"/>
              <w:left w:val="nil"/>
              <w:bottom w:val="nil"/>
              <w:right w:val="nil"/>
            </w:tcBorders>
          </w:tcPr>
          <w:p w14:paraId="5D6B19FD" w14:textId="77777777" w:rsidR="00B05169" w:rsidRPr="00F639E3" w:rsidRDefault="00B05169" w:rsidP="00196724">
            <w:pPr>
              <w:jc w:val="center"/>
              <w:rPr>
                <w:color w:val="000000" w:themeColor="text1"/>
              </w:rPr>
            </w:pPr>
            <w:r w:rsidRPr="00F639E3">
              <w:rPr>
                <w:color w:val="000000" w:themeColor="text1"/>
              </w:rPr>
              <w:t>-0.56</w:t>
            </w:r>
          </w:p>
        </w:tc>
        <w:tc>
          <w:tcPr>
            <w:tcW w:w="1749" w:type="dxa"/>
            <w:tcBorders>
              <w:top w:val="nil"/>
              <w:left w:val="nil"/>
              <w:bottom w:val="nil"/>
              <w:right w:val="nil"/>
            </w:tcBorders>
          </w:tcPr>
          <w:p w14:paraId="70D0E33D" w14:textId="77777777" w:rsidR="00B05169" w:rsidRPr="00F639E3" w:rsidRDefault="00B05169" w:rsidP="00196724">
            <w:pPr>
              <w:jc w:val="center"/>
              <w:rPr>
                <w:color w:val="000000" w:themeColor="text1"/>
              </w:rPr>
            </w:pPr>
            <w:r w:rsidRPr="00F639E3">
              <w:rPr>
                <w:color w:val="000000" w:themeColor="text1"/>
              </w:rPr>
              <w:t>-1.00</w:t>
            </w:r>
          </w:p>
        </w:tc>
      </w:tr>
      <w:tr w:rsidR="00F639E3" w:rsidRPr="00F639E3" w14:paraId="5EE6D60F" w14:textId="77777777" w:rsidTr="00196724">
        <w:tc>
          <w:tcPr>
            <w:tcW w:w="3133" w:type="dxa"/>
            <w:tcBorders>
              <w:top w:val="nil"/>
              <w:left w:val="nil"/>
              <w:bottom w:val="single" w:sz="4" w:space="0" w:color="auto"/>
              <w:right w:val="nil"/>
            </w:tcBorders>
          </w:tcPr>
          <w:p w14:paraId="5F966477" w14:textId="77777777" w:rsidR="00B05169" w:rsidRPr="00F639E3" w:rsidRDefault="00B05169" w:rsidP="00196724">
            <w:pPr>
              <w:jc w:val="center"/>
              <w:rPr>
                <w:color w:val="000000" w:themeColor="text1"/>
              </w:rPr>
            </w:pPr>
            <w:r w:rsidRPr="00F639E3">
              <w:rPr>
                <w:color w:val="000000" w:themeColor="text1"/>
              </w:rPr>
              <w:t>Pz</w:t>
            </w:r>
          </w:p>
        </w:tc>
        <w:tc>
          <w:tcPr>
            <w:tcW w:w="1847" w:type="dxa"/>
            <w:tcBorders>
              <w:top w:val="nil"/>
              <w:left w:val="nil"/>
              <w:bottom w:val="single" w:sz="4" w:space="0" w:color="auto"/>
              <w:right w:val="nil"/>
            </w:tcBorders>
          </w:tcPr>
          <w:p w14:paraId="2799137B" w14:textId="77777777" w:rsidR="00B05169" w:rsidRPr="00F639E3" w:rsidRDefault="00B05169" w:rsidP="00196724">
            <w:pPr>
              <w:jc w:val="center"/>
              <w:rPr>
                <w:color w:val="000000" w:themeColor="text1"/>
              </w:rPr>
            </w:pPr>
            <w:r w:rsidRPr="00F639E3">
              <w:rPr>
                <w:color w:val="000000" w:themeColor="text1"/>
              </w:rPr>
              <w:t>-0.58</w:t>
            </w:r>
          </w:p>
        </w:tc>
        <w:tc>
          <w:tcPr>
            <w:tcW w:w="1749" w:type="dxa"/>
            <w:tcBorders>
              <w:top w:val="nil"/>
              <w:left w:val="nil"/>
              <w:bottom w:val="single" w:sz="4" w:space="0" w:color="auto"/>
              <w:right w:val="nil"/>
            </w:tcBorders>
          </w:tcPr>
          <w:p w14:paraId="368D1EE4" w14:textId="77777777" w:rsidR="00B05169" w:rsidRPr="00F639E3" w:rsidRDefault="00B05169" w:rsidP="00196724">
            <w:pPr>
              <w:jc w:val="center"/>
              <w:rPr>
                <w:color w:val="000000" w:themeColor="text1"/>
              </w:rPr>
            </w:pPr>
            <w:r w:rsidRPr="00F639E3">
              <w:rPr>
                <w:color w:val="000000" w:themeColor="text1"/>
              </w:rPr>
              <w:t>-0.93</w:t>
            </w:r>
          </w:p>
        </w:tc>
      </w:tr>
    </w:tbl>
    <w:p w14:paraId="58AEF75B" w14:textId="77777777" w:rsidR="00B05169" w:rsidRPr="00F639E3" w:rsidRDefault="00B05169" w:rsidP="00B05169">
      <w:pPr>
        <w:rPr>
          <w:color w:val="000000" w:themeColor="text1"/>
        </w:rPr>
      </w:pPr>
    </w:p>
    <w:p w14:paraId="4B544C34" w14:textId="77777777" w:rsidR="00B05169" w:rsidRPr="00F639E3" w:rsidRDefault="00B05169" w:rsidP="00B05169">
      <w:pPr>
        <w:rPr>
          <w:color w:val="000000" w:themeColor="text1"/>
        </w:rPr>
      </w:pPr>
    </w:p>
    <w:p w14:paraId="7BFC412D" w14:textId="77777777" w:rsidR="00B05169" w:rsidRPr="00F639E3" w:rsidRDefault="00B05169" w:rsidP="00B05169">
      <w:pPr>
        <w:rPr>
          <w:color w:val="000000" w:themeColor="text1"/>
        </w:rPr>
      </w:pPr>
    </w:p>
    <w:p w14:paraId="175D56D5" w14:textId="77777777" w:rsidR="00B05169" w:rsidRPr="00F639E3" w:rsidRDefault="00B05169" w:rsidP="00B05169">
      <w:pPr>
        <w:rPr>
          <w:color w:val="000000" w:themeColor="text1"/>
        </w:rPr>
      </w:pPr>
    </w:p>
    <w:p w14:paraId="72D8EA0A" w14:textId="77777777" w:rsidR="00B05169" w:rsidRPr="00F639E3" w:rsidRDefault="00B05169" w:rsidP="00B05169">
      <w:pPr>
        <w:rPr>
          <w:color w:val="000000" w:themeColor="text1"/>
        </w:rPr>
      </w:pPr>
    </w:p>
    <w:p w14:paraId="06977879" w14:textId="77777777" w:rsidR="00B05169" w:rsidRPr="00F639E3" w:rsidRDefault="00B05169" w:rsidP="00B05169">
      <w:pPr>
        <w:rPr>
          <w:color w:val="000000" w:themeColor="text1"/>
        </w:rPr>
      </w:pPr>
    </w:p>
    <w:p w14:paraId="7BF570BA" w14:textId="77777777" w:rsidR="00B05169" w:rsidRPr="00F639E3" w:rsidRDefault="00B05169" w:rsidP="00B05169">
      <w:pPr>
        <w:rPr>
          <w:color w:val="000000" w:themeColor="text1"/>
        </w:rPr>
      </w:pPr>
    </w:p>
    <w:p w14:paraId="11F2874F" w14:textId="77777777" w:rsidR="00B05169" w:rsidRPr="00F639E3" w:rsidRDefault="00B05169" w:rsidP="00B05169">
      <w:pPr>
        <w:rPr>
          <w:color w:val="000000" w:themeColor="text1"/>
        </w:rPr>
      </w:pPr>
    </w:p>
    <w:p w14:paraId="21FA8A6E" w14:textId="77777777" w:rsidR="0083636A" w:rsidRPr="00F639E3" w:rsidRDefault="0083636A" w:rsidP="00B05169">
      <w:pPr>
        <w:rPr>
          <w:color w:val="000000" w:themeColor="text1"/>
        </w:rPr>
      </w:pPr>
    </w:p>
    <w:p w14:paraId="239D6838" w14:textId="77777777" w:rsidR="0083636A" w:rsidRPr="00F639E3" w:rsidRDefault="0083636A" w:rsidP="00B05169">
      <w:pPr>
        <w:rPr>
          <w:color w:val="000000" w:themeColor="text1"/>
        </w:rPr>
      </w:pPr>
    </w:p>
    <w:p w14:paraId="68B3E00B" w14:textId="77777777" w:rsidR="0083636A" w:rsidRPr="00F639E3" w:rsidRDefault="0083636A" w:rsidP="00B05169">
      <w:pPr>
        <w:rPr>
          <w:color w:val="000000" w:themeColor="text1"/>
        </w:rPr>
      </w:pPr>
    </w:p>
    <w:p w14:paraId="57A6EC92" w14:textId="77777777" w:rsidR="0083636A" w:rsidRPr="00F639E3" w:rsidRDefault="0083636A" w:rsidP="00B05169">
      <w:pPr>
        <w:rPr>
          <w:color w:val="000000" w:themeColor="text1"/>
        </w:rPr>
      </w:pPr>
    </w:p>
    <w:p w14:paraId="39CE906E" w14:textId="77777777" w:rsidR="0083636A" w:rsidRPr="00F639E3" w:rsidRDefault="0083636A" w:rsidP="00B05169">
      <w:pPr>
        <w:rPr>
          <w:color w:val="000000" w:themeColor="text1"/>
        </w:rPr>
      </w:pPr>
    </w:p>
    <w:p w14:paraId="44879B4F" w14:textId="77777777" w:rsidR="0083636A" w:rsidRPr="00F639E3" w:rsidRDefault="0083636A" w:rsidP="00B05169">
      <w:pPr>
        <w:rPr>
          <w:color w:val="000000" w:themeColor="text1"/>
        </w:rPr>
      </w:pPr>
    </w:p>
    <w:p w14:paraId="215E0D41" w14:textId="77777777" w:rsidR="0083636A" w:rsidRPr="00F639E3" w:rsidRDefault="0083636A" w:rsidP="00B05169">
      <w:pPr>
        <w:rPr>
          <w:color w:val="000000" w:themeColor="text1"/>
        </w:rPr>
      </w:pPr>
    </w:p>
    <w:p w14:paraId="302F2B24" w14:textId="77777777" w:rsidR="0083636A" w:rsidRPr="00F639E3" w:rsidRDefault="0083636A" w:rsidP="00B05169">
      <w:pPr>
        <w:rPr>
          <w:color w:val="000000" w:themeColor="text1"/>
        </w:rPr>
      </w:pPr>
    </w:p>
    <w:p w14:paraId="203D9F5E" w14:textId="1E0BD117" w:rsidR="00B05169" w:rsidRPr="00F639E3" w:rsidRDefault="00B05169" w:rsidP="00B05169">
      <w:pPr>
        <w:rPr>
          <w:color w:val="000000" w:themeColor="text1"/>
        </w:rPr>
      </w:pPr>
      <w:r w:rsidRPr="00F639E3">
        <w:rPr>
          <w:color w:val="000000" w:themeColor="text1"/>
        </w:rPr>
        <w:t xml:space="preserve">Table </w:t>
      </w:r>
      <w:r w:rsidR="00D82425">
        <w:rPr>
          <w:color w:val="000000" w:themeColor="text1"/>
        </w:rPr>
        <w:t>B</w:t>
      </w:r>
      <w:bookmarkStart w:id="0" w:name="_GoBack"/>
      <w:bookmarkEnd w:id="0"/>
      <w:r w:rsidRPr="00F639E3">
        <w:rPr>
          <w:color w:val="000000" w:themeColor="text1"/>
        </w:rPr>
        <w:t xml:space="preserve">. Numerical difference (in </w:t>
      </w:r>
      <w:r w:rsidRPr="00F639E3">
        <w:rPr>
          <w:rFonts w:ascii="Cambria" w:hAnsi="Cambria"/>
          <w:color w:val="000000" w:themeColor="text1"/>
        </w:rPr>
        <w:t>μ</w:t>
      </w:r>
      <w:r w:rsidRPr="00F639E3">
        <w:rPr>
          <w:color w:val="000000" w:themeColor="text1"/>
        </w:rPr>
        <w:t xml:space="preserve">V) between ERP amplitudes in the regions of interest and midline electrodes for the control and the patient groups. Oddball task: Difference between ERPs for deviant and standard tones in 150-250 ms (first column; negative values indicate more negative amplitude for deviant tones) and 300-550 ms (second column, positive values indicate more positive amplitude for deviant tones) time windows. Exposure phase: Difference between ERPs for mistuned and in-tune target tones in 250-400 ms (first column, negative values indicate more negative amplitude for mistuned tones) and 550-900 ms (second column; positive values indicate more positive amplitude for mistuned tones) time windows. </w:t>
      </w:r>
    </w:p>
    <w:p w14:paraId="77179F6E" w14:textId="77777777" w:rsidR="00B05169" w:rsidRPr="00F639E3" w:rsidRDefault="00B05169" w:rsidP="00B05169">
      <w:pPr>
        <w:rPr>
          <w:color w:val="000000" w:themeColor="text1"/>
        </w:rPr>
      </w:pPr>
    </w:p>
    <w:tbl>
      <w:tblPr>
        <w:tblStyle w:val="TableGrid"/>
        <w:tblW w:w="8506" w:type="dxa"/>
        <w:tblInd w:w="-743" w:type="dxa"/>
        <w:tblLayout w:type="fixed"/>
        <w:tblLook w:val="04A0" w:firstRow="1" w:lastRow="0" w:firstColumn="1" w:lastColumn="0" w:noHBand="0" w:noVBand="1"/>
      </w:tblPr>
      <w:tblGrid>
        <w:gridCol w:w="1925"/>
        <w:gridCol w:w="857"/>
        <w:gridCol w:w="664"/>
        <w:gridCol w:w="807"/>
        <w:gridCol w:w="851"/>
        <w:gridCol w:w="850"/>
        <w:gridCol w:w="851"/>
        <w:gridCol w:w="850"/>
        <w:gridCol w:w="851"/>
      </w:tblGrid>
      <w:tr w:rsidR="00F639E3" w:rsidRPr="00F639E3" w14:paraId="261C10D5" w14:textId="77777777" w:rsidTr="00196724">
        <w:tc>
          <w:tcPr>
            <w:tcW w:w="1925" w:type="dxa"/>
            <w:tcBorders>
              <w:left w:val="nil"/>
              <w:bottom w:val="single" w:sz="4" w:space="0" w:color="auto"/>
              <w:right w:val="nil"/>
            </w:tcBorders>
          </w:tcPr>
          <w:p w14:paraId="604C2756" w14:textId="77777777" w:rsidR="00B05169" w:rsidRPr="00F639E3" w:rsidRDefault="00B05169" w:rsidP="00196724">
            <w:pPr>
              <w:jc w:val="center"/>
              <w:rPr>
                <w:color w:val="000000" w:themeColor="text1"/>
              </w:rPr>
            </w:pPr>
          </w:p>
        </w:tc>
        <w:tc>
          <w:tcPr>
            <w:tcW w:w="3179" w:type="dxa"/>
            <w:gridSpan w:val="4"/>
            <w:tcBorders>
              <w:left w:val="nil"/>
              <w:bottom w:val="single" w:sz="4" w:space="0" w:color="auto"/>
              <w:right w:val="nil"/>
            </w:tcBorders>
          </w:tcPr>
          <w:p w14:paraId="648DE921" w14:textId="77777777" w:rsidR="00B05169" w:rsidRPr="00F639E3" w:rsidRDefault="00B05169" w:rsidP="00196724">
            <w:pPr>
              <w:jc w:val="center"/>
              <w:rPr>
                <w:color w:val="000000" w:themeColor="text1"/>
              </w:rPr>
            </w:pPr>
            <w:r w:rsidRPr="00F639E3">
              <w:rPr>
                <w:color w:val="000000" w:themeColor="text1"/>
              </w:rPr>
              <w:t>Oddball task</w:t>
            </w:r>
          </w:p>
        </w:tc>
        <w:tc>
          <w:tcPr>
            <w:tcW w:w="3402" w:type="dxa"/>
            <w:gridSpan w:val="4"/>
            <w:tcBorders>
              <w:left w:val="nil"/>
              <w:bottom w:val="single" w:sz="4" w:space="0" w:color="auto"/>
              <w:right w:val="nil"/>
            </w:tcBorders>
          </w:tcPr>
          <w:p w14:paraId="33357D7E" w14:textId="77777777" w:rsidR="00B05169" w:rsidRPr="00F639E3" w:rsidRDefault="00B05169" w:rsidP="00196724">
            <w:pPr>
              <w:jc w:val="center"/>
              <w:rPr>
                <w:color w:val="000000" w:themeColor="text1"/>
              </w:rPr>
            </w:pPr>
            <w:r w:rsidRPr="00F639E3">
              <w:rPr>
                <w:color w:val="000000" w:themeColor="text1"/>
              </w:rPr>
              <w:t>Exposure phase</w:t>
            </w:r>
          </w:p>
        </w:tc>
      </w:tr>
      <w:tr w:rsidR="00F639E3" w:rsidRPr="00F639E3" w14:paraId="14A6194A" w14:textId="77777777" w:rsidTr="00196724">
        <w:tc>
          <w:tcPr>
            <w:tcW w:w="1925" w:type="dxa"/>
            <w:tcBorders>
              <w:left w:val="nil"/>
              <w:bottom w:val="single" w:sz="4" w:space="0" w:color="auto"/>
              <w:right w:val="nil"/>
            </w:tcBorders>
          </w:tcPr>
          <w:p w14:paraId="1DBE8EDA" w14:textId="77777777" w:rsidR="00B05169" w:rsidRPr="00F639E3" w:rsidRDefault="00B05169" w:rsidP="00196724">
            <w:pPr>
              <w:jc w:val="center"/>
              <w:rPr>
                <w:color w:val="000000" w:themeColor="text1"/>
              </w:rPr>
            </w:pPr>
            <w:r w:rsidRPr="00F639E3">
              <w:rPr>
                <w:color w:val="000000" w:themeColor="text1"/>
              </w:rPr>
              <w:t>Region of interest or midline electrode</w:t>
            </w:r>
          </w:p>
        </w:tc>
        <w:tc>
          <w:tcPr>
            <w:tcW w:w="1521" w:type="dxa"/>
            <w:gridSpan w:val="2"/>
            <w:tcBorders>
              <w:left w:val="nil"/>
              <w:bottom w:val="single" w:sz="4" w:space="0" w:color="auto"/>
              <w:right w:val="nil"/>
            </w:tcBorders>
          </w:tcPr>
          <w:p w14:paraId="327B0202" w14:textId="77777777" w:rsidR="00B05169" w:rsidRPr="00F639E3" w:rsidRDefault="00B05169" w:rsidP="00196724">
            <w:pPr>
              <w:jc w:val="center"/>
              <w:rPr>
                <w:color w:val="000000" w:themeColor="text1"/>
              </w:rPr>
            </w:pPr>
          </w:p>
          <w:p w14:paraId="3408E523" w14:textId="77777777" w:rsidR="00B05169" w:rsidRPr="00F639E3" w:rsidRDefault="00B05169" w:rsidP="00196724">
            <w:pPr>
              <w:jc w:val="center"/>
              <w:rPr>
                <w:color w:val="000000" w:themeColor="text1"/>
              </w:rPr>
            </w:pPr>
            <w:r w:rsidRPr="00F639E3">
              <w:rPr>
                <w:color w:val="000000" w:themeColor="text1"/>
              </w:rPr>
              <w:t>Controls</w:t>
            </w:r>
          </w:p>
        </w:tc>
        <w:tc>
          <w:tcPr>
            <w:tcW w:w="1658" w:type="dxa"/>
            <w:gridSpan w:val="2"/>
            <w:tcBorders>
              <w:left w:val="nil"/>
              <w:bottom w:val="single" w:sz="4" w:space="0" w:color="auto"/>
              <w:right w:val="nil"/>
            </w:tcBorders>
          </w:tcPr>
          <w:p w14:paraId="544B4475" w14:textId="77777777" w:rsidR="00B05169" w:rsidRPr="00F639E3" w:rsidRDefault="00B05169" w:rsidP="00196724">
            <w:pPr>
              <w:jc w:val="center"/>
              <w:rPr>
                <w:color w:val="000000" w:themeColor="text1"/>
              </w:rPr>
            </w:pPr>
          </w:p>
          <w:p w14:paraId="668E270D" w14:textId="77777777" w:rsidR="00B05169" w:rsidRPr="00F639E3" w:rsidRDefault="00B05169" w:rsidP="00196724">
            <w:pPr>
              <w:jc w:val="center"/>
              <w:rPr>
                <w:color w:val="000000" w:themeColor="text1"/>
              </w:rPr>
            </w:pPr>
            <w:r w:rsidRPr="00F639E3">
              <w:rPr>
                <w:color w:val="000000" w:themeColor="text1"/>
              </w:rPr>
              <w:t>Patients</w:t>
            </w:r>
          </w:p>
        </w:tc>
        <w:tc>
          <w:tcPr>
            <w:tcW w:w="1701" w:type="dxa"/>
            <w:gridSpan w:val="2"/>
            <w:tcBorders>
              <w:left w:val="nil"/>
              <w:bottom w:val="single" w:sz="4" w:space="0" w:color="auto"/>
              <w:right w:val="nil"/>
            </w:tcBorders>
          </w:tcPr>
          <w:p w14:paraId="767D02CC" w14:textId="77777777" w:rsidR="00B05169" w:rsidRPr="00F639E3" w:rsidRDefault="00B05169" w:rsidP="00196724">
            <w:pPr>
              <w:jc w:val="center"/>
              <w:rPr>
                <w:color w:val="000000" w:themeColor="text1"/>
              </w:rPr>
            </w:pPr>
          </w:p>
          <w:p w14:paraId="34E14D96" w14:textId="77777777" w:rsidR="00B05169" w:rsidRPr="00F639E3" w:rsidRDefault="00B05169" w:rsidP="00196724">
            <w:pPr>
              <w:jc w:val="center"/>
              <w:rPr>
                <w:color w:val="000000" w:themeColor="text1"/>
              </w:rPr>
            </w:pPr>
            <w:r w:rsidRPr="00F639E3">
              <w:rPr>
                <w:color w:val="000000" w:themeColor="text1"/>
              </w:rPr>
              <w:t>Controls</w:t>
            </w:r>
          </w:p>
        </w:tc>
        <w:tc>
          <w:tcPr>
            <w:tcW w:w="1701" w:type="dxa"/>
            <w:gridSpan w:val="2"/>
            <w:tcBorders>
              <w:left w:val="nil"/>
              <w:bottom w:val="single" w:sz="4" w:space="0" w:color="auto"/>
              <w:right w:val="nil"/>
            </w:tcBorders>
          </w:tcPr>
          <w:p w14:paraId="426A4889" w14:textId="77777777" w:rsidR="00B05169" w:rsidRPr="00F639E3" w:rsidRDefault="00B05169" w:rsidP="00196724">
            <w:pPr>
              <w:jc w:val="center"/>
              <w:rPr>
                <w:color w:val="000000" w:themeColor="text1"/>
              </w:rPr>
            </w:pPr>
          </w:p>
          <w:p w14:paraId="026D8FD5" w14:textId="77777777" w:rsidR="00B05169" w:rsidRPr="00F639E3" w:rsidRDefault="00B05169" w:rsidP="00196724">
            <w:pPr>
              <w:jc w:val="center"/>
              <w:rPr>
                <w:color w:val="000000" w:themeColor="text1"/>
              </w:rPr>
            </w:pPr>
            <w:r w:rsidRPr="00F639E3">
              <w:rPr>
                <w:color w:val="000000" w:themeColor="text1"/>
              </w:rPr>
              <w:t>Patients</w:t>
            </w:r>
          </w:p>
          <w:p w14:paraId="40338C9C" w14:textId="77777777" w:rsidR="00B05169" w:rsidRPr="00F639E3" w:rsidRDefault="00B05169" w:rsidP="00196724">
            <w:pPr>
              <w:jc w:val="center"/>
              <w:rPr>
                <w:color w:val="000000" w:themeColor="text1"/>
              </w:rPr>
            </w:pPr>
          </w:p>
        </w:tc>
      </w:tr>
      <w:tr w:rsidR="00F639E3" w:rsidRPr="00F639E3" w14:paraId="2D3742F3" w14:textId="77777777" w:rsidTr="00196724">
        <w:tc>
          <w:tcPr>
            <w:tcW w:w="1925" w:type="dxa"/>
            <w:tcBorders>
              <w:left w:val="nil"/>
              <w:bottom w:val="nil"/>
              <w:right w:val="nil"/>
            </w:tcBorders>
          </w:tcPr>
          <w:p w14:paraId="4324E37B" w14:textId="77777777" w:rsidR="00B05169" w:rsidRPr="00F639E3" w:rsidRDefault="00B05169" w:rsidP="00196724">
            <w:pPr>
              <w:jc w:val="center"/>
              <w:rPr>
                <w:color w:val="000000" w:themeColor="text1"/>
              </w:rPr>
            </w:pPr>
            <w:r w:rsidRPr="00F639E3">
              <w:rPr>
                <w:color w:val="000000" w:themeColor="text1"/>
              </w:rPr>
              <w:t>Left anterior</w:t>
            </w:r>
          </w:p>
        </w:tc>
        <w:tc>
          <w:tcPr>
            <w:tcW w:w="857" w:type="dxa"/>
            <w:tcBorders>
              <w:left w:val="nil"/>
              <w:bottom w:val="nil"/>
              <w:right w:val="nil"/>
            </w:tcBorders>
          </w:tcPr>
          <w:p w14:paraId="7937B6FA" w14:textId="77777777" w:rsidR="00B05169" w:rsidRPr="00F639E3" w:rsidRDefault="00B05169" w:rsidP="00196724">
            <w:pPr>
              <w:jc w:val="center"/>
              <w:rPr>
                <w:color w:val="000000" w:themeColor="text1"/>
              </w:rPr>
            </w:pPr>
            <w:r w:rsidRPr="00F639E3">
              <w:rPr>
                <w:color w:val="000000" w:themeColor="text1"/>
              </w:rPr>
              <w:t>-1.18</w:t>
            </w:r>
          </w:p>
        </w:tc>
        <w:tc>
          <w:tcPr>
            <w:tcW w:w="664" w:type="dxa"/>
            <w:tcBorders>
              <w:left w:val="nil"/>
              <w:bottom w:val="nil"/>
              <w:right w:val="nil"/>
            </w:tcBorders>
          </w:tcPr>
          <w:p w14:paraId="69739818" w14:textId="77777777" w:rsidR="00B05169" w:rsidRPr="00F639E3" w:rsidRDefault="00B05169" w:rsidP="00196724">
            <w:pPr>
              <w:jc w:val="center"/>
              <w:rPr>
                <w:color w:val="000000" w:themeColor="text1"/>
              </w:rPr>
            </w:pPr>
            <w:r w:rsidRPr="00F639E3">
              <w:rPr>
                <w:color w:val="000000" w:themeColor="text1"/>
              </w:rPr>
              <w:t>2.08</w:t>
            </w:r>
          </w:p>
        </w:tc>
        <w:tc>
          <w:tcPr>
            <w:tcW w:w="807" w:type="dxa"/>
            <w:tcBorders>
              <w:left w:val="nil"/>
              <w:bottom w:val="nil"/>
              <w:right w:val="nil"/>
            </w:tcBorders>
          </w:tcPr>
          <w:p w14:paraId="129EB38D" w14:textId="77777777" w:rsidR="00B05169" w:rsidRPr="00F639E3" w:rsidRDefault="00B05169" w:rsidP="00196724">
            <w:pPr>
              <w:jc w:val="center"/>
              <w:rPr>
                <w:color w:val="000000" w:themeColor="text1"/>
              </w:rPr>
            </w:pPr>
            <w:r w:rsidRPr="00F639E3">
              <w:rPr>
                <w:color w:val="000000" w:themeColor="text1"/>
              </w:rPr>
              <w:t>-0.71</w:t>
            </w:r>
          </w:p>
        </w:tc>
        <w:tc>
          <w:tcPr>
            <w:tcW w:w="851" w:type="dxa"/>
            <w:tcBorders>
              <w:left w:val="nil"/>
              <w:bottom w:val="nil"/>
              <w:right w:val="nil"/>
            </w:tcBorders>
          </w:tcPr>
          <w:p w14:paraId="6D5AF219" w14:textId="77777777" w:rsidR="00B05169" w:rsidRPr="00F639E3" w:rsidRDefault="00B05169" w:rsidP="00196724">
            <w:pPr>
              <w:jc w:val="center"/>
              <w:rPr>
                <w:color w:val="000000" w:themeColor="text1"/>
              </w:rPr>
            </w:pPr>
            <w:r w:rsidRPr="00F639E3">
              <w:rPr>
                <w:color w:val="000000" w:themeColor="text1"/>
              </w:rPr>
              <w:t>0.60</w:t>
            </w:r>
          </w:p>
        </w:tc>
        <w:tc>
          <w:tcPr>
            <w:tcW w:w="850" w:type="dxa"/>
            <w:tcBorders>
              <w:left w:val="nil"/>
              <w:bottom w:val="nil"/>
              <w:right w:val="nil"/>
            </w:tcBorders>
          </w:tcPr>
          <w:p w14:paraId="5506AD08" w14:textId="77777777" w:rsidR="00B05169" w:rsidRPr="00F639E3" w:rsidRDefault="00B05169" w:rsidP="00196724">
            <w:pPr>
              <w:jc w:val="center"/>
              <w:rPr>
                <w:color w:val="000000" w:themeColor="text1"/>
              </w:rPr>
            </w:pPr>
            <w:r w:rsidRPr="00F639E3">
              <w:rPr>
                <w:color w:val="000000" w:themeColor="text1"/>
              </w:rPr>
              <w:t>-0.18</w:t>
            </w:r>
          </w:p>
        </w:tc>
        <w:tc>
          <w:tcPr>
            <w:tcW w:w="851" w:type="dxa"/>
            <w:tcBorders>
              <w:left w:val="nil"/>
              <w:bottom w:val="nil"/>
              <w:right w:val="nil"/>
            </w:tcBorders>
          </w:tcPr>
          <w:p w14:paraId="7C28E0CC" w14:textId="77777777" w:rsidR="00B05169" w:rsidRPr="00F639E3" w:rsidRDefault="00B05169" w:rsidP="00196724">
            <w:pPr>
              <w:jc w:val="center"/>
              <w:rPr>
                <w:color w:val="000000" w:themeColor="text1"/>
              </w:rPr>
            </w:pPr>
            <w:r w:rsidRPr="00F639E3">
              <w:rPr>
                <w:color w:val="000000" w:themeColor="text1"/>
              </w:rPr>
              <w:t>0.86</w:t>
            </w:r>
          </w:p>
        </w:tc>
        <w:tc>
          <w:tcPr>
            <w:tcW w:w="850" w:type="dxa"/>
            <w:tcBorders>
              <w:left w:val="nil"/>
              <w:bottom w:val="nil"/>
              <w:right w:val="nil"/>
            </w:tcBorders>
          </w:tcPr>
          <w:p w14:paraId="4744EA98" w14:textId="77777777" w:rsidR="00B05169" w:rsidRPr="00F639E3" w:rsidRDefault="00B05169" w:rsidP="00196724">
            <w:pPr>
              <w:jc w:val="center"/>
              <w:rPr>
                <w:color w:val="000000" w:themeColor="text1"/>
              </w:rPr>
            </w:pPr>
            <w:r w:rsidRPr="00F639E3">
              <w:rPr>
                <w:color w:val="000000" w:themeColor="text1"/>
              </w:rPr>
              <w:t>-0.66</w:t>
            </w:r>
          </w:p>
        </w:tc>
        <w:tc>
          <w:tcPr>
            <w:tcW w:w="851" w:type="dxa"/>
            <w:tcBorders>
              <w:left w:val="nil"/>
              <w:bottom w:val="nil"/>
              <w:right w:val="nil"/>
            </w:tcBorders>
          </w:tcPr>
          <w:p w14:paraId="39E8A60E" w14:textId="77777777" w:rsidR="00B05169" w:rsidRPr="00F639E3" w:rsidRDefault="00B05169" w:rsidP="00196724">
            <w:pPr>
              <w:jc w:val="center"/>
              <w:rPr>
                <w:color w:val="000000" w:themeColor="text1"/>
              </w:rPr>
            </w:pPr>
            <w:r w:rsidRPr="00F639E3">
              <w:rPr>
                <w:color w:val="000000" w:themeColor="text1"/>
              </w:rPr>
              <w:t>-0.67</w:t>
            </w:r>
          </w:p>
        </w:tc>
      </w:tr>
      <w:tr w:rsidR="00F639E3" w:rsidRPr="00F639E3" w14:paraId="751605F3" w14:textId="77777777" w:rsidTr="00196724">
        <w:tc>
          <w:tcPr>
            <w:tcW w:w="1925" w:type="dxa"/>
            <w:tcBorders>
              <w:top w:val="nil"/>
              <w:left w:val="nil"/>
              <w:bottom w:val="nil"/>
              <w:right w:val="nil"/>
            </w:tcBorders>
          </w:tcPr>
          <w:p w14:paraId="3C103247" w14:textId="77777777" w:rsidR="00B05169" w:rsidRPr="00F639E3" w:rsidRDefault="00B05169" w:rsidP="00196724">
            <w:pPr>
              <w:jc w:val="center"/>
              <w:rPr>
                <w:color w:val="000000" w:themeColor="text1"/>
              </w:rPr>
            </w:pPr>
            <w:r w:rsidRPr="00F639E3">
              <w:rPr>
                <w:color w:val="000000" w:themeColor="text1"/>
              </w:rPr>
              <w:t>Right anterior</w:t>
            </w:r>
          </w:p>
        </w:tc>
        <w:tc>
          <w:tcPr>
            <w:tcW w:w="857" w:type="dxa"/>
            <w:tcBorders>
              <w:top w:val="nil"/>
              <w:left w:val="nil"/>
              <w:bottom w:val="nil"/>
              <w:right w:val="nil"/>
            </w:tcBorders>
          </w:tcPr>
          <w:p w14:paraId="5465AB01" w14:textId="77777777" w:rsidR="00B05169" w:rsidRPr="00F639E3" w:rsidRDefault="00B05169" w:rsidP="00196724">
            <w:pPr>
              <w:jc w:val="center"/>
              <w:rPr>
                <w:color w:val="000000" w:themeColor="text1"/>
              </w:rPr>
            </w:pPr>
            <w:r w:rsidRPr="00F639E3">
              <w:rPr>
                <w:color w:val="000000" w:themeColor="text1"/>
              </w:rPr>
              <w:t>-0.83</w:t>
            </w:r>
          </w:p>
        </w:tc>
        <w:tc>
          <w:tcPr>
            <w:tcW w:w="664" w:type="dxa"/>
            <w:tcBorders>
              <w:top w:val="nil"/>
              <w:left w:val="nil"/>
              <w:bottom w:val="nil"/>
              <w:right w:val="nil"/>
            </w:tcBorders>
          </w:tcPr>
          <w:p w14:paraId="5B5E1DB4" w14:textId="77777777" w:rsidR="00B05169" w:rsidRPr="00F639E3" w:rsidRDefault="00B05169" w:rsidP="00196724">
            <w:pPr>
              <w:jc w:val="center"/>
              <w:rPr>
                <w:color w:val="000000" w:themeColor="text1"/>
              </w:rPr>
            </w:pPr>
            <w:r w:rsidRPr="00F639E3">
              <w:rPr>
                <w:color w:val="000000" w:themeColor="text1"/>
              </w:rPr>
              <w:t>2.34</w:t>
            </w:r>
          </w:p>
        </w:tc>
        <w:tc>
          <w:tcPr>
            <w:tcW w:w="807" w:type="dxa"/>
            <w:tcBorders>
              <w:top w:val="nil"/>
              <w:left w:val="nil"/>
              <w:bottom w:val="nil"/>
              <w:right w:val="nil"/>
            </w:tcBorders>
          </w:tcPr>
          <w:p w14:paraId="44A66226" w14:textId="77777777" w:rsidR="00B05169" w:rsidRPr="00F639E3" w:rsidRDefault="00B05169" w:rsidP="00196724">
            <w:pPr>
              <w:jc w:val="center"/>
              <w:rPr>
                <w:color w:val="000000" w:themeColor="text1"/>
              </w:rPr>
            </w:pPr>
            <w:r w:rsidRPr="00F639E3">
              <w:rPr>
                <w:color w:val="000000" w:themeColor="text1"/>
              </w:rPr>
              <w:t>-1.67</w:t>
            </w:r>
          </w:p>
        </w:tc>
        <w:tc>
          <w:tcPr>
            <w:tcW w:w="851" w:type="dxa"/>
            <w:tcBorders>
              <w:top w:val="nil"/>
              <w:left w:val="nil"/>
              <w:bottom w:val="nil"/>
              <w:right w:val="nil"/>
            </w:tcBorders>
          </w:tcPr>
          <w:p w14:paraId="3E102AE4" w14:textId="77777777" w:rsidR="00B05169" w:rsidRPr="00F639E3" w:rsidRDefault="00B05169" w:rsidP="00196724">
            <w:pPr>
              <w:jc w:val="center"/>
              <w:rPr>
                <w:color w:val="000000" w:themeColor="text1"/>
              </w:rPr>
            </w:pPr>
            <w:r w:rsidRPr="00F639E3">
              <w:rPr>
                <w:color w:val="000000" w:themeColor="text1"/>
              </w:rPr>
              <w:t>1.20</w:t>
            </w:r>
          </w:p>
        </w:tc>
        <w:tc>
          <w:tcPr>
            <w:tcW w:w="850" w:type="dxa"/>
            <w:tcBorders>
              <w:top w:val="nil"/>
              <w:left w:val="nil"/>
              <w:bottom w:val="nil"/>
              <w:right w:val="nil"/>
            </w:tcBorders>
          </w:tcPr>
          <w:p w14:paraId="0D4A3390" w14:textId="77777777" w:rsidR="00B05169" w:rsidRPr="00F639E3" w:rsidRDefault="00B05169" w:rsidP="00196724">
            <w:pPr>
              <w:jc w:val="center"/>
              <w:rPr>
                <w:color w:val="000000" w:themeColor="text1"/>
              </w:rPr>
            </w:pPr>
            <w:r w:rsidRPr="00F639E3">
              <w:rPr>
                <w:color w:val="000000" w:themeColor="text1"/>
              </w:rPr>
              <w:t>-0.91</w:t>
            </w:r>
          </w:p>
        </w:tc>
        <w:tc>
          <w:tcPr>
            <w:tcW w:w="851" w:type="dxa"/>
            <w:tcBorders>
              <w:top w:val="nil"/>
              <w:left w:val="nil"/>
              <w:bottom w:val="nil"/>
              <w:right w:val="nil"/>
            </w:tcBorders>
          </w:tcPr>
          <w:p w14:paraId="72A8E0C5" w14:textId="77777777" w:rsidR="00B05169" w:rsidRPr="00F639E3" w:rsidRDefault="00B05169" w:rsidP="00196724">
            <w:pPr>
              <w:jc w:val="center"/>
              <w:rPr>
                <w:color w:val="000000" w:themeColor="text1"/>
              </w:rPr>
            </w:pPr>
            <w:r w:rsidRPr="00F639E3">
              <w:rPr>
                <w:color w:val="000000" w:themeColor="text1"/>
              </w:rPr>
              <w:t>0.38</w:t>
            </w:r>
          </w:p>
        </w:tc>
        <w:tc>
          <w:tcPr>
            <w:tcW w:w="850" w:type="dxa"/>
            <w:tcBorders>
              <w:top w:val="nil"/>
              <w:left w:val="nil"/>
              <w:bottom w:val="nil"/>
              <w:right w:val="nil"/>
            </w:tcBorders>
          </w:tcPr>
          <w:p w14:paraId="53C3CE04" w14:textId="77777777" w:rsidR="00B05169" w:rsidRPr="00F639E3" w:rsidRDefault="00B05169" w:rsidP="00196724">
            <w:pPr>
              <w:jc w:val="center"/>
              <w:rPr>
                <w:color w:val="000000" w:themeColor="text1"/>
              </w:rPr>
            </w:pPr>
            <w:r w:rsidRPr="00F639E3">
              <w:rPr>
                <w:color w:val="000000" w:themeColor="text1"/>
              </w:rPr>
              <w:t>-1.08</w:t>
            </w:r>
          </w:p>
        </w:tc>
        <w:tc>
          <w:tcPr>
            <w:tcW w:w="851" w:type="dxa"/>
            <w:tcBorders>
              <w:top w:val="nil"/>
              <w:left w:val="nil"/>
              <w:bottom w:val="nil"/>
              <w:right w:val="nil"/>
            </w:tcBorders>
          </w:tcPr>
          <w:p w14:paraId="19C35163" w14:textId="77777777" w:rsidR="00B05169" w:rsidRPr="00F639E3" w:rsidRDefault="00B05169" w:rsidP="00196724">
            <w:pPr>
              <w:jc w:val="center"/>
              <w:rPr>
                <w:color w:val="000000" w:themeColor="text1"/>
              </w:rPr>
            </w:pPr>
            <w:r w:rsidRPr="00F639E3">
              <w:rPr>
                <w:color w:val="000000" w:themeColor="text1"/>
              </w:rPr>
              <w:t>-0.03</w:t>
            </w:r>
          </w:p>
        </w:tc>
      </w:tr>
      <w:tr w:rsidR="00F639E3" w:rsidRPr="00F639E3" w14:paraId="2DCE2EFE" w14:textId="77777777" w:rsidTr="00196724">
        <w:tc>
          <w:tcPr>
            <w:tcW w:w="1925" w:type="dxa"/>
            <w:tcBorders>
              <w:top w:val="nil"/>
              <w:left w:val="nil"/>
              <w:bottom w:val="nil"/>
              <w:right w:val="nil"/>
            </w:tcBorders>
          </w:tcPr>
          <w:p w14:paraId="68EF23F3" w14:textId="77777777" w:rsidR="00B05169" w:rsidRPr="00F639E3" w:rsidRDefault="00B05169" w:rsidP="00196724">
            <w:pPr>
              <w:jc w:val="center"/>
              <w:rPr>
                <w:color w:val="000000" w:themeColor="text1"/>
              </w:rPr>
            </w:pPr>
            <w:r w:rsidRPr="00F639E3">
              <w:rPr>
                <w:color w:val="000000" w:themeColor="text1"/>
              </w:rPr>
              <w:t>Left posterior</w:t>
            </w:r>
          </w:p>
        </w:tc>
        <w:tc>
          <w:tcPr>
            <w:tcW w:w="857" w:type="dxa"/>
            <w:tcBorders>
              <w:top w:val="nil"/>
              <w:left w:val="nil"/>
              <w:bottom w:val="nil"/>
              <w:right w:val="nil"/>
            </w:tcBorders>
          </w:tcPr>
          <w:p w14:paraId="3943180A" w14:textId="77777777" w:rsidR="00B05169" w:rsidRPr="00F639E3" w:rsidRDefault="00B05169" w:rsidP="00196724">
            <w:pPr>
              <w:jc w:val="center"/>
              <w:rPr>
                <w:color w:val="000000" w:themeColor="text1"/>
              </w:rPr>
            </w:pPr>
            <w:r w:rsidRPr="00F639E3">
              <w:rPr>
                <w:color w:val="000000" w:themeColor="text1"/>
              </w:rPr>
              <w:t>-1.85</w:t>
            </w:r>
          </w:p>
        </w:tc>
        <w:tc>
          <w:tcPr>
            <w:tcW w:w="664" w:type="dxa"/>
            <w:tcBorders>
              <w:top w:val="nil"/>
              <w:left w:val="nil"/>
              <w:bottom w:val="nil"/>
              <w:right w:val="nil"/>
            </w:tcBorders>
          </w:tcPr>
          <w:p w14:paraId="5DFE0DA6" w14:textId="77777777" w:rsidR="00B05169" w:rsidRPr="00F639E3" w:rsidRDefault="00B05169" w:rsidP="00196724">
            <w:pPr>
              <w:jc w:val="center"/>
              <w:rPr>
                <w:color w:val="000000" w:themeColor="text1"/>
              </w:rPr>
            </w:pPr>
            <w:r w:rsidRPr="00F639E3">
              <w:rPr>
                <w:color w:val="000000" w:themeColor="text1"/>
              </w:rPr>
              <w:t>2.42</w:t>
            </w:r>
          </w:p>
        </w:tc>
        <w:tc>
          <w:tcPr>
            <w:tcW w:w="807" w:type="dxa"/>
            <w:tcBorders>
              <w:top w:val="nil"/>
              <w:left w:val="nil"/>
              <w:bottom w:val="nil"/>
              <w:right w:val="nil"/>
            </w:tcBorders>
          </w:tcPr>
          <w:p w14:paraId="765E8739" w14:textId="77777777" w:rsidR="00B05169" w:rsidRPr="00F639E3" w:rsidRDefault="00B05169" w:rsidP="00196724">
            <w:pPr>
              <w:jc w:val="center"/>
              <w:rPr>
                <w:color w:val="000000" w:themeColor="text1"/>
              </w:rPr>
            </w:pPr>
            <w:r w:rsidRPr="00F639E3">
              <w:rPr>
                <w:color w:val="000000" w:themeColor="text1"/>
              </w:rPr>
              <w:t>-1.35</w:t>
            </w:r>
          </w:p>
        </w:tc>
        <w:tc>
          <w:tcPr>
            <w:tcW w:w="851" w:type="dxa"/>
            <w:tcBorders>
              <w:top w:val="nil"/>
              <w:left w:val="nil"/>
              <w:bottom w:val="nil"/>
              <w:right w:val="nil"/>
            </w:tcBorders>
          </w:tcPr>
          <w:p w14:paraId="23768175" w14:textId="77777777" w:rsidR="00B05169" w:rsidRPr="00F639E3" w:rsidRDefault="00B05169" w:rsidP="00196724">
            <w:pPr>
              <w:jc w:val="center"/>
              <w:rPr>
                <w:color w:val="000000" w:themeColor="text1"/>
              </w:rPr>
            </w:pPr>
            <w:r w:rsidRPr="00F639E3">
              <w:rPr>
                <w:color w:val="000000" w:themeColor="text1"/>
              </w:rPr>
              <w:t>0.91</w:t>
            </w:r>
          </w:p>
        </w:tc>
        <w:tc>
          <w:tcPr>
            <w:tcW w:w="850" w:type="dxa"/>
            <w:tcBorders>
              <w:top w:val="nil"/>
              <w:left w:val="nil"/>
              <w:bottom w:val="nil"/>
              <w:right w:val="nil"/>
            </w:tcBorders>
          </w:tcPr>
          <w:p w14:paraId="145120C6" w14:textId="77777777" w:rsidR="00B05169" w:rsidRPr="00F639E3" w:rsidRDefault="00B05169" w:rsidP="00196724">
            <w:pPr>
              <w:jc w:val="center"/>
              <w:rPr>
                <w:color w:val="000000" w:themeColor="text1"/>
              </w:rPr>
            </w:pPr>
            <w:r w:rsidRPr="00F639E3">
              <w:rPr>
                <w:color w:val="000000" w:themeColor="text1"/>
              </w:rPr>
              <w:t>-0.76</w:t>
            </w:r>
          </w:p>
        </w:tc>
        <w:tc>
          <w:tcPr>
            <w:tcW w:w="851" w:type="dxa"/>
            <w:tcBorders>
              <w:top w:val="nil"/>
              <w:left w:val="nil"/>
              <w:bottom w:val="nil"/>
              <w:right w:val="nil"/>
            </w:tcBorders>
          </w:tcPr>
          <w:p w14:paraId="07631969" w14:textId="77777777" w:rsidR="00B05169" w:rsidRPr="00F639E3" w:rsidRDefault="00B05169" w:rsidP="00196724">
            <w:pPr>
              <w:jc w:val="center"/>
              <w:rPr>
                <w:color w:val="000000" w:themeColor="text1"/>
              </w:rPr>
            </w:pPr>
            <w:r w:rsidRPr="00F639E3">
              <w:rPr>
                <w:color w:val="000000" w:themeColor="text1"/>
              </w:rPr>
              <w:t>0.85</w:t>
            </w:r>
          </w:p>
        </w:tc>
        <w:tc>
          <w:tcPr>
            <w:tcW w:w="850" w:type="dxa"/>
            <w:tcBorders>
              <w:top w:val="nil"/>
              <w:left w:val="nil"/>
              <w:bottom w:val="nil"/>
              <w:right w:val="nil"/>
            </w:tcBorders>
          </w:tcPr>
          <w:p w14:paraId="7FD27D93" w14:textId="77777777" w:rsidR="00B05169" w:rsidRPr="00F639E3" w:rsidRDefault="00B05169" w:rsidP="00196724">
            <w:pPr>
              <w:jc w:val="center"/>
              <w:rPr>
                <w:color w:val="000000" w:themeColor="text1"/>
              </w:rPr>
            </w:pPr>
            <w:r w:rsidRPr="00F639E3">
              <w:rPr>
                <w:color w:val="000000" w:themeColor="text1"/>
              </w:rPr>
              <w:t>-0.81</w:t>
            </w:r>
          </w:p>
        </w:tc>
        <w:tc>
          <w:tcPr>
            <w:tcW w:w="851" w:type="dxa"/>
            <w:tcBorders>
              <w:top w:val="nil"/>
              <w:left w:val="nil"/>
              <w:bottom w:val="nil"/>
              <w:right w:val="nil"/>
            </w:tcBorders>
          </w:tcPr>
          <w:p w14:paraId="49286597" w14:textId="77777777" w:rsidR="00B05169" w:rsidRPr="00F639E3" w:rsidRDefault="00B05169" w:rsidP="00196724">
            <w:pPr>
              <w:jc w:val="center"/>
              <w:rPr>
                <w:color w:val="000000" w:themeColor="text1"/>
              </w:rPr>
            </w:pPr>
            <w:r w:rsidRPr="00F639E3">
              <w:rPr>
                <w:color w:val="000000" w:themeColor="text1"/>
              </w:rPr>
              <w:t>0.21</w:t>
            </w:r>
          </w:p>
        </w:tc>
      </w:tr>
      <w:tr w:rsidR="00F639E3" w:rsidRPr="00F639E3" w14:paraId="463358FC" w14:textId="77777777" w:rsidTr="00196724">
        <w:tc>
          <w:tcPr>
            <w:tcW w:w="1925" w:type="dxa"/>
            <w:tcBorders>
              <w:top w:val="nil"/>
              <w:left w:val="nil"/>
              <w:bottom w:val="nil"/>
              <w:right w:val="nil"/>
            </w:tcBorders>
          </w:tcPr>
          <w:p w14:paraId="59ED97A5" w14:textId="77777777" w:rsidR="00B05169" w:rsidRPr="00F639E3" w:rsidRDefault="00B05169" w:rsidP="00196724">
            <w:pPr>
              <w:jc w:val="center"/>
              <w:rPr>
                <w:color w:val="000000" w:themeColor="text1"/>
              </w:rPr>
            </w:pPr>
            <w:r w:rsidRPr="00F639E3">
              <w:rPr>
                <w:color w:val="000000" w:themeColor="text1"/>
              </w:rPr>
              <w:t>Right posterior</w:t>
            </w:r>
          </w:p>
        </w:tc>
        <w:tc>
          <w:tcPr>
            <w:tcW w:w="857" w:type="dxa"/>
            <w:tcBorders>
              <w:top w:val="nil"/>
              <w:left w:val="nil"/>
              <w:bottom w:val="nil"/>
              <w:right w:val="nil"/>
            </w:tcBorders>
          </w:tcPr>
          <w:p w14:paraId="0ADF78D3" w14:textId="77777777" w:rsidR="00B05169" w:rsidRPr="00F639E3" w:rsidRDefault="00B05169" w:rsidP="00196724">
            <w:pPr>
              <w:jc w:val="center"/>
              <w:rPr>
                <w:color w:val="000000" w:themeColor="text1"/>
              </w:rPr>
            </w:pPr>
            <w:r w:rsidRPr="00F639E3">
              <w:rPr>
                <w:color w:val="000000" w:themeColor="text1"/>
              </w:rPr>
              <w:t>-1.61</w:t>
            </w:r>
          </w:p>
        </w:tc>
        <w:tc>
          <w:tcPr>
            <w:tcW w:w="664" w:type="dxa"/>
            <w:tcBorders>
              <w:top w:val="nil"/>
              <w:left w:val="nil"/>
              <w:bottom w:val="nil"/>
              <w:right w:val="nil"/>
            </w:tcBorders>
          </w:tcPr>
          <w:p w14:paraId="3A2AEF00" w14:textId="77777777" w:rsidR="00B05169" w:rsidRPr="00F639E3" w:rsidRDefault="00B05169" w:rsidP="00196724">
            <w:pPr>
              <w:jc w:val="center"/>
              <w:rPr>
                <w:color w:val="000000" w:themeColor="text1"/>
              </w:rPr>
            </w:pPr>
            <w:r w:rsidRPr="00F639E3">
              <w:rPr>
                <w:color w:val="000000" w:themeColor="text1"/>
              </w:rPr>
              <w:t>2.72</w:t>
            </w:r>
          </w:p>
        </w:tc>
        <w:tc>
          <w:tcPr>
            <w:tcW w:w="807" w:type="dxa"/>
            <w:tcBorders>
              <w:top w:val="nil"/>
              <w:left w:val="nil"/>
              <w:bottom w:val="nil"/>
              <w:right w:val="nil"/>
            </w:tcBorders>
          </w:tcPr>
          <w:p w14:paraId="1C1F9D42" w14:textId="77777777" w:rsidR="00B05169" w:rsidRPr="00F639E3" w:rsidRDefault="00B05169" w:rsidP="00196724">
            <w:pPr>
              <w:jc w:val="center"/>
              <w:rPr>
                <w:color w:val="000000" w:themeColor="text1"/>
              </w:rPr>
            </w:pPr>
            <w:r w:rsidRPr="00F639E3">
              <w:rPr>
                <w:color w:val="000000" w:themeColor="text1"/>
              </w:rPr>
              <w:t>-1.46</w:t>
            </w:r>
          </w:p>
        </w:tc>
        <w:tc>
          <w:tcPr>
            <w:tcW w:w="851" w:type="dxa"/>
            <w:tcBorders>
              <w:top w:val="nil"/>
              <w:left w:val="nil"/>
              <w:bottom w:val="nil"/>
              <w:right w:val="nil"/>
            </w:tcBorders>
          </w:tcPr>
          <w:p w14:paraId="03E0A0AE" w14:textId="77777777" w:rsidR="00B05169" w:rsidRPr="00F639E3" w:rsidRDefault="00B05169" w:rsidP="00196724">
            <w:pPr>
              <w:jc w:val="center"/>
              <w:rPr>
                <w:color w:val="000000" w:themeColor="text1"/>
              </w:rPr>
            </w:pPr>
            <w:r w:rsidRPr="00F639E3">
              <w:rPr>
                <w:color w:val="000000" w:themeColor="text1"/>
              </w:rPr>
              <w:t>1.53</w:t>
            </w:r>
          </w:p>
        </w:tc>
        <w:tc>
          <w:tcPr>
            <w:tcW w:w="850" w:type="dxa"/>
            <w:tcBorders>
              <w:top w:val="nil"/>
              <w:left w:val="nil"/>
              <w:bottom w:val="nil"/>
              <w:right w:val="nil"/>
            </w:tcBorders>
          </w:tcPr>
          <w:p w14:paraId="5B80F36C" w14:textId="77777777" w:rsidR="00B05169" w:rsidRPr="00F639E3" w:rsidRDefault="00B05169" w:rsidP="00196724">
            <w:pPr>
              <w:jc w:val="center"/>
              <w:rPr>
                <w:color w:val="000000" w:themeColor="text1"/>
              </w:rPr>
            </w:pPr>
            <w:r w:rsidRPr="00F639E3">
              <w:rPr>
                <w:color w:val="000000" w:themeColor="text1"/>
              </w:rPr>
              <w:t>-0.98</w:t>
            </w:r>
          </w:p>
        </w:tc>
        <w:tc>
          <w:tcPr>
            <w:tcW w:w="851" w:type="dxa"/>
            <w:tcBorders>
              <w:top w:val="nil"/>
              <w:left w:val="nil"/>
              <w:bottom w:val="nil"/>
              <w:right w:val="nil"/>
            </w:tcBorders>
          </w:tcPr>
          <w:p w14:paraId="7D07699F" w14:textId="77777777" w:rsidR="00B05169" w:rsidRPr="00F639E3" w:rsidRDefault="00B05169" w:rsidP="00196724">
            <w:pPr>
              <w:jc w:val="center"/>
              <w:rPr>
                <w:color w:val="000000" w:themeColor="text1"/>
              </w:rPr>
            </w:pPr>
            <w:r w:rsidRPr="00F639E3">
              <w:rPr>
                <w:color w:val="000000" w:themeColor="text1"/>
              </w:rPr>
              <w:t>1.08</w:t>
            </w:r>
          </w:p>
        </w:tc>
        <w:tc>
          <w:tcPr>
            <w:tcW w:w="850" w:type="dxa"/>
            <w:tcBorders>
              <w:top w:val="nil"/>
              <w:left w:val="nil"/>
              <w:bottom w:val="nil"/>
              <w:right w:val="nil"/>
            </w:tcBorders>
          </w:tcPr>
          <w:p w14:paraId="206BEE7A" w14:textId="77777777" w:rsidR="00B05169" w:rsidRPr="00F639E3" w:rsidRDefault="00B05169" w:rsidP="00196724">
            <w:pPr>
              <w:jc w:val="center"/>
              <w:rPr>
                <w:color w:val="000000" w:themeColor="text1"/>
              </w:rPr>
            </w:pPr>
            <w:r w:rsidRPr="00F639E3">
              <w:rPr>
                <w:color w:val="000000" w:themeColor="text1"/>
              </w:rPr>
              <w:t>-0.74</w:t>
            </w:r>
          </w:p>
        </w:tc>
        <w:tc>
          <w:tcPr>
            <w:tcW w:w="851" w:type="dxa"/>
            <w:tcBorders>
              <w:top w:val="nil"/>
              <w:left w:val="nil"/>
              <w:bottom w:val="nil"/>
              <w:right w:val="nil"/>
            </w:tcBorders>
          </w:tcPr>
          <w:p w14:paraId="67A87F95" w14:textId="77777777" w:rsidR="00B05169" w:rsidRPr="00F639E3" w:rsidRDefault="00B05169" w:rsidP="00196724">
            <w:pPr>
              <w:jc w:val="center"/>
              <w:rPr>
                <w:color w:val="000000" w:themeColor="text1"/>
              </w:rPr>
            </w:pPr>
            <w:r w:rsidRPr="00F639E3">
              <w:rPr>
                <w:color w:val="000000" w:themeColor="text1"/>
              </w:rPr>
              <w:t>0.67</w:t>
            </w:r>
          </w:p>
        </w:tc>
      </w:tr>
      <w:tr w:rsidR="00F639E3" w:rsidRPr="00F639E3" w14:paraId="1B411C37" w14:textId="77777777" w:rsidTr="00196724">
        <w:tc>
          <w:tcPr>
            <w:tcW w:w="1925" w:type="dxa"/>
            <w:tcBorders>
              <w:top w:val="nil"/>
              <w:left w:val="nil"/>
              <w:bottom w:val="nil"/>
              <w:right w:val="nil"/>
            </w:tcBorders>
          </w:tcPr>
          <w:p w14:paraId="3AE99DEE" w14:textId="77777777" w:rsidR="00B05169" w:rsidRPr="00F639E3" w:rsidRDefault="00B05169" w:rsidP="00196724">
            <w:pPr>
              <w:jc w:val="center"/>
              <w:rPr>
                <w:color w:val="000000" w:themeColor="text1"/>
              </w:rPr>
            </w:pPr>
            <w:r w:rsidRPr="00F639E3">
              <w:rPr>
                <w:color w:val="000000" w:themeColor="text1"/>
              </w:rPr>
              <w:t>Fz</w:t>
            </w:r>
          </w:p>
        </w:tc>
        <w:tc>
          <w:tcPr>
            <w:tcW w:w="857" w:type="dxa"/>
            <w:tcBorders>
              <w:top w:val="nil"/>
              <w:left w:val="nil"/>
              <w:bottom w:val="nil"/>
              <w:right w:val="nil"/>
            </w:tcBorders>
          </w:tcPr>
          <w:p w14:paraId="2F5C79E5" w14:textId="77777777" w:rsidR="00B05169" w:rsidRPr="00F639E3" w:rsidRDefault="00B05169" w:rsidP="00196724">
            <w:pPr>
              <w:jc w:val="center"/>
              <w:rPr>
                <w:color w:val="000000" w:themeColor="text1"/>
              </w:rPr>
            </w:pPr>
            <w:r w:rsidRPr="00F639E3">
              <w:rPr>
                <w:color w:val="000000" w:themeColor="text1"/>
              </w:rPr>
              <w:t>-0.97</w:t>
            </w:r>
          </w:p>
        </w:tc>
        <w:tc>
          <w:tcPr>
            <w:tcW w:w="664" w:type="dxa"/>
            <w:tcBorders>
              <w:top w:val="nil"/>
              <w:left w:val="nil"/>
              <w:bottom w:val="nil"/>
              <w:right w:val="nil"/>
            </w:tcBorders>
          </w:tcPr>
          <w:p w14:paraId="09BD1625" w14:textId="77777777" w:rsidR="00B05169" w:rsidRPr="00F639E3" w:rsidRDefault="00B05169" w:rsidP="00196724">
            <w:pPr>
              <w:jc w:val="center"/>
              <w:rPr>
                <w:color w:val="000000" w:themeColor="text1"/>
              </w:rPr>
            </w:pPr>
            <w:r w:rsidRPr="00F639E3">
              <w:rPr>
                <w:color w:val="000000" w:themeColor="text1"/>
              </w:rPr>
              <w:t>2.74</w:t>
            </w:r>
          </w:p>
        </w:tc>
        <w:tc>
          <w:tcPr>
            <w:tcW w:w="807" w:type="dxa"/>
            <w:tcBorders>
              <w:top w:val="nil"/>
              <w:left w:val="nil"/>
              <w:bottom w:val="nil"/>
              <w:right w:val="nil"/>
            </w:tcBorders>
          </w:tcPr>
          <w:p w14:paraId="360735A6" w14:textId="77777777" w:rsidR="00B05169" w:rsidRPr="00F639E3" w:rsidRDefault="00B05169" w:rsidP="00196724">
            <w:pPr>
              <w:jc w:val="center"/>
              <w:rPr>
                <w:color w:val="000000" w:themeColor="text1"/>
              </w:rPr>
            </w:pPr>
            <w:r w:rsidRPr="00F639E3">
              <w:rPr>
                <w:color w:val="000000" w:themeColor="text1"/>
              </w:rPr>
              <w:t>-1.20</w:t>
            </w:r>
          </w:p>
        </w:tc>
        <w:tc>
          <w:tcPr>
            <w:tcW w:w="851" w:type="dxa"/>
            <w:tcBorders>
              <w:top w:val="nil"/>
              <w:left w:val="nil"/>
              <w:bottom w:val="nil"/>
              <w:right w:val="nil"/>
            </w:tcBorders>
          </w:tcPr>
          <w:p w14:paraId="4DA20196" w14:textId="77777777" w:rsidR="00B05169" w:rsidRPr="00F639E3" w:rsidRDefault="00B05169" w:rsidP="00196724">
            <w:pPr>
              <w:jc w:val="center"/>
              <w:rPr>
                <w:color w:val="000000" w:themeColor="text1"/>
              </w:rPr>
            </w:pPr>
            <w:r w:rsidRPr="00F639E3">
              <w:rPr>
                <w:color w:val="000000" w:themeColor="text1"/>
              </w:rPr>
              <w:t>1.60</w:t>
            </w:r>
          </w:p>
        </w:tc>
        <w:tc>
          <w:tcPr>
            <w:tcW w:w="850" w:type="dxa"/>
            <w:tcBorders>
              <w:top w:val="nil"/>
              <w:left w:val="nil"/>
              <w:bottom w:val="nil"/>
              <w:right w:val="nil"/>
            </w:tcBorders>
          </w:tcPr>
          <w:p w14:paraId="5B23C0FD" w14:textId="77777777" w:rsidR="00B05169" w:rsidRPr="00F639E3" w:rsidRDefault="00B05169" w:rsidP="00196724">
            <w:pPr>
              <w:jc w:val="center"/>
              <w:rPr>
                <w:color w:val="000000" w:themeColor="text1"/>
              </w:rPr>
            </w:pPr>
            <w:r w:rsidRPr="00F639E3">
              <w:rPr>
                <w:color w:val="000000" w:themeColor="text1"/>
              </w:rPr>
              <w:t>-0.26</w:t>
            </w:r>
          </w:p>
        </w:tc>
        <w:tc>
          <w:tcPr>
            <w:tcW w:w="851" w:type="dxa"/>
            <w:tcBorders>
              <w:top w:val="nil"/>
              <w:left w:val="nil"/>
              <w:bottom w:val="nil"/>
              <w:right w:val="nil"/>
            </w:tcBorders>
          </w:tcPr>
          <w:p w14:paraId="05AFA087" w14:textId="77777777" w:rsidR="00B05169" w:rsidRPr="00F639E3" w:rsidRDefault="00B05169" w:rsidP="00196724">
            <w:pPr>
              <w:jc w:val="center"/>
              <w:rPr>
                <w:color w:val="000000" w:themeColor="text1"/>
              </w:rPr>
            </w:pPr>
            <w:r w:rsidRPr="00F639E3">
              <w:rPr>
                <w:color w:val="000000" w:themeColor="text1"/>
              </w:rPr>
              <w:t>1.09</w:t>
            </w:r>
          </w:p>
        </w:tc>
        <w:tc>
          <w:tcPr>
            <w:tcW w:w="850" w:type="dxa"/>
            <w:tcBorders>
              <w:top w:val="nil"/>
              <w:left w:val="nil"/>
              <w:bottom w:val="nil"/>
              <w:right w:val="nil"/>
            </w:tcBorders>
          </w:tcPr>
          <w:p w14:paraId="3DADFCC3" w14:textId="77777777" w:rsidR="00B05169" w:rsidRPr="00F639E3" w:rsidRDefault="00B05169" w:rsidP="00196724">
            <w:pPr>
              <w:jc w:val="center"/>
              <w:rPr>
                <w:color w:val="000000" w:themeColor="text1"/>
              </w:rPr>
            </w:pPr>
            <w:r w:rsidRPr="00F639E3">
              <w:rPr>
                <w:color w:val="000000" w:themeColor="text1"/>
              </w:rPr>
              <w:t>-0.85</w:t>
            </w:r>
          </w:p>
        </w:tc>
        <w:tc>
          <w:tcPr>
            <w:tcW w:w="851" w:type="dxa"/>
            <w:tcBorders>
              <w:top w:val="nil"/>
              <w:left w:val="nil"/>
              <w:bottom w:val="nil"/>
              <w:right w:val="nil"/>
            </w:tcBorders>
          </w:tcPr>
          <w:p w14:paraId="56C694A3" w14:textId="77777777" w:rsidR="00B05169" w:rsidRPr="00F639E3" w:rsidRDefault="00B05169" w:rsidP="00196724">
            <w:pPr>
              <w:jc w:val="center"/>
              <w:rPr>
                <w:color w:val="000000" w:themeColor="text1"/>
              </w:rPr>
            </w:pPr>
            <w:r w:rsidRPr="00F639E3">
              <w:rPr>
                <w:color w:val="000000" w:themeColor="text1"/>
              </w:rPr>
              <w:t>-0.17</w:t>
            </w:r>
          </w:p>
        </w:tc>
      </w:tr>
      <w:tr w:rsidR="00F639E3" w:rsidRPr="00F639E3" w14:paraId="66227C23" w14:textId="77777777" w:rsidTr="00196724">
        <w:tc>
          <w:tcPr>
            <w:tcW w:w="1925" w:type="dxa"/>
            <w:tcBorders>
              <w:top w:val="nil"/>
              <w:left w:val="nil"/>
              <w:bottom w:val="nil"/>
              <w:right w:val="nil"/>
            </w:tcBorders>
          </w:tcPr>
          <w:p w14:paraId="2BE42C25" w14:textId="77777777" w:rsidR="00B05169" w:rsidRPr="00F639E3" w:rsidRDefault="00B05169" w:rsidP="00196724">
            <w:pPr>
              <w:jc w:val="center"/>
              <w:rPr>
                <w:color w:val="000000" w:themeColor="text1"/>
              </w:rPr>
            </w:pPr>
            <w:r w:rsidRPr="00F639E3">
              <w:rPr>
                <w:color w:val="000000" w:themeColor="text1"/>
              </w:rPr>
              <w:t>Cz</w:t>
            </w:r>
          </w:p>
        </w:tc>
        <w:tc>
          <w:tcPr>
            <w:tcW w:w="857" w:type="dxa"/>
            <w:tcBorders>
              <w:top w:val="nil"/>
              <w:left w:val="nil"/>
              <w:bottom w:val="nil"/>
              <w:right w:val="nil"/>
            </w:tcBorders>
          </w:tcPr>
          <w:p w14:paraId="6B7E49D3" w14:textId="77777777" w:rsidR="00B05169" w:rsidRPr="00F639E3" w:rsidRDefault="00B05169" w:rsidP="00196724">
            <w:pPr>
              <w:jc w:val="center"/>
              <w:rPr>
                <w:color w:val="000000" w:themeColor="text1"/>
              </w:rPr>
            </w:pPr>
            <w:r w:rsidRPr="00F639E3">
              <w:rPr>
                <w:color w:val="000000" w:themeColor="text1"/>
              </w:rPr>
              <w:t>-1.54</w:t>
            </w:r>
          </w:p>
        </w:tc>
        <w:tc>
          <w:tcPr>
            <w:tcW w:w="664" w:type="dxa"/>
            <w:tcBorders>
              <w:top w:val="nil"/>
              <w:left w:val="nil"/>
              <w:bottom w:val="nil"/>
              <w:right w:val="nil"/>
            </w:tcBorders>
          </w:tcPr>
          <w:p w14:paraId="66E3214E" w14:textId="77777777" w:rsidR="00B05169" w:rsidRPr="00F639E3" w:rsidRDefault="00B05169" w:rsidP="00196724">
            <w:pPr>
              <w:jc w:val="center"/>
              <w:rPr>
                <w:color w:val="000000" w:themeColor="text1"/>
              </w:rPr>
            </w:pPr>
            <w:r w:rsidRPr="00F639E3">
              <w:rPr>
                <w:color w:val="000000" w:themeColor="text1"/>
              </w:rPr>
              <w:t>3.47</w:t>
            </w:r>
          </w:p>
        </w:tc>
        <w:tc>
          <w:tcPr>
            <w:tcW w:w="807" w:type="dxa"/>
            <w:tcBorders>
              <w:top w:val="nil"/>
              <w:left w:val="nil"/>
              <w:bottom w:val="nil"/>
              <w:right w:val="nil"/>
            </w:tcBorders>
          </w:tcPr>
          <w:p w14:paraId="32819EB4" w14:textId="77777777" w:rsidR="00B05169" w:rsidRPr="00F639E3" w:rsidRDefault="00B05169" w:rsidP="00196724">
            <w:pPr>
              <w:jc w:val="center"/>
              <w:rPr>
                <w:color w:val="000000" w:themeColor="text1"/>
              </w:rPr>
            </w:pPr>
            <w:r w:rsidRPr="00F639E3">
              <w:rPr>
                <w:color w:val="000000" w:themeColor="text1"/>
              </w:rPr>
              <w:t>-2.31</w:t>
            </w:r>
          </w:p>
        </w:tc>
        <w:tc>
          <w:tcPr>
            <w:tcW w:w="851" w:type="dxa"/>
            <w:tcBorders>
              <w:top w:val="nil"/>
              <w:left w:val="nil"/>
              <w:bottom w:val="nil"/>
              <w:right w:val="nil"/>
            </w:tcBorders>
          </w:tcPr>
          <w:p w14:paraId="31B2326A" w14:textId="77777777" w:rsidR="00B05169" w:rsidRPr="00F639E3" w:rsidRDefault="00B05169" w:rsidP="00196724">
            <w:pPr>
              <w:jc w:val="center"/>
              <w:rPr>
                <w:color w:val="000000" w:themeColor="text1"/>
              </w:rPr>
            </w:pPr>
            <w:r w:rsidRPr="00F639E3">
              <w:rPr>
                <w:color w:val="000000" w:themeColor="text1"/>
              </w:rPr>
              <w:t>1.13</w:t>
            </w:r>
          </w:p>
        </w:tc>
        <w:tc>
          <w:tcPr>
            <w:tcW w:w="850" w:type="dxa"/>
            <w:tcBorders>
              <w:top w:val="nil"/>
              <w:left w:val="nil"/>
              <w:bottom w:val="nil"/>
              <w:right w:val="nil"/>
            </w:tcBorders>
          </w:tcPr>
          <w:p w14:paraId="1C44C9E0" w14:textId="77777777" w:rsidR="00B05169" w:rsidRPr="00F639E3" w:rsidRDefault="00B05169" w:rsidP="00196724">
            <w:pPr>
              <w:jc w:val="center"/>
              <w:rPr>
                <w:color w:val="000000" w:themeColor="text1"/>
              </w:rPr>
            </w:pPr>
            <w:r w:rsidRPr="00F639E3">
              <w:rPr>
                <w:color w:val="000000" w:themeColor="text1"/>
              </w:rPr>
              <w:t>-0.22</w:t>
            </w:r>
          </w:p>
        </w:tc>
        <w:tc>
          <w:tcPr>
            <w:tcW w:w="851" w:type="dxa"/>
            <w:tcBorders>
              <w:top w:val="nil"/>
              <w:left w:val="nil"/>
              <w:bottom w:val="nil"/>
              <w:right w:val="nil"/>
            </w:tcBorders>
          </w:tcPr>
          <w:p w14:paraId="16016727" w14:textId="77777777" w:rsidR="00B05169" w:rsidRPr="00F639E3" w:rsidRDefault="00B05169" w:rsidP="00196724">
            <w:pPr>
              <w:jc w:val="center"/>
              <w:rPr>
                <w:color w:val="000000" w:themeColor="text1"/>
              </w:rPr>
            </w:pPr>
            <w:r w:rsidRPr="00F639E3">
              <w:rPr>
                <w:color w:val="000000" w:themeColor="text1"/>
              </w:rPr>
              <w:t>1.28</w:t>
            </w:r>
          </w:p>
        </w:tc>
        <w:tc>
          <w:tcPr>
            <w:tcW w:w="850" w:type="dxa"/>
            <w:tcBorders>
              <w:top w:val="nil"/>
              <w:left w:val="nil"/>
              <w:bottom w:val="nil"/>
              <w:right w:val="nil"/>
            </w:tcBorders>
          </w:tcPr>
          <w:p w14:paraId="4EDEEF4D" w14:textId="77777777" w:rsidR="00B05169" w:rsidRPr="00F639E3" w:rsidRDefault="00B05169" w:rsidP="00196724">
            <w:pPr>
              <w:jc w:val="center"/>
              <w:rPr>
                <w:color w:val="000000" w:themeColor="text1"/>
              </w:rPr>
            </w:pPr>
            <w:r w:rsidRPr="00F639E3">
              <w:rPr>
                <w:color w:val="000000" w:themeColor="text1"/>
              </w:rPr>
              <w:t>-0.81</w:t>
            </w:r>
          </w:p>
        </w:tc>
        <w:tc>
          <w:tcPr>
            <w:tcW w:w="851" w:type="dxa"/>
            <w:tcBorders>
              <w:top w:val="nil"/>
              <w:left w:val="nil"/>
              <w:bottom w:val="nil"/>
              <w:right w:val="nil"/>
            </w:tcBorders>
          </w:tcPr>
          <w:p w14:paraId="598F3649" w14:textId="77777777" w:rsidR="00B05169" w:rsidRPr="00F639E3" w:rsidRDefault="00B05169" w:rsidP="00196724">
            <w:pPr>
              <w:jc w:val="center"/>
              <w:rPr>
                <w:color w:val="000000" w:themeColor="text1"/>
              </w:rPr>
            </w:pPr>
            <w:r w:rsidRPr="00F639E3">
              <w:rPr>
                <w:color w:val="000000" w:themeColor="text1"/>
              </w:rPr>
              <w:t>0.32</w:t>
            </w:r>
          </w:p>
        </w:tc>
      </w:tr>
      <w:tr w:rsidR="00F639E3" w:rsidRPr="00F639E3" w14:paraId="59C97919" w14:textId="77777777" w:rsidTr="00196724">
        <w:tc>
          <w:tcPr>
            <w:tcW w:w="1925" w:type="dxa"/>
            <w:tcBorders>
              <w:top w:val="nil"/>
              <w:left w:val="nil"/>
              <w:right w:val="nil"/>
            </w:tcBorders>
          </w:tcPr>
          <w:p w14:paraId="540140F3" w14:textId="77777777" w:rsidR="00B05169" w:rsidRPr="00F639E3" w:rsidRDefault="00B05169" w:rsidP="00196724">
            <w:pPr>
              <w:jc w:val="center"/>
              <w:rPr>
                <w:color w:val="000000" w:themeColor="text1"/>
              </w:rPr>
            </w:pPr>
            <w:r w:rsidRPr="00F639E3">
              <w:rPr>
                <w:color w:val="000000" w:themeColor="text1"/>
              </w:rPr>
              <w:t>Pz</w:t>
            </w:r>
          </w:p>
        </w:tc>
        <w:tc>
          <w:tcPr>
            <w:tcW w:w="857" w:type="dxa"/>
            <w:tcBorders>
              <w:top w:val="nil"/>
              <w:left w:val="nil"/>
              <w:right w:val="nil"/>
            </w:tcBorders>
          </w:tcPr>
          <w:p w14:paraId="4F259C3E" w14:textId="77777777" w:rsidR="00B05169" w:rsidRPr="00F639E3" w:rsidRDefault="00B05169" w:rsidP="00196724">
            <w:pPr>
              <w:jc w:val="center"/>
              <w:rPr>
                <w:color w:val="000000" w:themeColor="text1"/>
              </w:rPr>
            </w:pPr>
            <w:r w:rsidRPr="00F639E3">
              <w:rPr>
                <w:color w:val="000000" w:themeColor="text1"/>
              </w:rPr>
              <w:t>-1.34</w:t>
            </w:r>
          </w:p>
        </w:tc>
        <w:tc>
          <w:tcPr>
            <w:tcW w:w="664" w:type="dxa"/>
            <w:tcBorders>
              <w:top w:val="nil"/>
              <w:left w:val="nil"/>
              <w:right w:val="nil"/>
            </w:tcBorders>
          </w:tcPr>
          <w:p w14:paraId="70E7DAED" w14:textId="77777777" w:rsidR="00B05169" w:rsidRPr="00F639E3" w:rsidRDefault="00B05169" w:rsidP="00196724">
            <w:pPr>
              <w:jc w:val="center"/>
              <w:rPr>
                <w:color w:val="000000" w:themeColor="text1"/>
              </w:rPr>
            </w:pPr>
            <w:r w:rsidRPr="00F639E3">
              <w:rPr>
                <w:color w:val="000000" w:themeColor="text1"/>
              </w:rPr>
              <w:t>3.81</w:t>
            </w:r>
          </w:p>
        </w:tc>
        <w:tc>
          <w:tcPr>
            <w:tcW w:w="807" w:type="dxa"/>
            <w:tcBorders>
              <w:top w:val="nil"/>
              <w:left w:val="nil"/>
              <w:right w:val="nil"/>
            </w:tcBorders>
          </w:tcPr>
          <w:p w14:paraId="09C69F3A" w14:textId="77777777" w:rsidR="00B05169" w:rsidRPr="00F639E3" w:rsidRDefault="00B05169" w:rsidP="00196724">
            <w:pPr>
              <w:jc w:val="center"/>
              <w:rPr>
                <w:color w:val="000000" w:themeColor="text1"/>
              </w:rPr>
            </w:pPr>
            <w:r w:rsidRPr="00F639E3">
              <w:rPr>
                <w:color w:val="000000" w:themeColor="text1"/>
              </w:rPr>
              <w:t>-1.33</w:t>
            </w:r>
          </w:p>
        </w:tc>
        <w:tc>
          <w:tcPr>
            <w:tcW w:w="851" w:type="dxa"/>
            <w:tcBorders>
              <w:top w:val="nil"/>
              <w:left w:val="nil"/>
              <w:right w:val="nil"/>
            </w:tcBorders>
          </w:tcPr>
          <w:p w14:paraId="23D7218E" w14:textId="77777777" w:rsidR="00B05169" w:rsidRPr="00F639E3" w:rsidRDefault="00B05169" w:rsidP="00196724">
            <w:pPr>
              <w:jc w:val="center"/>
              <w:rPr>
                <w:color w:val="000000" w:themeColor="text1"/>
              </w:rPr>
            </w:pPr>
            <w:r w:rsidRPr="00F639E3">
              <w:rPr>
                <w:color w:val="000000" w:themeColor="text1"/>
              </w:rPr>
              <w:t>2.04</w:t>
            </w:r>
          </w:p>
        </w:tc>
        <w:tc>
          <w:tcPr>
            <w:tcW w:w="850" w:type="dxa"/>
            <w:tcBorders>
              <w:top w:val="nil"/>
              <w:left w:val="nil"/>
              <w:right w:val="nil"/>
            </w:tcBorders>
          </w:tcPr>
          <w:p w14:paraId="0F2F01E1" w14:textId="77777777" w:rsidR="00B05169" w:rsidRPr="00F639E3" w:rsidRDefault="00B05169" w:rsidP="00196724">
            <w:pPr>
              <w:jc w:val="center"/>
              <w:rPr>
                <w:color w:val="000000" w:themeColor="text1"/>
              </w:rPr>
            </w:pPr>
            <w:r w:rsidRPr="00F639E3">
              <w:rPr>
                <w:color w:val="000000" w:themeColor="text1"/>
              </w:rPr>
              <w:t>-0.56</w:t>
            </w:r>
          </w:p>
        </w:tc>
        <w:tc>
          <w:tcPr>
            <w:tcW w:w="851" w:type="dxa"/>
            <w:tcBorders>
              <w:top w:val="nil"/>
              <w:left w:val="nil"/>
              <w:right w:val="nil"/>
            </w:tcBorders>
          </w:tcPr>
          <w:p w14:paraId="1967DE8C" w14:textId="77777777" w:rsidR="00B05169" w:rsidRPr="00F639E3" w:rsidRDefault="00B05169" w:rsidP="00196724">
            <w:pPr>
              <w:jc w:val="center"/>
              <w:rPr>
                <w:color w:val="000000" w:themeColor="text1"/>
              </w:rPr>
            </w:pPr>
            <w:r w:rsidRPr="00F639E3">
              <w:rPr>
                <w:color w:val="000000" w:themeColor="text1"/>
              </w:rPr>
              <w:t>1.81</w:t>
            </w:r>
          </w:p>
        </w:tc>
        <w:tc>
          <w:tcPr>
            <w:tcW w:w="850" w:type="dxa"/>
            <w:tcBorders>
              <w:top w:val="nil"/>
              <w:left w:val="nil"/>
              <w:right w:val="nil"/>
            </w:tcBorders>
          </w:tcPr>
          <w:p w14:paraId="40D1511D" w14:textId="77777777" w:rsidR="00B05169" w:rsidRPr="00F639E3" w:rsidRDefault="00B05169" w:rsidP="00196724">
            <w:pPr>
              <w:jc w:val="center"/>
              <w:rPr>
                <w:color w:val="000000" w:themeColor="text1"/>
              </w:rPr>
            </w:pPr>
            <w:r w:rsidRPr="00F639E3">
              <w:rPr>
                <w:color w:val="000000" w:themeColor="text1"/>
              </w:rPr>
              <w:t>-0.89</w:t>
            </w:r>
          </w:p>
        </w:tc>
        <w:tc>
          <w:tcPr>
            <w:tcW w:w="851" w:type="dxa"/>
            <w:tcBorders>
              <w:top w:val="nil"/>
              <w:left w:val="nil"/>
              <w:right w:val="nil"/>
            </w:tcBorders>
          </w:tcPr>
          <w:p w14:paraId="39219E7A" w14:textId="77777777" w:rsidR="00B05169" w:rsidRPr="00F639E3" w:rsidRDefault="00B05169" w:rsidP="00196724">
            <w:pPr>
              <w:jc w:val="center"/>
              <w:rPr>
                <w:color w:val="000000" w:themeColor="text1"/>
              </w:rPr>
            </w:pPr>
            <w:r w:rsidRPr="00F639E3">
              <w:rPr>
                <w:color w:val="000000" w:themeColor="text1"/>
              </w:rPr>
              <w:t>1.04</w:t>
            </w:r>
          </w:p>
        </w:tc>
      </w:tr>
    </w:tbl>
    <w:p w14:paraId="21379890" w14:textId="77777777" w:rsidR="00B05169" w:rsidRPr="00F639E3" w:rsidRDefault="00B05169" w:rsidP="00B05169">
      <w:pPr>
        <w:jc w:val="center"/>
        <w:rPr>
          <w:color w:val="000000" w:themeColor="text1"/>
        </w:rPr>
      </w:pPr>
    </w:p>
    <w:p w14:paraId="6CE4960A" w14:textId="77777777" w:rsidR="00B05169" w:rsidRPr="00F639E3" w:rsidRDefault="00B05169" w:rsidP="00B05169">
      <w:pPr>
        <w:rPr>
          <w:color w:val="000000" w:themeColor="text1"/>
        </w:rPr>
      </w:pPr>
    </w:p>
    <w:p w14:paraId="5027FB11" w14:textId="77777777" w:rsidR="00B05169" w:rsidRPr="00F639E3" w:rsidRDefault="00B05169">
      <w:pPr>
        <w:rPr>
          <w:color w:val="000000" w:themeColor="text1"/>
        </w:rPr>
      </w:pPr>
    </w:p>
    <w:sectPr w:rsidR="00B05169" w:rsidRPr="00F639E3" w:rsidSect="00E16C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4A"/>
    <w:rsid w:val="000D23BA"/>
    <w:rsid w:val="000D731C"/>
    <w:rsid w:val="00196724"/>
    <w:rsid w:val="001E0D5C"/>
    <w:rsid w:val="001F714A"/>
    <w:rsid w:val="00221E09"/>
    <w:rsid w:val="0022776B"/>
    <w:rsid w:val="002A2414"/>
    <w:rsid w:val="002D08B4"/>
    <w:rsid w:val="003C0B3E"/>
    <w:rsid w:val="004B0A4A"/>
    <w:rsid w:val="004F33D6"/>
    <w:rsid w:val="004F354D"/>
    <w:rsid w:val="00576529"/>
    <w:rsid w:val="005F20C4"/>
    <w:rsid w:val="007D1A23"/>
    <w:rsid w:val="0083636A"/>
    <w:rsid w:val="0093617B"/>
    <w:rsid w:val="00A51712"/>
    <w:rsid w:val="00B05169"/>
    <w:rsid w:val="00B46BD2"/>
    <w:rsid w:val="00B617B0"/>
    <w:rsid w:val="00C20CEB"/>
    <w:rsid w:val="00C77B30"/>
    <w:rsid w:val="00CC2BED"/>
    <w:rsid w:val="00D23BEC"/>
    <w:rsid w:val="00D808FD"/>
    <w:rsid w:val="00D82425"/>
    <w:rsid w:val="00D92CDD"/>
    <w:rsid w:val="00DE5586"/>
    <w:rsid w:val="00E16C30"/>
    <w:rsid w:val="00EB7B7D"/>
    <w:rsid w:val="00F639E3"/>
    <w:rsid w:val="00F9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8E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4A"/>
    <w:pPr>
      <w:widowControl w:val="0"/>
      <w:suppressAutoHyphens/>
      <w:autoSpaceDE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2A2414"/>
    <w:rPr>
      <w:sz w:val="18"/>
      <w:szCs w:val="18"/>
    </w:rPr>
  </w:style>
  <w:style w:type="paragraph" w:styleId="CommentText">
    <w:name w:val="annotation text"/>
    <w:basedOn w:val="Normal"/>
    <w:link w:val="CommentTextChar"/>
    <w:uiPriority w:val="99"/>
    <w:rsid w:val="002A2414"/>
    <w:rPr>
      <w:sz w:val="24"/>
      <w:szCs w:val="24"/>
    </w:rPr>
  </w:style>
  <w:style w:type="character" w:customStyle="1" w:styleId="CommentTextChar">
    <w:name w:val="Comment Text Char"/>
    <w:basedOn w:val="DefaultParagraphFont"/>
    <w:link w:val="CommentText"/>
    <w:uiPriority w:val="99"/>
    <w:rsid w:val="002A241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2414"/>
    <w:rPr>
      <w:sz w:val="18"/>
      <w:szCs w:val="18"/>
    </w:rPr>
  </w:style>
  <w:style w:type="character" w:customStyle="1" w:styleId="BalloonTextChar">
    <w:name w:val="Balloon Text Char"/>
    <w:basedOn w:val="DefaultParagraphFont"/>
    <w:link w:val="BalloonText"/>
    <w:uiPriority w:val="99"/>
    <w:semiHidden/>
    <w:rsid w:val="002A2414"/>
    <w:rPr>
      <w:rFonts w:ascii="Times New Roman" w:eastAsia="Times New Roman" w:hAnsi="Times New Roman" w:cs="Times New Roman"/>
      <w:sz w:val="18"/>
      <w:szCs w:val="18"/>
    </w:rPr>
  </w:style>
  <w:style w:type="table" w:styleId="TableGrid">
    <w:name w:val="Table Grid"/>
    <w:basedOn w:val="TableNormal"/>
    <w:uiPriority w:val="59"/>
    <w:rsid w:val="002D08B4"/>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46BD2"/>
    <w:rPr>
      <w:b/>
      <w:bCs/>
      <w:sz w:val="20"/>
      <w:szCs w:val="20"/>
    </w:rPr>
  </w:style>
  <w:style w:type="character" w:customStyle="1" w:styleId="CommentSubjectChar">
    <w:name w:val="Comment Subject Char"/>
    <w:basedOn w:val="CommentTextChar"/>
    <w:link w:val="CommentSubject"/>
    <w:uiPriority w:val="99"/>
    <w:semiHidden/>
    <w:rsid w:val="00B46B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80417">
      <w:bodyDiv w:val="1"/>
      <w:marLeft w:val="0"/>
      <w:marRight w:val="0"/>
      <w:marTop w:val="0"/>
      <w:marBottom w:val="0"/>
      <w:divBdr>
        <w:top w:val="none" w:sz="0" w:space="0" w:color="auto"/>
        <w:left w:val="none" w:sz="0" w:space="0" w:color="auto"/>
        <w:bottom w:val="none" w:sz="0" w:space="0" w:color="auto"/>
        <w:right w:val="none" w:sz="0" w:space="0" w:color="auto"/>
      </w:divBdr>
    </w:div>
    <w:div w:id="511991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btillmann/Desktop/btillmann/papers/submitted/tatiana-patients-Kotz/Tatiana-patients-revision/double_check_indiv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btillmann/Desktop/btillmann/papers/submitted/tatiana-patients-Kotz/Tatiana-patients-revision/double_check_indiv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'EEG INDIV FIGURES _MIDLINE_NG-G'!$B$4</c:f>
              <c:strCache>
                <c:ptCount val="1"/>
                <c:pt idx="0">
                  <c:v>p02</c:v>
                </c:pt>
              </c:strCache>
            </c:strRef>
          </c:tx>
          <c:spPr>
            <a:solidFill>
              <a:schemeClr val="tx1"/>
            </a:solidFill>
            <a:ln>
              <a:noFill/>
            </a:ln>
            <a:effectLst/>
          </c:spPr>
          <c:invertIfNegative val="0"/>
          <c:cat>
            <c:strRef>
              <c:f>'EEG INDIV FIGURES _MIDLINE_NG-G'!$C$3:$D$3</c:f>
              <c:strCache>
                <c:ptCount val="2"/>
                <c:pt idx="0">
                  <c:v>patients</c:v>
                </c:pt>
                <c:pt idx="1">
                  <c:v>controls</c:v>
                </c:pt>
              </c:strCache>
            </c:strRef>
          </c:cat>
          <c:val>
            <c:numRef>
              <c:f>'EEG INDIV FIGURES _MIDLINE_NG-G'!$C$4:$D$4</c:f>
              <c:numCache>
                <c:formatCode>General</c:formatCode>
                <c:ptCount val="2"/>
                <c:pt idx="0">
                  <c:v>-0.947234566666667</c:v>
                </c:pt>
                <c:pt idx="1">
                  <c:v>0.206686886666667</c:v>
                </c:pt>
              </c:numCache>
            </c:numRef>
          </c:val>
        </c:ser>
        <c:ser>
          <c:idx val="1"/>
          <c:order val="1"/>
          <c:tx>
            <c:strRef>
              <c:f>'EEG INDIV FIGURES _MIDLINE_NG-G'!$B$5</c:f>
              <c:strCache>
                <c:ptCount val="1"/>
                <c:pt idx="0">
                  <c:v>p03</c:v>
                </c:pt>
              </c:strCache>
            </c:strRef>
          </c:tx>
          <c:spPr>
            <a:solidFill>
              <a:schemeClr val="tx1"/>
            </a:solidFill>
            <a:ln>
              <a:noFill/>
            </a:ln>
            <a:effectLst/>
          </c:spPr>
          <c:invertIfNegative val="0"/>
          <c:cat>
            <c:strRef>
              <c:f>'EEG INDIV FIGURES _MIDLINE_NG-G'!$C$3:$D$3</c:f>
              <c:strCache>
                <c:ptCount val="2"/>
                <c:pt idx="0">
                  <c:v>patients</c:v>
                </c:pt>
                <c:pt idx="1">
                  <c:v>controls</c:v>
                </c:pt>
              </c:strCache>
            </c:strRef>
          </c:cat>
          <c:val>
            <c:numRef>
              <c:f>'EEG INDIV FIGURES _MIDLINE_NG-G'!$C$5:$D$5</c:f>
              <c:numCache>
                <c:formatCode>General</c:formatCode>
                <c:ptCount val="2"/>
                <c:pt idx="0">
                  <c:v>-0.09595674</c:v>
                </c:pt>
                <c:pt idx="1">
                  <c:v>0.110761</c:v>
                </c:pt>
              </c:numCache>
            </c:numRef>
          </c:val>
        </c:ser>
        <c:ser>
          <c:idx val="2"/>
          <c:order val="2"/>
          <c:tx>
            <c:strRef>
              <c:f>'EEG INDIV FIGURES _MIDLINE_NG-G'!$B$6</c:f>
              <c:strCache>
                <c:ptCount val="1"/>
                <c:pt idx="0">
                  <c:v>p04</c:v>
                </c:pt>
              </c:strCache>
            </c:strRef>
          </c:tx>
          <c:spPr>
            <a:solidFill>
              <a:schemeClr val="tx1"/>
            </a:solidFill>
            <a:ln>
              <a:noFill/>
            </a:ln>
            <a:effectLst/>
          </c:spPr>
          <c:invertIfNegative val="0"/>
          <c:cat>
            <c:strRef>
              <c:f>'EEG INDIV FIGURES _MIDLINE_NG-G'!$C$3:$D$3</c:f>
              <c:strCache>
                <c:ptCount val="2"/>
                <c:pt idx="0">
                  <c:v>patients</c:v>
                </c:pt>
                <c:pt idx="1">
                  <c:v>controls</c:v>
                </c:pt>
              </c:strCache>
            </c:strRef>
          </c:cat>
          <c:val>
            <c:numRef>
              <c:f>'EEG INDIV FIGURES _MIDLINE_NG-G'!$C$6:$D$6</c:f>
              <c:numCache>
                <c:formatCode>General</c:formatCode>
                <c:ptCount val="2"/>
                <c:pt idx="0">
                  <c:v>-0.726853966666667</c:v>
                </c:pt>
                <c:pt idx="1">
                  <c:v>-0.0136466666666668</c:v>
                </c:pt>
              </c:numCache>
            </c:numRef>
          </c:val>
        </c:ser>
        <c:ser>
          <c:idx val="3"/>
          <c:order val="3"/>
          <c:tx>
            <c:strRef>
              <c:f>'EEG INDIV FIGURES _MIDLINE_NG-G'!$B$7</c:f>
              <c:strCache>
                <c:ptCount val="1"/>
                <c:pt idx="0">
                  <c:v>p06</c:v>
                </c:pt>
              </c:strCache>
            </c:strRef>
          </c:tx>
          <c:spPr>
            <a:solidFill>
              <a:schemeClr val="tx1"/>
            </a:solidFill>
            <a:ln>
              <a:noFill/>
            </a:ln>
            <a:effectLst/>
          </c:spPr>
          <c:invertIfNegative val="0"/>
          <c:cat>
            <c:strRef>
              <c:f>'EEG INDIV FIGURES _MIDLINE_NG-G'!$C$3:$D$3</c:f>
              <c:strCache>
                <c:ptCount val="2"/>
                <c:pt idx="0">
                  <c:v>patients</c:v>
                </c:pt>
                <c:pt idx="1">
                  <c:v>controls</c:v>
                </c:pt>
              </c:strCache>
            </c:strRef>
          </c:cat>
          <c:val>
            <c:numRef>
              <c:f>'EEG INDIV FIGURES _MIDLINE_NG-G'!$C$7:$D$7</c:f>
              <c:numCache>
                <c:formatCode>General</c:formatCode>
                <c:ptCount val="2"/>
                <c:pt idx="0">
                  <c:v>-0.460114097866667</c:v>
                </c:pt>
                <c:pt idx="1">
                  <c:v>-1.298165035333333</c:v>
                </c:pt>
              </c:numCache>
            </c:numRef>
          </c:val>
        </c:ser>
        <c:ser>
          <c:idx val="4"/>
          <c:order val="4"/>
          <c:tx>
            <c:strRef>
              <c:f>'EEG INDIV FIGURES _MIDLINE_NG-G'!$B$8</c:f>
              <c:strCache>
                <c:ptCount val="1"/>
                <c:pt idx="0">
                  <c:v>p07</c:v>
                </c:pt>
              </c:strCache>
            </c:strRef>
          </c:tx>
          <c:spPr>
            <a:solidFill>
              <a:schemeClr val="tx1"/>
            </a:solidFill>
            <a:ln>
              <a:noFill/>
            </a:ln>
            <a:effectLst/>
          </c:spPr>
          <c:invertIfNegative val="0"/>
          <c:cat>
            <c:strRef>
              <c:f>'EEG INDIV FIGURES _MIDLINE_NG-G'!$C$3:$D$3</c:f>
              <c:strCache>
                <c:ptCount val="2"/>
                <c:pt idx="0">
                  <c:v>patients</c:v>
                </c:pt>
                <c:pt idx="1">
                  <c:v>controls</c:v>
                </c:pt>
              </c:strCache>
            </c:strRef>
          </c:cat>
          <c:val>
            <c:numRef>
              <c:f>'EEG INDIV FIGURES _MIDLINE_NG-G'!$C$8:$D$8</c:f>
              <c:numCache>
                <c:formatCode>General</c:formatCode>
                <c:ptCount val="2"/>
                <c:pt idx="0">
                  <c:v>-1.646206766666667</c:v>
                </c:pt>
                <c:pt idx="1">
                  <c:v>0.0804619333333332</c:v>
                </c:pt>
              </c:numCache>
            </c:numRef>
          </c:val>
        </c:ser>
        <c:ser>
          <c:idx val="5"/>
          <c:order val="5"/>
          <c:tx>
            <c:strRef>
              <c:f>'EEG INDIV FIGURES _MIDLINE_NG-G'!$B$9</c:f>
              <c:strCache>
                <c:ptCount val="1"/>
                <c:pt idx="0">
                  <c:v>p08</c:v>
                </c:pt>
              </c:strCache>
            </c:strRef>
          </c:tx>
          <c:spPr>
            <a:solidFill>
              <a:schemeClr val="tx1"/>
            </a:solidFill>
            <a:ln>
              <a:solidFill>
                <a:schemeClr val="tx1">
                  <a:lumMod val="15000"/>
                  <a:lumOff val="85000"/>
                </a:schemeClr>
              </a:solidFill>
            </a:ln>
          </c:spPr>
          <c:invertIfNegative val="0"/>
          <c:cat>
            <c:strRef>
              <c:f>'EEG INDIV FIGURES _MIDLINE_NG-G'!$C$3:$D$3</c:f>
              <c:strCache>
                <c:ptCount val="2"/>
                <c:pt idx="0">
                  <c:v>patients</c:v>
                </c:pt>
                <c:pt idx="1">
                  <c:v>controls</c:v>
                </c:pt>
              </c:strCache>
            </c:strRef>
          </c:cat>
          <c:val>
            <c:numRef>
              <c:f>'EEG INDIV FIGURES _MIDLINE_NG-G'!$C$9:$D$9</c:f>
              <c:numCache>
                <c:formatCode>General</c:formatCode>
                <c:ptCount val="2"/>
                <c:pt idx="0">
                  <c:v>-1.111196366666667</c:v>
                </c:pt>
                <c:pt idx="1">
                  <c:v>-0.142634133333333</c:v>
                </c:pt>
              </c:numCache>
            </c:numRef>
          </c:val>
        </c:ser>
        <c:ser>
          <c:idx val="6"/>
          <c:order val="6"/>
          <c:tx>
            <c:strRef>
              <c:f>'EEG INDIV FIGURES _MIDLINE_NG-G'!$B$10</c:f>
              <c:strCache>
                <c:ptCount val="1"/>
                <c:pt idx="0">
                  <c:v>p10</c:v>
                </c:pt>
              </c:strCache>
            </c:strRef>
          </c:tx>
          <c:spPr>
            <a:solidFill>
              <a:schemeClr val="tx1"/>
            </a:solidFill>
          </c:spPr>
          <c:invertIfNegative val="0"/>
          <c:cat>
            <c:strRef>
              <c:f>'EEG INDIV FIGURES _MIDLINE_NG-G'!$C$3:$D$3</c:f>
              <c:strCache>
                <c:ptCount val="2"/>
                <c:pt idx="0">
                  <c:v>patients</c:v>
                </c:pt>
                <c:pt idx="1">
                  <c:v>controls</c:v>
                </c:pt>
              </c:strCache>
            </c:strRef>
          </c:cat>
          <c:val>
            <c:numRef>
              <c:f>'EEG INDIV FIGURES _MIDLINE_NG-G'!$C$10:$D$10</c:f>
              <c:numCache>
                <c:formatCode>General</c:formatCode>
                <c:ptCount val="2"/>
                <c:pt idx="0">
                  <c:v>-1.7030859</c:v>
                </c:pt>
                <c:pt idx="1">
                  <c:v>-0.844705</c:v>
                </c:pt>
              </c:numCache>
            </c:numRef>
          </c:val>
        </c:ser>
        <c:ser>
          <c:idx val="7"/>
          <c:order val="7"/>
          <c:tx>
            <c:strRef>
              <c:f>'EEG INDIV FIGURES _MIDLINE_NG-G'!$B$11</c:f>
              <c:strCache>
                <c:ptCount val="1"/>
                <c:pt idx="0">
                  <c:v>p11</c:v>
                </c:pt>
              </c:strCache>
            </c:strRef>
          </c:tx>
          <c:spPr>
            <a:solidFill>
              <a:schemeClr val="tx1"/>
            </a:solidFill>
          </c:spPr>
          <c:invertIfNegative val="0"/>
          <c:cat>
            <c:strRef>
              <c:f>'EEG INDIV FIGURES _MIDLINE_NG-G'!$C$3:$D$3</c:f>
              <c:strCache>
                <c:ptCount val="2"/>
                <c:pt idx="0">
                  <c:v>patients</c:v>
                </c:pt>
                <c:pt idx="1">
                  <c:v>controls</c:v>
                </c:pt>
              </c:strCache>
            </c:strRef>
          </c:cat>
          <c:val>
            <c:numRef>
              <c:f>'EEG INDIV FIGURES _MIDLINE_NG-G'!$C$11:$D$11</c:f>
              <c:numCache>
                <c:formatCode>General</c:formatCode>
                <c:ptCount val="2"/>
                <c:pt idx="0">
                  <c:v>-1.160689333333333</c:v>
                </c:pt>
                <c:pt idx="1">
                  <c:v>-0.963459466666666</c:v>
                </c:pt>
              </c:numCache>
            </c:numRef>
          </c:val>
        </c:ser>
        <c:ser>
          <c:idx val="8"/>
          <c:order val="8"/>
          <c:tx>
            <c:strRef>
              <c:f>'EEG INDIV FIGURES _MIDLINE_NG-G'!$B$12</c:f>
              <c:strCache>
                <c:ptCount val="1"/>
                <c:pt idx="0">
                  <c:v>p12</c:v>
                </c:pt>
              </c:strCache>
            </c:strRef>
          </c:tx>
          <c:spPr>
            <a:solidFill>
              <a:schemeClr val="tx1"/>
            </a:solidFill>
          </c:spPr>
          <c:invertIfNegative val="0"/>
          <c:cat>
            <c:strRef>
              <c:f>'EEG INDIV FIGURES _MIDLINE_NG-G'!$C$3:$D$3</c:f>
              <c:strCache>
                <c:ptCount val="2"/>
                <c:pt idx="0">
                  <c:v>patients</c:v>
                </c:pt>
                <c:pt idx="1">
                  <c:v>controls</c:v>
                </c:pt>
              </c:strCache>
            </c:strRef>
          </c:cat>
          <c:val>
            <c:numRef>
              <c:f>'EEG INDIV FIGURES _MIDLINE_NG-G'!$C$12:$D$12</c:f>
              <c:numCache>
                <c:formatCode>General</c:formatCode>
                <c:ptCount val="2"/>
                <c:pt idx="0">
                  <c:v>-0.0829630666666665</c:v>
                </c:pt>
                <c:pt idx="1">
                  <c:v>-1.617578866666667</c:v>
                </c:pt>
              </c:numCache>
            </c:numRef>
          </c:val>
        </c:ser>
        <c:dLbls>
          <c:showLegendKey val="0"/>
          <c:showVal val="0"/>
          <c:showCatName val="0"/>
          <c:showSerName val="0"/>
          <c:showPercent val="0"/>
          <c:showBubbleSize val="0"/>
        </c:dLbls>
        <c:gapWidth val="219"/>
        <c:overlap val="-27"/>
        <c:axId val="-2043571072"/>
        <c:axId val="-2046669744"/>
      </c:barChart>
      <c:catAx>
        <c:axId val="-2043571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2046669744"/>
        <c:crossesAt val="0.0"/>
        <c:auto val="1"/>
        <c:lblAlgn val="ctr"/>
        <c:lblOffset val="100"/>
        <c:noMultiLvlLbl val="0"/>
      </c:catAx>
      <c:valAx>
        <c:axId val="-2046669744"/>
        <c:scaling>
          <c:orientation val="minMax"/>
          <c:max val="0.4"/>
          <c:min val="-1.8"/>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r-FR"/>
                  <a:t>Ungrammatical - Grammatical</a:t>
                </a:r>
              </a:p>
            </c:rich>
          </c:tx>
          <c:layout/>
          <c:overlay val="0"/>
        </c:title>
        <c:numFmt formatCode="General" sourceLinked="0"/>
        <c:majorTickMark val="none"/>
        <c:minorTickMark val="none"/>
        <c:tickLblPos val="nextTo"/>
        <c:spPr>
          <a:noFill/>
          <a:ln>
            <a:noFill/>
          </a:ln>
          <a:effectLst/>
        </c:spPr>
        <c:txPr>
          <a:bodyPr rot="-60000000" vert="horz"/>
          <a:lstStyle/>
          <a:p>
            <a:pPr>
              <a:defRPr/>
            </a:pPr>
            <a:endParaRPr lang="en-US"/>
          </a:p>
        </c:txPr>
        <c:crossAx val="-20435710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050" b="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'EEG INDIV FIGURES _ROI_NG-G'!$B$4</c:f>
              <c:strCache>
                <c:ptCount val="1"/>
                <c:pt idx="0">
                  <c:v>p02</c:v>
                </c:pt>
              </c:strCache>
            </c:strRef>
          </c:tx>
          <c:spPr>
            <a:solidFill>
              <a:schemeClr val="tx1"/>
            </a:solidFill>
            <a:ln>
              <a:noFill/>
            </a:ln>
            <a:effectLst/>
          </c:spPr>
          <c:invertIfNegative val="0"/>
          <c:cat>
            <c:strRef>
              <c:f>'EEG INDIV FIGURES _ROI_NG-G'!$C$3:$D$3</c:f>
              <c:strCache>
                <c:ptCount val="2"/>
                <c:pt idx="0">
                  <c:v>patients</c:v>
                </c:pt>
                <c:pt idx="1">
                  <c:v>controls</c:v>
                </c:pt>
              </c:strCache>
            </c:strRef>
          </c:cat>
          <c:val>
            <c:numRef>
              <c:f>'EEG INDIV FIGURES _ROI_NG-G'!$C$4:$D$4</c:f>
              <c:numCache>
                <c:formatCode>General</c:formatCode>
                <c:ptCount val="2"/>
                <c:pt idx="0">
                  <c:v>0.5046127681875</c:v>
                </c:pt>
                <c:pt idx="1">
                  <c:v>0.14964377</c:v>
                </c:pt>
              </c:numCache>
            </c:numRef>
          </c:val>
        </c:ser>
        <c:ser>
          <c:idx val="1"/>
          <c:order val="1"/>
          <c:tx>
            <c:strRef>
              <c:f>'EEG INDIV FIGURES _ROI_NG-G'!$B$5</c:f>
              <c:strCache>
                <c:ptCount val="1"/>
                <c:pt idx="0">
                  <c:v>p03</c:v>
                </c:pt>
              </c:strCache>
            </c:strRef>
          </c:tx>
          <c:spPr>
            <a:solidFill>
              <a:schemeClr val="tx1"/>
            </a:solidFill>
            <a:ln>
              <a:noFill/>
            </a:ln>
            <a:effectLst/>
          </c:spPr>
          <c:invertIfNegative val="0"/>
          <c:cat>
            <c:strRef>
              <c:f>'EEG INDIV FIGURES _ROI_NG-G'!$C$3:$D$3</c:f>
              <c:strCache>
                <c:ptCount val="2"/>
                <c:pt idx="0">
                  <c:v>patients</c:v>
                </c:pt>
                <c:pt idx="1">
                  <c:v>controls</c:v>
                </c:pt>
              </c:strCache>
            </c:strRef>
          </c:cat>
          <c:val>
            <c:numRef>
              <c:f>'EEG INDIV FIGURES _ROI_NG-G'!$C$5:$D$5</c:f>
              <c:numCache>
                <c:formatCode>General</c:formatCode>
                <c:ptCount val="2"/>
                <c:pt idx="0">
                  <c:v>-0.00486965874999987</c:v>
                </c:pt>
                <c:pt idx="1">
                  <c:v>0.0627583812499996</c:v>
                </c:pt>
              </c:numCache>
            </c:numRef>
          </c:val>
        </c:ser>
        <c:ser>
          <c:idx val="2"/>
          <c:order val="2"/>
          <c:tx>
            <c:strRef>
              <c:f>'EEG INDIV FIGURES _ROI_NG-G'!$B$6</c:f>
              <c:strCache>
                <c:ptCount val="1"/>
                <c:pt idx="0">
                  <c:v>p04</c:v>
                </c:pt>
              </c:strCache>
            </c:strRef>
          </c:tx>
          <c:spPr>
            <a:solidFill>
              <a:schemeClr val="tx1"/>
            </a:solidFill>
            <a:ln>
              <a:noFill/>
            </a:ln>
            <a:effectLst/>
          </c:spPr>
          <c:invertIfNegative val="0"/>
          <c:cat>
            <c:strRef>
              <c:f>'EEG INDIV FIGURES _ROI_NG-G'!$C$3:$D$3</c:f>
              <c:strCache>
                <c:ptCount val="2"/>
                <c:pt idx="0">
                  <c:v>patients</c:v>
                </c:pt>
                <c:pt idx="1">
                  <c:v>controls</c:v>
                </c:pt>
              </c:strCache>
            </c:strRef>
          </c:cat>
          <c:val>
            <c:numRef>
              <c:f>'EEG INDIV FIGURES _ROI_NG-G'!$C$6:$D$6</c:f>
              <c:numCache>
                <c:formatCode>General</c:formatCode>
                <c:ptCount val="2"/>
                <c:pt idx="0">
                  <c:v>-0.63772728125</c:v>
                </c:pt>
                <c:pt idx="1">
                  <c:v>0.324496875</c:v>
                </c:pt>
              </c:numCache>
            </c:numRef>
          </c:val>
        </c:ser>
        <c:ser>
          <c:idx val="3"/>
          <c:order val="3"/>
          <c:tx>
            <c:strRef>
              <c:f>'EEG INDIV FIGURES _ROI_NG-G'!$B$7</c:f>
              <c:strCache>
                <c:ptCount val="1"/>
                <c:pt idx="0">
                  <c:v>p06</c:v>
                </c:pt>
              </c:strCache>
            </c:strRef>
          </c:tx>
          <c:spPr>
            <a:solidFill>
              <a:schemeClr val="tx1"/>
            </a:solidFill>
            <a:ln>
              <a:noFill/>
            </a:ln>
            <a:effectLst/>
          </c:spPr>
          <c:invertIfNegative val="0"/>
          <c:cat>
            <c:strRef>
              <c:f>'EEG INDIV FIGURES _ROI_NG-G'!$C$3:$D$3</c:f>
              <c:strCache>
                <c:ptCount val="2"/>
                <c:pt idx="0">
                  <c:v>patients</c:v>
                </c:pt>
                <c:pt idx="1">
                  <c:v>controls</c:v>
                </c:pt>
              </c:strCache>
            </c:strRef>
          </c:cat>
          <c:val>
            <c:numRef>
              <c:f>'EEG INDIV FIGURES _ROI_NG-G'!$C$7:$D$7</c:f>
              <c:numCache>
                <c:formatCode>General</c:formatCode>
                <c:ptCount val="2"/>
                <c:pt idx="0">
                  <c:v>-0.2809207919375</c:v>
                </c:pt>
                <c:pt idx="1">
                  <c:v>-0.8074083715</c:v>
                </c:pt>
              </c:numCache>
            </c:numRef>
          </c:val>
        </c:ser>
        <c:ser>
          <c:idx val="4"/>
          <c:order val="4"/>
          <c:tx>
            <c:strRef>
              <c:f>'EEG INDIV FIGURES _ROI_NG-G'!$B$8</c:f>
              <c:strCache>
                <c:ptCount val="1"/>
                <c:pt idx="0">
                  <c:v>p07</c:v>
                </c:pt>
              </c:strCache>
            </c:strRef>
          </c:tx>
          <c:spPr>
            <a:solidFill>
              <a:schemeClr val="tx1"/>
            </a:solidFill>
            <a:ln>
              <a:noFill/>
            </a:ln>
            <a:effectLst/>
          </c:spPr>
          <c:invertIfNegative val="0"/>
          <c:cat>
            <c:strRef>
              <c:f>'EEG INDIV FIGURES _ROI_NG-G'!$C$3:$D$3</c:f>
              <c:strCache>
                <c:ptCount val="2"/>
                <c:pt idx="0">
                  <c:v>patients</c:v>
                </c:pt>
                <c:pt idx="1">
                  <c:v>controls</c:v>
                </c:pt>
              </c:strCache>
            </c:strRef>
          </c:cat>
          <c:val>
            <c:numRef>
              <c:f>'EEG INDIV FIGURES _ROI_NG-G'!$C$8:$D$8</c:f>
              <c:numCache>
                <c:formatCode>General</c:formatCode>
                <c:ptCount val="2"/>
                <c:pt idx="0">
                  <c:v>-1.19240334875</c:v>
                </c:pt>
                <c:pt idx="1">
                  <c:v>0.312174459375</c:v>
                </c:pt>
              </c:numCache>
            </c:numRef>
          </c:val>
        </c:ser>
        <c:ser>
          <c:idx val="5"/>
          <c:order val="5"/>
          <c:tx>
            <c:strRef>
              <c:f>'EEG INDIV FIGURES _ROI_NG-G'!$B$9</c:f>
              <c:strCache>
                <c:ptCount val="1"/>
                <c:pt idx="0">
                  <c:v>p08</c:v>
                </c:pt>
              </c:strCache>
            </c:strRef>
          </c:tx>
          <c:spPr>
            <a:solidFill>
              <a:schemeClr val="tx1"/>
            </a:solidFill>
            <a:ln>
              <a:solidFill>
                <a:schemeClr val="tx1">
                  <a:lumMod val="15000"/>
                  <a:lumOff val="85000"/>
                </a:schemeClr>
              </a:solidFill>
            </a:ln>
          </c:spPr>
          <c:invertIfNegative val="0"/>
          <c:cat>
            <c:strRef>
              <c:f>'EEG INDIV FIGURES _ROI_NG-G'!$C$3:$D$3</c:f>
              <c:strCache>
                <c:ptCount val="2"/>
                <c:pt idx="0">
                  <c:v>patients</c:v>
                </c:pt>
                <c:pt idx="1">
                  <c:v>controls</c:v>
                </c:pt>
              </c:strCache>
            </c:strRef>
          </c:cat>
          <c:val>
            <c:numRef>
              <c:f>'EEG INDIV FIGURES _ROI_NG-G'!$C$9:$D$9</c:f>
              <c:numCache>
                <c:formatCode>General</c:formatCode>
                <c:ptCount val="2"/>
                <c:pt idx="0">
                  <c:v>-0.80300480125</c:v>
                </c:pt>
                <c:pt idx="1">
                  <c:v>-0.0377450450000001</c:v>
                </c:pt>
              </c:numCache>
            </c:numRef>
          </c:val>
        </c:ser>
        <c:ser>
          <c:idx val="6"/>
          <c:order val="6"/>
          <c:tx>
            <c:strRef>
              <c:f>'EEG INDIV FIGURES _ROI_NG-G'!$B$10</c:f>
              <c:strCache>
                <c:ptCount val="1"/>
                <c:pt idx="0">
                  <c:v>p10</c:v>
                </c:pt>
              </c:strCache>
            </c:strRef>
          </c:tx>
          <c:spPr>
            <a:solidFill>
              <a:schemeClr val="tx1"/>
            </a:solidFill>
          </c:spPr>
          <c:invertIfNegative val="0"/>
          <c:cat>
            <c:strRef>
              <c:f>'EEG INDIV FIGURES _ROI_NG-G'!$C$3:$D$3</c:f>
              <c:strCache>
                <c:ptCount val="2"/>
                <c:pt idx="0">
                  <c:v>patients</c:v>
                </c:pt>
                <c:pt idx="1">
                  <c:v>controls</c:v>
                </c:pt>
              </c:strCache>
            </c:strRef>
          </c:cat>
          <c:val>
            <c:numRef>
              <c:f>'EEG INDIV FIGURES _ROI_NG-G'!$C$10:$D$10</c:f>
              <c:numCache>
                <c:formatCode>General</c:formatCode>
                <c:ptCount val="2"/>
                <c:pt idx="0">
                  <c:v>-0.7980940075</c:v>
                </c:pt>
                <c:pt idx="1">
                  <c:v>0.0924821337500001</c:v>
                </c:pt>
              </c:numCache>
            </c:numRef>
          </c:val>
        </c:ser>
        <c:ser>
          <c:idx val="7"/>
          <c:order val="7"/>
          <c:tx>
            <c:strRef>
              <c:f>'EEG INDIV FIGURES _ROI_NG-G'!$B$11</c:f>
              <c:strCache>
                <c:ptCount val="1"/>
                <c:pt idx="0">
                  <c:v>p11</c:v>
                </c:pt>
              </c:strCache>
            </c:strRef>
          </c:tx>
          <c:spPr>
            <a:solidFill>
              <a:schemeClr val="tx1"/>
            </a:solidFill>
          </c:spPr>
          <c:invertIfNegative val="0"/>
          <c:cat>
            <c:strRef>
              <c:f>'EEG INDIV FIGURES _ROI_NG-G'!$C$3:$D$3</c:f>
              <c:strCache>
                <c:ptCount val="2"/>
                <c:pt idx="0">
                  <c:v>patients</c:v>
                </c:pt>
                <c:pt idx="1">
                  <c:v>controls</c:v>
                </c:pt>
              </c:strCache>
            </c:strRef>
          </c:cat>
          <c:val>
            <c:numRef>
              <c:f>'EEG INDIV FIGURES _ROI_NG-G'!$C$11:$D$11</c:f>
              <c:numCache>
                <c:formatCode>General</c:formatCode>
                <c:ptCount val="2"/>
                <c:pt idx="0">
                  <c:v>-0.88909068125</c:v>
                </c:pt>
                <c:pt idx="1">
                  <c:v>-0.725322076875</c:v>
                </c:pt>
              </c:numCache>
            </c:numRef>
          </c:val>
        </c:ser>
        <c:ser>
          <c:idx val="8"/>
          <c:order val="8"/>
          <c:tx>
            <c:strRef>
              <c:f>'EEG INDIV FIGURES _ROI_NG-G'!$B$12</c:f>
              <c:strCache>
                <c:ptCount val="1"/>
                <c:pt idx="0">
                  <c:v>p12</c:v>
                </c:pt>
              </c:strCache>
            </c:strRef>
          </c:tx>
          <c:spPr>
            <a:solidFill>
              <a:schemeClr val="tx1"/>
            </a:solidFill>
          </c:spPr>
          <c:invertIfNegative val="0"/>
          <c:cat>
            <c:strRef>
              <c:f>'EEG INDIV FIGURES _ROI_NG-G'!$C$3:$D$3</c:f>
              <c:strCache>
                <c:ptCount val="2"/>
                <c:pt idx="0">
                  <c:v>patients</c:v>
                </c:pt>
                <c:pt idx="1">
                  <c:v>controls</c:v>
                </c:pt>
              </c:strCache>
            </c:strRef>
          </c:cat>
          <c:val>
            <c:numRef>
              <c:f>'EEG INDIV FIGURES _ROI_NG-G'!$C$12:$D$12</c:f>
              <c:numCache>
                <c:formatCode>General</c:formatCode>
                <c:ptCount val="2"/>
                <c:pt idx="0">
                  <c:v>-0.30898303125</c:v>
                </c:pt>
                <c:pt idx="1">
                  <c:v>-1.18692233</c:v>
                </c:pt>
              </c:numCache>
            </c:numRef>
          </c:val>
        </c:ser>
        <c:dLbls>
          <c:showLegendKey val="0"/>
          <c:showVal val="0"/>
          <c:showCatName val="0"/>
          <c:showSerName val="0"/>
          <c:showPercent val="0"/>
          <c:showBubbleSize val="0"/>
        </c:dLbls>
        <c:gapWidth val="219"/>
        <c:overlap val="-27"/>
        <c:axId val="-2027825936"/>
        <c:axId val="-2027936640"/>
      </c:barChart>
      <c:catAx>
        <c:axId val="-20278259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2027936640"/>
        <c:crossesAt val="0.0"/>
        <c:auto val="1"/>
        <c:lblAlgn val="ctr"/>
        <c:lblOffset val="100"/>
        <c:noMultiLvlLbl val="0"/>
      </c:catAx>
      <c:valAx>
        <c:axId val="-2027936640"/>
        <c:scaling>
          <c:orientation val="minMax"/>
          <c:max val="0.8"/>
          <c:min val="-1.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r-FR"/>
                  <a:t>Ungrammatical</a:t>
                </a:r>
                <a:r>
                  <a:rPr lang="fr-FR" baseline="0"/>
                  <a:t> - G</a:t>
                </a:r>
                <a:r>
                  <a:rPr lang="fr-FR"/>
                  <a:t>rammatical</a:t>
                </a:r>
              </a:p>
            </c:rich>
          </c:tx>
          <c:layout/>
          <c:overlay val="0"/>
        </c:title>
        <c:numFmt formatCode="General" sourceLinked="0"/>
        <c:majorTickMark val="none"/>
        <c:minorTickMark val="none"/>
        <c:tickLblPos val="nextTo"/>
        <c:spPr>
          <a:noFill/>
          <a:ln>
            <a:noFill/>
          </a:ln>
          <a:effectLst/>
        </c:spPr>
        <c:txPr>
          <a:bodyPr rot="-60000000" vert="horz"/>
          <a:lstStyle/>
          <a:p>
            <a:pPr>
              <a:defRPr/>
            </a:pPr>
            <a:endParaRPr lang="en-US"/>
          </a:p>
        </c:txPr>
        <c:crossAx val="-20278259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050" b="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330</Words>
  <Characters>1881</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Auditory pitch grammar learning – Test phase:</vt:lpstr>
      <vt:lpstr>The figures below plot the individual data for the difference between ERP amplit</vt:lpstr>
      <vt:lpstr>/</vt:lpstr>
      <vt:lpstr/>
      <vt:lpstr>/</vt:lpstr>
    </vt:vector>
  </TitlesOfParts>
  <Company>CNRS</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Tillmann</dc:creator>
  <cp:keywords/>
  <dc:description/>
  <cp:lastModifiedBy>Barbara Tillmann</cp:lastModifiedBy>
  <cp:revision>8</cp:revision>
  <dcterms:created xsi:type="dcterms:W3CDTF">2017-04-06T12:56:00Z</dcterms:created>
  <dcterms:modified xsi:type="dcterms:W3CDTF">2019-09-06T11:21:00Z</dcterms:modified>
</cp:coreProperties>
</file>