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FA4" w:rsidRPr="00714FA4" w:rsidRDefault="00714FA4" w:rsidP="00714FA4">
      <w:pPr>
        <w:jc w:val="both"/>
        <w:rPr>
          <w:rFonts w:ascii="Cambria" w:eastAsia="Calibri" w:hAnsi="Cambria" w:cs="Times New Roman"/>
          <w:sz w:val="36"/>
          <w:szCs w:val="36"/>
        </w:rPr>
      </w:pPr>
      <w:r w:rsidRPr="00714FA4">
        <w:rPr>
          <w:rFonts w:ascii="Cambria" w:eastAsia="Calibri" w:hAnsi="Cambria" w:cs="Times New Roman"/>
          <w:sz w:val="36"/>
          <w:szCs w:val="36"/>
        </w:rPr>
        <w:t>Amyloid β oligomers inhibit growth of human cancer cells</w:t>
      </w:r>
    </w:p>
    <w:p w:rsidR="00714FA4" w:rsidRPr="00714FA4" w:rsidRDefault="00714FA4" w:rsidP="00714FA4">
      <w:pPr>
        <w:jc w:val="both"/>
        <w:rPr>
          <w:rFonts w:ascii="Calibri" w:eastAsia="Calibri" w:hAnsi="Calibri" w:cs="Times New Roman"/>
          <w:b/>
          <w:bCs/>
        </w:rPr>
      </w:pPr>
      <w:proofErr w:type="spellStart"/>
      <w:r w:rsidRPr="00714FA4">
        <w:rPr>
          <w:rFonts w:ascii="Calibri" w:eastAsia="Calibri" w:hAnsi="Calibri" w:cs="Times New Roman"/>
          <w:b/>
          <w:bCs/>
        </w:rPr>
        <w:t>Bozena</w:t>
      </w:r>
      <w:proofErr w:type="spellEnd"/>
      <w:r w:rsidRPr="00714FA4">
        <w:rPr>
          <w:rFonts w:ascii="Calibri" w:eastAsia="Calibri" w:hAnsi="Calibri" w:cs="Times New Roman"/>
          <w:b/>
          <w:bCs/>
        </w:rPr>
        <w:t xml:space="preserve"> Pavliukeviciene</w:t>
      </w:r>
      <w:r w:rsidRPr="00714FA4">
        <w:rPr>
          <w:rFonts w:ascii="Calibri" w:eastAsia="Calibri" w:hAnsi="Calibri" w:cs="Times New Roman"/>
          <w:b/>
          <w:bCs/>
          <w:vertAlign w:val="superscript"/>
        </w:rPr>
        <w:t>1</w:t>
      </w:r>
      <w:r w:rsidRPr="00714FA4">
        <w:rPr>
          <w:rFonts w:ascii="Calibri" w:eastAsia="Calibri" w:hAnsi="Calibri" w:cs="Times New Roman"/>
          <w:b/>
          <w:bCs/>
        </w:rPr>
        <w:t xml:space="preserve">, </w:t>
      </w:r>
      <w:proofErr w:type="spellStart"/>
      <w:r w:rsidRPr="00714FA4">
        <w:rPr>
          <w:rFonts w:ascii="Calibri" w:eastAsia="Calibri" w:hAnsi="Calibri" w:cs="Times New Roman"/>
          <w:b/>
          <w:bCs/>
        </w:rPr>
        <w:t>Aiste</w:t>
      </w:r>
      <w:proofErr w:type="spellEnd"/>
      <w:r w:rsidRPr="00714FA4">
        <w:rPr>
          <w:rFonts w:ascii="Calibri" w:eastAsia="Calibri" w:hAnsi="Calibri" w:cs="Times New Roman"/>
          <w:b/>
          <w:bCs/>
        </w:rPr>
        <w:t xml:space="preserve"> Zentelyte</w:t>
      </w:r>
      <w:r w:rsidRPr="00714FA4">
        <w:rPr>
          <w:rFonts w:ascii="Calibri" w:eastAsia="Calibri" w:hAnsi="Calibri" w:cs="Times New Roman"/>
          <w:b/>
          <w:bCs/>
          <w:vertAlign w:val="superscript"/>
        </w:rPr>
        <w:t>2</w:t>
      </w:r>
      <w:r w:rsidRPr="00714FA4">
        <w:rPr>
          <w:rFonts w:ascii="Calibri" w:eastAsia="Calibri" w:hAnsi="Calibri" w:cs="Times New Roman"/>
          <w:b/>
          <w:bCs/>
        </w:rPr>
        <w:t xml:space="preserve">, </w:t>
      </w:r>
      <w:proofErr w:type="spellStart"/>
      <w:r w:rsidRPr="00714FA4">
        <w:rPr>
          <w:rFonts w:ascii="Calibri" w:eastAsia="Calibri" w:hAnsi="Calibri" w:cs="Times New Roman"/>
          <w:b/>
          <w:bCs/>
        </w:rPr>
        <w:t>Marija</w:t>
      </w:r>
      <w:proofErr w:type="spellEnd"/>
      <w:r w:rsidRPr="00714FA4">
        <w:rPr>
          <w:rFonts w:ascii="Calibri" w:eastAsia="Calibri" w:hAnsi="Calibri" w:cs="Times New Roman"/>
          <w:b/>
          <w:bCs/>
        </w:rPr>
        <w:t xml:space="preserve"> Jankunec</w:t>
      </w:r>
      <w:r w:rsidRPr="00714FA4">
        <w:rPr>
          <w:rFonts w:ascii="Calibri" w:eastAsia="Calibri" w:hAnsi="Calibri" w:cs="Times New Roman"/>
          <w:b/>
          <w:bCs/>
          <w:vertAlign w:val="superscript"/>
        </w:rPr>
        <w:t>1</w:t>
      </w:r>
      <w:r w:rsidRPr="00714FA4">
        <w:rPr>
          <w:rFonts w:ascii="Calibri" w:eastAsia="Calibri" w:hAnsi="Calibri" w:cs="Times New Roman"/>
          <w:b/>
          <w:bCs/>
        </w:rPr>
        <w:t xml:space="preserve">, </w:t>
      </w:r>
      <w:proofErr w:type="spellStart"/>
      <w:r w:rsidRPr="00714FA4">
        <w:rPr>
          <w:rFonts w:ascii="Calibri" w:eastAsia="Calibri" w:hAnsi="Calibri" w:cs="Times New Roman"/>
          <w:b/>
          <w:bCs/>
        </w:rPr>
        <w:t>Giedre</w:t>
      </w:r>
      <w:proofErr w:type="spellEnd"/>
      <w:r w:rsidRPr="00714FA4">
        <w:rPr>
          <w:rFonts w:ascii="Calibri" w:eastAsia="Calibri" w:hAnsi="Calibri" w:cs="Times New Roman"/>
          <w:b/>
          <w:bCs/>
        </w:rPr>
        <w:t xml:space="preserve"> Valiuliene</w:t>
      </w:r>
      <w:r w:rsidRPr="00714FA4">
        <w:rPr>
          <w:rFonts w:ascii="Calibri" w:eastAsia="Calibri" w:hAnsi="Calibri" w:cs="Times New Roman"/>
          <w:b/>
          <w:bCs/>
          <w:vertAlign w:val="superscript"/>
        </w:rPr>
        <w:t>2</w:t>
      </w:r>
      <w:r w:rsidRPr="00714FA4">
        <w:rPr>
          <w:rFonts w:ascii="Calibri" w:eastAsia="Calibri" w:hAnsi="Calibri" w:cs="Times New Roman"/>
          <w:b/>
          <w:bCs/>
        </w:rPr>
        <w:t xml:space="preserve">, </w:t>
      </w:r>
      <w:proofErr w:type="spellStart"/>
      <w:r w:rsidRPr="00714FA4">
        <w:rPr>
          <w:rFonts w:ascii="Calibri" w:eastAsia="Calibri" w:hAnsi="Calibri" w:cs="Times New Roman"/>
          <w:b/>
          <w:bCs/>
        </w:rPr>
        <w:t>Martynas</w:t>
      </w:r>
      <w:proofErr w:type="spellEnd"/>
      <w:r w:rsidRPr="00714FA4">
        <w:rPr>
          <w:rFonts w:ascii="Calibri" w:eastAsia="Calibri" w:hAnsi="Calibri" w:cs="Times New Roman"/>
          <w:b/>
          <w:bCs/>
        </w:rPr>
        <w:t xml:space="preserve"> Talaikis</w:t>
      </w:r>
      <w:r w:rsidRPr="00714FA4">
        <w:rPr>
          <w:rFonts w:ascii="Calibri" w:eastAsia="Calibri" w:hAnsi="Calibri" w:cs="Times New Roman"/>
          <w:b/>
          <w:bCs/>
          <w:vertAlign w:val="superscript"/>
        </w:rPr>
        <w:t>1</w:t>
      </w:r>
      <w:r w:rsidRPr="00714FA4">
        <w:rPr>
          <w:rFonts w:ascii="Calibri" w:eastAsia="Calibri" w:hAnsi="Calibri" w:cs="Times New Roman"/>
          <w:b/>
          <w:bCs/>
        </w:rPr>
        <w:t xml:space="preserve">, </w:t>
      </w:r>
      <w:proofErr w:type="spellStart"/>
      <w:r w:rsidRPr="00714FA4">
        <w:rPr>
          <w:rFonts w:ascii="Calibri" w:eastAsia="Calibri" w:hAnsi="Calibri" w:cs="Times New Roman"/>
          <w:b/>
          <w:bCs/>
        </w:rPr>
        <w:t>Ruta</w:t>
      </w:r>
      <w:proofErr w:type="spellEnd"/>
      <w:r w:rsidRPr="00714FA4">
        <w:rPr>
          <w:rFonts w:ascii="Calibri" w:eastAsia="Calibri" w:hAnsi="Calibri" w:cs="Times New Roman"/>
          <w:b/>
          <w:bCs/>
        </w:rPr>
        <w:t xml:space="preserve"> Navakauskiene</w:t>
      </w:r>
      <w:r w:rsidRPr="00714FA4">
        <w:rPr>
          <w:rFonts w:ascii="Calibri" w:eastAsia="Calibri" w:hAnsi="Calibri" w:cs="Times New Roman"/>
          <w:b/>
          <w:bCs/>
          <w:vertAlign w:val="superscript"/>
        </w:rPr>
        <w:t>2</w:t>
      </w:r>
      <w:r w:rsidRPr="00714FA4">
        <w:rPr>
          <w:rFonts w:ascii="Calibri" w:eastAsia="Calibri" w:hAnsi="Calibri" w:cs="Times New Roman"/>
          <w:b/>
          <w:bCs/>
        </w:rPr>
        <w:t xml:space="preserve">, </w:t>
      </w:r>
      <w:proofErr w:type="spellStart"/>
      <w:r w:rsidRPr="00714FA4">
        <w:rPr>
          <w:rFonts w:ascii="Calibri" w:eastAsia="Calibri" w:hAnsi="Calibri" w:cs="Times New Roman"/>
          <w:b/>
          <w:bCs/>
        </w:rPr>
        <w:t>Gediminas</w:t>
      </w:r>
      <w:proofErr w:type="spellEnd"/>
      <w:r w:rsidRPr="00714FA4">
        <w:rPr>
          <w:rFonts w:ascii="Calibri" w:eastAsia="Calibri" w:hAnsi="Calibri" w:cs="Times New Roman"/>
          <w:b/>
          <w:bCs/>
        </w:rPr>
        <w:t xml:space="preserve"> Niaura</w:t>
      </w:r>
      <w:r w:rsidRPr="00714FA4">
        <w:rPr>
          <w:rFonts w:ascii="Calibri" w:eastAsia="Calibri" w:hAnsi="Calibri" w:cs="Times New Roman"/>
          <w:b/>
          <w:bCs/>
          <w:vertAlign w:val="superscript"/>
        </w:rPr>
        <w:t>1</w:t>
      </w:r>
      <w:r w:rsidRPr="00714FA4">
        <w:rPr>
          <w:rFonts w:ascii="Calibri" w:eastAsia="Calibri" w:hAnsi="Calibri" w:cs="Times New Roman"/>
          <w:b/>
          <w:bCs/>
        </w:rPr>
        <w:t xml:space="preserve">, </w:t>
      </w:r>
      <w:proofErr w:type="spellStart"/>
      <w:r w:rsidRPr="00714FA4">
        <w:rPr>
          <w:rFonts w:ascii="Calibri" w:eastAsia="Calibri" w:hAnsi="Calibri" w:cs="Times New Roman"/>
          <w:b/>
          <w:bCs/>
        </w:rPr>
        <w:t>Gintaras</w:t>
      </w:r>
      <w:proofErr w:type="spellEnd"/>
      <w:r w:rsidRPr="00714FA4">
        <w:rPr>
          <w:rFonts w:ascii="Calibri" w:eastAsia="Calibri" w:hAnsi="Calibri" w:cs="Times New Roman"/>
          <w:b/>
          <w:bCs/>
        </w:rPr>
        <w:t xml:space="preserve"> Valincius</w:t>
      </w:r>
      <w:r w:rsidRPr="00714FA4">
        <w:rPr>
          <w:rFonts w:ascii="Calibri" w:eastAsia="Calibri" w:hAnsi="Calibri" w:cs="Times New Roman"/>
          <w:b/>
          <w:bCs/>
          <w:vertAlign w:val="superscript"/>
        </w:rPr>
        <w:t>1</w:t>
      </w:r>
      <w:r w:rsidRPr="00714FA4">
        <w:rPr>
          <w:rFonts w:ascii="Calibri" w:eastAsia="Calibri" w:hAnsi="Calibri" w:cs="Times New Roman"/>
          <w:b/>
          <w:bCs/>
        </w:rPr>
        <w:t>*</w:t>
      </w:r>
    </w:p>
    <w:p w:rsidR="00714FA4" w:rsidRPr="00714FA4" w:rsidRDefault="00714FA4" w:rsidP="00714FA4">
      <w:pPr>
        <w:jc w:val="both"/>
        <w:rPr>
          <w:rFonts w:ascii="Calibri" w:eastAsia="Calibri" w:hAnsi="Calibri" w:cs="Times New Roman"/>
        </w:rPr>
      </w:pPr>
      <w:r w:rsidRPr="00714FA4">
        <w:rPr>
          <w:rFonts w:ascii="Calibri" w:eastAsia="Calibri" w:hAnsi="Calibri" w:cs="Times New Roman"/>
          <w:vertAlign w:val="superscript"/>
        </w:rPr>
        <w:t>1</w:t>
      </w:r>
      <w:r w:rsidRPr="00714FA4">
        <w:rPr>
          <w:rFonts w:ascii="Calibri" w:eastAsia="Calibri" w:hAnsi="Calibri" w:cs="Times New Roman"/>
        </w:rPr>
        <w:t xml:space="preserve">Department of </w:t>
      </w:r>
      <w:proofErr w:type="spellStart"/>
      <w:r w:rsidRPr="00714FA4">
        <w:rPr>
          <w:rFonts w:ascii="Calibri" w:eastAsia="Calibri" w:hAnsi="Calibri" w:cs="Times New Roman"/>
        </w:rPr>
        <w:t>Bioelectrochemistry</w:t>
      </w:r>
      <w:proofErr w:type="spellEnd"/>
      <w:r w:rsidRPr="00714FA4">
        <w:rPr>
          <w:rFonts w:ascii="Calibri" w:eastAsia="Calibri" w:hAnsi="Calibri" w:cs="Times New Roman"/>
        </w:rPr>
        <w:t xml:space="preserve"> and </w:t>
      </w:r>
      <w:proofErr w:type="spellStart"/>
      <w:r w:rsidRPr="00714FA4">
        <w:rPr>
          <w:rFonts w:ascii="Calibri" w:eastAsia="Calibri" w:hAnsi="Calibri" w:cs="Times New Roman"/>
        </w:rPr>
        <w:t>Biospectroscopy</w:t>
      </w:r>
      <w:proofErr w:type="spellEnd"/>
      <w:r w:rsidRPr="00714FA4">
        <w:rPr>
          <w:rFonts w:ascii="Calibri" w:eastAsia="Calibri" w:hAnsi="Calibri" w:cs="Times New Roman"/>
        </w:rPr>
        <w:t>, Institute of Biochemistry, Life Sciences Center, Vilnius University, Vilnius, Lithuania</w:t>
      </w:r>
    </w:p>
    <w:p w:rsidR="00714FA4" w:rsidRPr="00714FA4" w:rsidRDefault="00714FA4" w:rsidP="00714FA4">
      <w:pPr>
        <w:jc w:val="both"/>
        <w:rPr>
          <w:rFonts w:ascii="Calibri" w:eastAsia="Calibri" w:hAnsi="Calibri" w:cs="Times New Roman"/>
        </w:rPr>
      </w:pPr>
      <w:r w:rsidRPr="00714FA4">
        <w:rPr>
          <w:rFonts w:ascii="Calibri" w:eastAsia="Calibri" w:hAnsi="Calibri" w:cs="Times New Roman"/>
          <w:vertAlign w:val="superscript"/>
        </w:rPr>
        <w:t>2</w:t>
      </w:r>
      <w:r w:rsidRPr="00714FA4">
        <w:rPr>
          <w:rFonts w:ascii="Calibri" w:eastAsia="Calibri" w:hAnsi="Calibri" w:cs="Times New Roman"/>
        </w:rPr>
        <w:t>Department of Molecular Cell Biology, Institute of Biochemistry, Life Sciences Center, Vilnius University, Vilnius, Lithuania</w:t>
      </w:r>
    </w:p>
    <w:p w:rsidR="00714FA4" w:rsidRPr="00714FA4" w:rsidRDefault="00714FA4" w:rsidP="00714FA4">
      <w:pPr>
        <w:spacing w:after="40" w:line="360" w:lineRule="auto"/>
        <w:rPr>
          <w:rFonts w:ascii="Times New Roman" w:eastAsia="Times New Roman" w:hAnsi="Times New Roman" w:cs="Times New Roman"/>
          <w:b/>
          <w:iCs/>
          <w:sz w:val="24"/>
          <w:szCs w:val="24"/>
          <w:lang w:eastAsia="lt-LT"/>
        </w:rPr>
      </w:pPr>
      <w:r w:rsidRPr="00714FA4">
        <w:rPr>
          <w:rFonts w:ascii="Times New Roman" w:eastAsia="Times New Roman" w:hAnsi="Times New Roman" w:cs="Times New Roman"/>
          <w:iCs/>
          <w:color w:val="000000"/>
          <w:sz w:val="19"/>
          <w:szCs w:val="19"/>
          <w:lang w:val="lt-LT" w:eastAsia="lt-LT"/>
        </w:rPr>
        <w:t>* gintaras.valincius@gmc.vu.lt</w:t>
      </w:r>
    </w:p>
    <w:p w:rsidR="00714FA4" w:rsidRPr="00714FA4" w:rsidRDefault="00714FA4" w:rsidP="00714FA4">
      <w:pPr>
        <w:spacing w:after="120" w:line="240" w:lineRule="auto"/>
        <w:jc w:val="both"/>
        <w:rPr>
          <w:rFonts w:ascii="Calibri Light" w:eastAsia="Times New Roman" w:hAnsi="Calibri Light" w:cs="Times New Roman"/>
          <w:sz w:val="24"/>
          <w:szCs w:val="24"/>
          <w:lang w:val="lt-LT" w:eastAsia="lt-LT"/>
        </w:rPr>
      </w:pPr>
    </w:p>
    <w:p w:rsidR="00714FA4" w:rsidRPr="00714FA4" w:rsidRDefault="00714FA4" w:rsidP="00714FA4">
      <w:pPr>
        <w:spacing w:line="240" w:lineRule="auto"/>
        <w:rPr>
          <w:rFonts w:ascii="Times New Roman" w:eastAsia="Times New Roman" w:hAnsi="Times New Roman" w:cs="Times New Roman"/>
          <w:sz w:val="36"/>
          <w:szCs w:val="36"/>
          <w:lang w:val="lt-LT" w:eastAsia="lt-LT"/>
        </w:rPr>
      </w:pPr>
      <w:r w:rsidRPr="00714FA4">
        <w:rPr>
          <w:rFonts w:ascii="Times New Roman" w:eastAsia="Times New Roman" w:hAnsi="Times New Roman" w:cs="Times New Roman"/>
          <w:sz w:val="36"/>
          <w:szCs w:val="36"/>
          <w:lang w:val="lt-LT" w:eastAsia="lt-LT"/>
        </w:rPr>
        <w:t>Supporting information</w:t>
      </w:r>
    </w:p>
    <w:p w:rsidR="00714FA4" w:rsidRPr="00714FA4" w:rsidRDefault="00714FA4" w:rsidP="00714FA4">
      <w:pPr>
        <w:jc w:val="both"/>
        <w:rPr>
          <w:rFonts w:ascii="Times New Roman" w:eastAsia="Times New Roman" w:hAnsi="Times New Roman" w:cs="Times New Roman"/>
          <w:bCs/>
          <w:iCs/>
          <w:color w:val="000000"/>
          <w:sz w:val="32"/>
          <w:szCs w:val="32"/>
          <w:lang w:val="lt-LT" w:eastAsia="lt-LT"/>
        </w:rPr>
      </w:pPr>
      <w:r w:rsidRPr="00714FA4">
        <w:rPr>
          <w:rFonts w:ascii="Times New Roman" w:eastAsia="Times New Roman" w:hAnsi="Times New Roman" w:cs="Times New Roman"/>
          <w:sz w:val="32"/>
          <w:szCs w:val="32"/>
          <w:lang w:val="lt-LT" w:eastAsia="lt-LT"/>
        </w:rPr>
        <w:t xml:space="preserve">S2 Appendix: </w:t>
      </w:r>
      <w:r w:rsidRPr="00714FA4">
        <w:rPr>
          <w:rFonts w:ascii="Times New Roman" w:eastAsia="Times New Roman" w:hAnsi="Times New Roman" w:cs="Times New Roman"/>
          <w:bCs/>
          <w:iCs/>
          <w:color w:val="000000"/>
          <w:sz w:val="32"/>
          <w:szCs w:val="32"/>
          <w:lang w:val="lt-LT" w:eastAsia="lt-LT"/>
        </w:rPr>
        <w:t>Effect of centrifuge filtering to morphology of amyloid oligomers prepared using HFIP protocol.</w:t>
      </w:r>
    </w:p>
    <w:p w:rsidR="00714FA4" w:rsidRPr="00714FA4" w:rsidRDefault="00714FA4" w:rsidP="00714FA4">
      <w:pPr>
        <w:spacing w:after="0" w:line="360" w:lineRule="auto"/>
        <w:ind w:firstLine="288"/>
        <w:jc w:val="both"/>
        <w:rPr>
          <w:rFonts w:ascii="Times New Roman" w:eastAsia="Times New Roman" w:hAnsi="Times New Roman" w:cs="Times New Roman"/>
          <w:bCs/>
          <w:iCs/>
          <w:color w:val="000000"/>
          <w:sz w:val="24"/>
          <w:szCs w:val="24"/>
          <w:lang w:val="lt-LT" w:eastAsia="lt-LT"/>
        </w:rPr>
      </w:pPr>
      <w:r w:rsidRPr="00714FA4">
        <w:rPr>
          <w:rFonts w:ascii="Times New Roman" w:eastAsia="Times New Roman" w:hAnsi="Times New Roman" w:cs="Times New Roman"/>
          <w:bCs/>
          <w:iCs/>
          <w:color w:val="000000"/>
          <w:sz w:val="24"/>
          <w:szCs w:val="24"/>
          <w:lang w:val="lt-LT" w:eastAsia="lt-LT"/>
        </w:rPr>
        <w:t>Experimental AFM data of HFIP oligomers obtained before and after centrifuge-filtering at 100</w:t>
      </w:r>
      <w:r w:rsidRPr="00714FA4">
        <w:rPr>
          <w:rFonts w:ascii="Times New Roman" w:eastAsia="Calibri" w:hAnsi="Times New Roman" w:cs="Times New Roman"/>
          <w:sz w:val="24"/>
          <w:szCs w:val="24"/>
          <w:lang w:val="lt-LT" w:eastAsia="lt-LT"/>
        </w:rPr>
        <w:t> </w:t>
      </w:r>
      <w:r w:rsidRPr="00714FA4">
        <w:rPr>
          <w:rFonts w:ascii="Times New Roman" w:eastAsia="Times New Roman" w:hAnsi="Times New Roman" w:cs="Times New Roman"/>
          <w:bCs/>
          <w:iCs/>
          <w:color w:val="000000"/>
          <w:sz w:val="24"/>
          <w:szCs w:val="24"/>
          <w:lang w:val="lt-LT" w:eastAsia="lt-LT"/>
        </w:rPr>
        <w:t>kDa is shown in Figure S1 A and B respectively. As it follows from the image height distribution analysis (Fig S1, C) filtering does no change the size distribution of amyloid oligomer species. The highest probabilities of occurencies are observed for species with the average sizes between 1.3</w:t>
      </w:r>
      <w:r w:rsidRPr="00714FA4">
        <w:rPr>
          <w:rFonts w:ascii="Times New Roman" w:eastAsia="Calibri" w:hAnsi="Times New Roman" w:cs="Times New Roman"/>
          <w:sz w:val="24"/>
          <w:szCs w:val="24"/>
          <w:lang w:val="lt-LT" w:eastAsia="lt-LT"/>
        </w:rPr>
        <w:t> </w:t>
      </w:r>
      <w:r w:rsidRPr="00714FA4">
        <w:rPr>
          <w:rFonts w:ascii="Times New Roman" w:eastAsia="Times New Roman" w:hAnsi="Times New Roman" w:cs="Times New Roman"/>
          <w:bCs/>
          <w:iCs/>
          <w:color w:val="000000"/>
          <w:sz w:val="24"/>
          <w:szCs w:val="24"/>
          <w:lang w:val="lt-LT" w:eastAsia="lt-LT"/>
        </w:rPr>
        <w:t>and</w:t>
      </w:r>
      <w:r w:rsidRPr="00714FA4">
        <w:rPr>
          <w:rFonts w:ascii="Times New Roman" w:eastAsia="Calibri" w:hAnsi="Times New Roman" w:cs="Times New Roman"/>
          <w:sz w:val="24"/>
          <w:szCs w:val="24"/>
          <w:lang w:val="lt-LT" w:eastAsia="lt-LT"/>
        </w:rPr>
        <w:t> </w:t>
      </w:r>
      <w:r w:rsidRPr="00714FA4">
        <w:rPr>
          <w:rFonts w:ascii="Times New Roman" w:eastAsia="Times New Roman" w:hAnsi="Times New Roman" w:cs="Times New Roman"/>
          <w:bCs/>
          <w:iCs/>
          <w:color w:val="000000"/>
          <w:sz w:val="24"/>
          <w:szCs w:val="24"/>
          <w:lang w:val="lt-LT" w:eastAsia="lt-LT"/>
        </w:rPr>
        <w:t>1.8</w:t>
      </w:r>
      <w:r w:rsidRPr="00714FA4">
        <w:rPr>
          <w:rFonts w:ascii="Times New Roman" w:eastAsia="Calibri" w:hAnsi="Times New Roman" w:cs="Times New Roman"/>
          <w:sz w:val="24"/>
          <w:szCs w:val="24"/>
          <w:lang w:val="lt-LT" w:eastAsia="lt-LT"/>
        </w:rPr>
        <w:t> </w:t>
      </w:r>
      <w:r w:rsidRPr="00714FA4">
        <w:rPr>
          <w:rFonts w:ascii="Times New Roman" w:eastAsia="Times New Roman" w:hAnsi="Times New Roman" w:cs="Times New Roman"/>
          <w:bCs/>
          <w:iCs/>
          <w:color w:val="000000"/>
          <w:sz w:val="24"/>
          <w:szCs w:val="24"/>
          <w:lang w:val="lt-LT" w:eastAsia="lt-LT"/>
        </w:rPr>
        <w:t>nm.</w:t>
      </w:r>
    </w:p>
    <w:p w:rsidR="00714FA4" w:rsidRPr="00714FA4" w:rsidRDefault="00714FA4" w:rsidP="00714FA4">
      <w:pPr>
        <w:spacing w:after="0" w:line="240" w:lineRule="auto"/>
        <w:rPr>
          <w:rFonts w:ascii="Times New Roman" w:eastAsia="Times New Roman" w:hAnsi="Times New Roman" w:cs="Times New Roman"/>
          <w:noProof/>
          <w:sz w:val="24"/>
          <w:szCs w:val="24"/>
          <w:lang w:val="en-GB" w:eastAsia="en-GB"/>
        </w:rPr>
      </w:pPr>
    </w:p>
    <w:p w:rsidR="00714FA4" w:rsidRPr="00714FA4" w:rsidRDefault="00714FA4" w:rsidP="00714FA4">
      <w:pPr>
        <w:spacing w:after="0" w:line="360" w:lineRule="auto"/>
        <w:jc w:val="both"/>
        <w:rPr>
          <w:rFonts w:ascii="Times New Roman" w:eastAsia="Times New Roman" w:hAnsi="Times New Roman" w:cs="Times New Roman"/>
          <w:lang w:val="lt-LT" w:eastAsia="lt-LT"/>
        </w:rPr>
      </w:pPr>
      <w:r w:rsidRPr="00714FA4">
        <w:rPr>
          <w:rFonts w:ascii="Times New Roman" w:eastAsia="Times New Roman" w:hAnsi="Times New Roman" w:cs="Times New Roman"/>
          <w:noProof/>
          <w:sz w:val="24"/>
          <w:szCs w:val="24"/>
        </w:rPr>
        <w:lastRenderedPageBreak/>
        <w:drawing>
          <wp:inline distT="0" distB="0" distL="0" distR="0" wp14:anchorId="2C6B62DE" wp14:editId="2EBCA395">
            <wp:extent cx="4172400" cy="4024800"/>
            <wp:effectExtent l="0" t="0" r="0" b="0"/>
            <wp:docPr id="1" name="Picture 1" descr="C:\Users\Marija\Desktop\supplement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ja\Desktop\supplementS1.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72400" cy="4024800"/>
                    </a:xfrm>
                    <a:prstGeom prst="rect">
                      <a:avLst/>
                    </a:prstGeom>
                    <a:noFill/>
                    <a:ln>
                      <a:noFill/>
                    </a:ln>
                  </pic:spPr>
                </pic:pic>
              </a:graphicData>
            </a:graphic>
          </wp:inline>
        </w:drawing>
      </w:r>
      <w:r w:rsidRPr="00714FA4">
        <w:rPr>
          <w:rFonts w:ascii="Times New Roman" w:eastAsia="Times New Roman" w:hAnsi="Times New Roman" w:cs="Times New Roman"/>
          <w:sz w:val="24"/>
          <w:szCs w:val="24"/>
          <w:lang w:eastAsia="lt-LT"/>
        </w:rPr>
        <w:br w:type="textWrapping" w:clear="all"/>
      </w:r>
      <w:r w:rsidRPr="00714FA4">
        <w:rPr>
          <w:rFonts w:ascii="Times New Roman" w:eastAsia="Times New Roman" w:hAnsi="Times New Roman" w:cs="Times New Roman"/>
          <w:b/>
          <w:lang w:val="lt-LT" w:eastAsia="lt-LT"/>
        </w:rPr>
        <w:t>Fig</w:t>
      </w:r>
      <w:r w:rsidR="008B565E">
        <w:rPr>
          <w:rFonts w:ascii="Times New Roman" w:eastAsia="Times New Roman" w:hAnsi="Times New Roman" w:cs="Times New Roman"/>
          <w:b/>
          <w:lang w:val="lt-LT" w:eastAsia="lt-LT"/>
        </w:rPr>
        <w:t xml:space="preserve"> </w:t>
      </w:r>
      <w:bookmarkStart w:id="0" w:name="_GoBack"/>
      <w:bookmarkEnd w:id="0"/>
      <w:r w:rsidRPr="00714FA4">
        <w:rPr>
          <w:rFonts w:ascii="Times New Roman" w:eastAsia="Times New Roman" w:hAnsi="Times New Roman" w:cs="Times New Roman"/>
          <w:b/>
          <w:lang w:val="lt-LT" w:eastAsia="lt-LT"/>
        </w:rPr>
        <w:t>S1</w:t>
      </w:r>
      <w:r w:rsidRPr="00714FA4">
        <w:rPr>
          <w:rFonts w:ascii="Times New Roman" w:eastAsia="Times New Roman" w:hAnsi="Times New Roman" w:cs="Times New Roman"/>
          <w:lang w:val="lt-LT" w:eastAsia="lt-LT"/>
        </w:rPr>
        <w:t>. AFM topography images of aβ(1-42) prepared by HFIP protocol. A) non-filtered preparation 10.6</w:t>
      </w:r>
      <w:r w:rsidRPr="00714FA4">
        <w:rPr>
          <w:rFonts w:ascii="Times New Roman" w:eastAsia="Calibri" w:hAnsi="Times New Roman" w:cs="Times New Roman"/>
          <w:lang w:val="lt-LT" w:eastAsia="lt-LT"/>
        </w:rPr>
        <w:t> </w:t>
      </w:r>
      <w:r w:rsidRPr="00714FA4">
        <w:rPr>
          <w:rFonts w:ascii="Times New Roman" w:eastAsia="Times New Roman" w:hAnsi="Times New Roman" w:cs="Times New Roman"/>
          <w:lang w:val="lt-LT" w:eastAsia="lt-LT"/>
        </w:rPr>
        <w:t>µM; B) filtered preparation 8.3</w:t>
      </w:r>
      <w:r w:rsidRPr="00714FA4">
        <w:rPr>
          <w:rFonts w:ascii="Times New Roman" w:eastAsia="Calibri" w:hAnsi="Times New Roman" w:cs="Times New Roman"/>
          <w:lang w:val="lt-LT" w:eastAsia="lt-LT"/>
        </w:rPr>
        <w:t> </w:t>
      </w:r>
      <w:r w:rsidRPr="00714FA4">
        <w:rPr>
          <w:rFonts w:ascii="Times New Roman" w:eastAsia="Times New Roman" w:hAnsi="Times New Roman" w:cs="Times New Roman"/>
          <w:lang w:val="lt-LT" w:eastAsia="lt-LT"/>
        </w:rPr>
        <w:t>µM. Scan size 1</w:t>
      </w:r>
      <w:r w:rsidRPr="00714FA4">
        <w:rPr>
          <w:rFonts w:ascii="Times New Roman" w:eastAsia="Calibri" w:hAnsi="Times New Roman" w:cs="Times New Roman"/>
          <w:lang w:val="lt-LT" w:eastAsia="lt-LT"/>
        </w:rPr>
        <w:t> </w:t>
      </w:r>
      <w:r w:rsidRPr="00714FA4">
        <w:rPr>
          <w:rFonts w:ascii="Times New Roman" w:eastAsia="Times New Roman" w:hAnsi="Times New Roman" w:cs="Calibri"/>
          <w:lang w:val="lt-LT" w:eastAsia="lt-LT"/>
        </w:rPr>
        <w:t>µ</w:t>
      </w:r>
      <w:r w:rsidRPr="00714FA4">
        <w:rPr>
          <w:rFonts w:ascii="Times New Roman" w:eastAsia="Times New Roman" w:hAnsi="Times New Roman" w:cs="Times New Roman"/>
          <w:lang w:val="lt-LT" w:eastAsia="lt-LT"/>
        </w:rPr>
        <w:t>m</w:t>
      </w:r>
      <w:r w:rsidRPr="00714FA4">
        <w:rPr>
          <w:rFonts w:ascii="Times New Roman" w:eastAsia="Calibri" w:hAnsi="Times New Roman" w:cs="Times New Roman"/>
          <w:lang w:val="lt-LT" w:eastAsia="lt-LT"/>
        </w:rPr>
        <w:t> </w:t>
      </w:r>
      <w:r w:rsidRPr="00714FA4">
        <w:rPr>
          <w:rFonts w:ascii="Times New Roman" w:eastAsia="Times New Roman" w:hAnsi="Times New Roman" w:cs="Times New Roman"/>
          <w:lang w:val="lt-LT" w:eastAsia="lt-LT"/>
        </w:rPr>
        <w:t>x</w:t>
      </w:r>
      <w:r w:rsidRPr="00714FA4">
        <w:rPr>
          <w:rFonts w:ascii="Times New Roman" w:eastAsia="Calibri" w:hAnsi="Times New Roman" w:cs="Times New Roman"/>
          <w:lang w:val="lt-LT" w:eastAsia="lt-LT"/>
        </w:rPr>
        <w:t> </w:t>
      </w:r>
      <w:r w:rsidRPr="00714FA4">
        <w:rPr>
          <w:rFonts w:ascii="Times New Roman" w:eastAsia="Times New Roman" w:hAnsi="Times New Roman" w:cs="Times New Roman"/>
          <w:lang w:val="lt-LT" w:eastAsia="lt-LT"/>
        </w:rPr>
        <w:t>1</w:t>
      </w:r>
      <w:r w:rsidRPr="00714FA4">
        <w:rPr>
          <w:rFonts w:ascii="Times New Roman" w:eastAsia="Calibri" w:hAnsi="Times New Roman" w:cs="Times New Roman"/>
          <w:lang w:val="lt-LT" w:eastAsia="lt-LT"/>
        </w:rPr>
        <w:t> </w:t>
      </w:r>
      <w:r w:rsidRPr="00714FA4">
        <w:rPr>
          <w:rFonts w:ascii="Times New Roman" w:eastAsia="Times New Roman" w:hAnsi="Times New Roman" w:cs="Calibri"/>
          <w:lang w:val="lt-LT" w:eastAsia="lt-LT"/>
        </w:rPr>
        <w:t>µ</w:t>
      </w:r>
      <w:r w:rsidRPr="00714FA4">
        <w:rPr>
          <w:rFonts w:ascii="Times New Roman" w:eastAsia="Times New Roman" w:hAnsi="Times New Roman" w:cs="Times New Roman"/>
          <w:lang w:val="lt-LT" w:eastAsia="lt-LT"/>
        </w:rPr>
        <w:t>m, 1024</w:t>
      </w:r>
      <w:r w:rsidRPr="00714FA4">
        <w:rPr>
          <w:rFonts w:ascii="Times New Roman" w:eastAsia="Calibri" w:hAnsi="Times New Roman" w:cs="Times New Roman"/>
          <w:lang w:val="lt-LT" w:eastAsia="lt-LT"/>
        </w:rPr>
        <w:t> </w:t>
      </w:r>
      <w:r w:rsidRPr="00714FA4">
        <w:rPr>
          <w:rFonts w:ascii="Times New Roman" w:eastAsia="Times New Roman" w:hAnsi="Times New Roman" w:cs="Times New Roman"/>
          <w:lang w:val="lt-LT" w:eastAsia="lt-LT"/>
        </w:rPr>
        <w:t>pxl. C) The height distributions of non-filtered (</w:t>
      </w:r>
      <w:r w:rsidRPr="00714FA4">
        <w:rPr>
          <w:rFonts w:ascii="Times New Roman" w:eastAsia="Times New Roman" w:hAnsi="Times New Roman" w:cs="Times New Roman"/>
          <w:i/>
          <w:lang w:val="lt-LT" w:eastAsia="lt-LT"/>
        </w:rPr>
        <w:t>black</w:t>
      </w:r>
      <w:r w:rsidRPr="00714FA4">
        <w:rPr>
          <w:rFonts w:ascii="Times New Roman" w:eastAsia="Times New Roman" w:hAnsi="Times New Roman" w:cs="Times New Roman"/>
          <w:lang w:val="lt-LT" w:eastAsia="lt-LT"/>
        </w:rPr>
        <w:t xml:space="preserve"> bars) and filtered (</w:t>
      </w:r>
      <w:r w:rsidRPr="00714FA4">
        <w:rPr>
          <w:rFonts w:ascii="Times New Roman" w:eastAsia="Times New Roman" w:hAnsi="Times New Roman" w:cs="Times New Roman"/>
          <w:i/>
          <w:lang w:val="lt-LT" w:eastAsia="lt-LT"/>
        </w:rPr>
        <w:t>red</w:t>
      </w:r>
      <w:r w:rsidRPr="00714FA4">
        <w:rPr>
          <w:rFonts w:ascii="Times New Roman" w:eastAsia="Times New Roman" w:hAnsi="Times New Roman" w:cs="Times New Roman"/>
          <w:lang w:val="lt-LT" w:eastAsia="lt-LT"/>
        </w:rPr>
        <w:t xml:space="preserve"> bars) preparations.</w:t>
      </w:r>
    </w:p>
    <w:p w:rsidR="00714FA4" w:rsidRPr="00714FA4" w:rsidRDefault="00714FA4" w:rsidP="00714FA4">
      <w:pPr>
        <w:spacing w:after="0" w:line="240" w:lineRule="auto"/>
        <w:rPr>
          <w:rFonts w:ascii="Times New Roman" w:eastAsia="Times New Roman" w:hAnsi="Times New Roman" w:cs="Times New Roman"/>
          <w:sz w:val="24"/>
          <w:szCs w:val="24"/>
          <w:lang w:val="lt-LT" w:eastAsia="lt-LT"/>
        </w:rPr>
      </w:pPr>
    </w:p>
    <w:p w:rsidR="00714FA4" w:rsidRPr="00714FA4" w:rsidRDefault="00714FA4" w:rsidP="00714FA4">
      <w:pPr>
        <w:spacing w:after="0" w:line="360" w:lineRule="auto"/>
        <w:jc w:val="both"/>
        <w:rPr>
          <w:rFonts w:ascii="Times New Roman" w:eastAsia="Times New Roman" w:hAnsi="Times New Roman" w:cs="Times New Roman"/>
          <w:sz w:val="24"/>
          <w:szCs w:val="24"/>
          <w:lang w:val="lt-LT" w:eastAsia="lt-LT"/>
        </w:rPr>
      </w:pPr>
      <w:r w:rsidRPr="00714FA4">
        <w:rPr>
          <w:rFonts w:ascii="Times New Roman" w:eastAsia="Times New Roman" w:hAnsi="Times New Roman" w:cs="Times New Roman"/>
          <w:sz w:val="24"/>
          <w:szCs w:val="24"/>
          <w:lang w:val="lt-LT" w:eastAsia="lt-LT"/>
        </w:rPr>
        <w:t>Conclusion: centrifuge filtering does not significantly affect size distribution of oligomeric species prior and after centrifuge filtration.</w:t>
      </w:r>
    </w:p>
    <w:p w:rsidR="00B7571E" w:rsidRPr="00714FA4" w:rsidRDefault="00B7571E">
      <w:pPr>
        <w:rPr>
          <w:lang w:val="lt-LT"/>
        </w:rPr>
      </w:pPr>
    </w:p>
    <w:sectPr w:rsidR="00B7571E" w:rsidRPr="00714FA4">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4FA4"/>
    <w:rsid w:val="00714FA4"/>
    <w:rsid w:val="008B565E"/>
    <w:rsid w:val="00B757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4F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4F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4F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4F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219</Words>
  <Characters>1249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Bozena</dc:creator>
  <cp:lastModifiedBy>Bozena</cp:lastModifiedBy>
  <cp:revision>2</cp:revision>
  <dcterms:created xsi:type="dcterms:W3CDTF">2019-08-26T09:31:00Z</dcterms:created>
  <dcterms:modified xsi:type="dcterms:W3CDTF">2019-08-26T09:33:00Z</dcterms:modified>
</cp:coreProperties>
</file>