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E22F" w14:textId="6201B489" w:rsidR="004D2BF4" w:rsidRPr="004D2BF4" w:rsidRDefault="004D2BF4" w:rsidP="004D2BF4">
      <w:pPr>
        <w:pStyle w:val="Caption"/>
        <w:keepNext/>
        <w:jc w:val="center"/>
        <w:rPr>
          <w:sz w:val="22"/>
          <w:szCs w:val="22"/>
        </w:rPr>
      </w:pPr>
      <w:r w:rsidRPr="004D2BF4">
        <w:rPr>
          <w:sz w:val="22"/>
          <w:szCs w:val="22"/>
        </w:rPr>
        <w:t>S2 Table: Rate of diagnosis and switching</w:t>
      </w:r>
      <w:r w:rsidR="00A22316">
        <w:rPr>
          <w:sz w:val="22"/>
          <w:szCs w:val="22"/>
        </w:rPr>
        <w:t>: Mean(</w:t>
      </w:r>
      <w:proofErr w:type="spellStart"/>
      <w:r w:rsidR="00A22316">
        <w:rPr>
          <w:sz w:val="22"/>
          <w:szCs w:val="22"/>
        </w:rPr>
        <w:t>sd</w:t>
      </w:r>
      <w:proofErr w:type="spellEnd"/>
      <w:r w:rsidR="00A22316">
        <w:rPr>
          <w:sz w:val="22"/>
          <w:szCs w:val="22"/>
        </w:rPr>
        <w:t>)</w:t>
      </w:r>
    </w:p>
    <w:tbl>
      <w:tblPr>
        <w:tblStyle w:val="ListTable6Colorful"/>
        <w:tblW w:w="8671" w:type="dxa"/>
        <w:tblLook w:val="0620" w:firstRow="1" w:lastRow="0" w:firstColumn="0" w:lastColumn="0" w:noHBand="1" w:noVBand="1"/>
      </w:tblPr>
      <w:tblGrid>
        <w:gridCol w:w="1719"/>
        <w:gridCol w:w="1789"/>
        <w:gridCol w:w="1723"/>
        <w:gridCol w:w="1719"/>
        <w:gridCol w:w="1721"/>
      </w:tblGrid>
      <w:tr w:rsidR="004D2BF4" w:rsidRPr="00B8097A" w14:paraId="6ABCF218" w14:textId="77777777" w:rsidTr="00896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17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CF7F65" w14:textId="77777777" w:rsidR="004D2BF4" w:rsidRPr="00B8097A" w:rsidRDefault="004D2BF4" w:rsidP="00896F28">
            <w:pPr>
              <w:spacing w:line="240" w:lineRule="auto"/>
            </w:pPr>
          </w:p>
        </w:tc>
        <w:tc>
          <w:tcPr>
            <w:tcW w:w="3512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02570323" w14:textId="77777777" w:rsidR="004D2BF4" w:rsidRPr="00B8097A" w:rsidRDefault="004D2BF4" w:rsidP="00896F28">
            <w:pPr>
              <w:spacing w:line="240" w:lineRule="auto"/>
              <w:jc w:val="center"/>
            </w:pPr>
            <w:r w:rsidRPr="00B8097A">
              <w:t xml:space="preserve">Rate of diagnosis </w:t>
            </w:r>
            <m:oMath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den>
                  </m:f>
                </m:e>
              </m:d>
            </m:oMath>
            <w:r w:rsidRPr="00B8097A" w:rsidDel="008F69D1">
              <w:t xml:space="preserve"> </w:t>
            </w:r>
          </w:p>
        </w:tc>
        <w:tc>
          <w:tcPr>
            <w:tcW w:w="344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5F200717" w14:textId="77777777" w:rsidR="004D2BF4" w:rsidRPr="00B8097A" w:rsidRDefault="004D2BF4" w:rsidP="00896F28">
            <w:pPr>
              <w:spacing w:line="240" w:lineRule="auto"/>
              <w:jc w:val="center"/>
              <w:rPr>
                <w:bCs w:val="0"/>
              </w:rPr>
            </w:pPr>
            <w:r w:rsidRPr="00B8097A">
              <w:t xml:space="preserve">Rate of switching </w:t>
            </w:r>
            <m:oMath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</m:d>
            </m:oMath>
          </w:p>
        </w:tc>
      </w:tr>
      <w:tr w:rsidR="004D2BF4" w:rsidRPr="00B8097A" w14:paraId="1C1EB010" w14:textId="77777777" w:rsidTr="00896F28">
        <w:trPr>
          <w:trHeight w:val="332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6DA07369" w14:textId="77777777" w:rsidR="004D2BF4" w:rsidRPr="00B8097A" w:rsidRDefault="004D2BF4" w:rsidP="00896F28">
            <w:pPr>
              <w:spacing w:line="240" w:lineRule="auto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3F78642D" w14:textId="77777777" w:rsidR="004D2BF4" w:rsidRPr="00B8097A" w:rsidRDefault="004D2BF4" w:rsidP="00896F28">
            <w:pPr>
              <w:spacing w:line="240" w:lineRule="auto"/>
              <w:jc w:val="center"/>
            </w:pPr>
            <w:r w:rsidRPr="00B8097A">
              <w:t>Mumbai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08A7F4E2" w14:textId="77777777" w:rsidR="004D2BF4" w:rsidRPr="00B8097A" w:rsidRDefault="004D2BF4" w:rsidP="00896F28">
            <w:pPr>
              <w:spacing w:line="240" w:lineRule="auto"/>
              <w:jc w:val="center"/>
            </w:pPr>
            <w:r w:rsidRPr="00B8097A">
              <w:t>Patna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2E6A301C" w14:textId="77777777" w:rsidR="004D2BF4" w:rsidRPr="00B8097A" w:rsidRDefault="004D2BF4" w:rsidP="00896F28">
            <w:pPr>
              <w:spacing w:line="240" w:lineRule="auto"/>
              <w:jc w:val="center"/>
            </w:pPr>
            <w:r w:rsidRPr="00B8097A">
              <w:t>Mumbai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14:paraId="3AC469E1" w14:textId="77777777" w:rsidR="004D2BF4" w:rsidRPr="00B8097A" w:rsidRDefault="004D2BF4" w:rsidP="00896F28">
            <w:pPr>
              <w:spacing w:line="240" w:lineRule="auto"/>
              <w:jc w:val="center"/>
            </w:pPr>
            <w:r w:rsidRPr="00B8097A">
              <w:t>Patna</w:t>
            </w:r>
          </w:p>
        </w:tc>
      </w:tr>
      <w:tr w:rsidR="004D2BF4" w14:paraId="5601CF43" w14:textId="77777777" w:rsidTr="00896F28">
        <w:trPr>
          <w:trHeight w:val="416"/>
        </w:trPr>
        <w:tc>
          <w:tcPr>
            <w:tcW w:w="1719" w:type="dxa"/>
            <w:tcBorders>
              <w:top w:val="single" w:sz="4" w:space="0" w:color="auto"/>
            </w:tcBorders>
          </w:tcPr>
          <w:p w14:paraId="605508B0" w14:textId="77777777" w:rsidR="004D2BF4" w:rsidRDefault="004D2BF4" w:rsidP="00896F28">
            <w:pPr>
              <w:spacing w:line="240" w:lineRule="auto"/>
            </w:pPr>
            <w:r>
              <w:t>Public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393B2E97" w14:textId="77777777" w:rsidR="004D2BF4" w:rsidRDefault="004D2BF4" w:rsidP="00896F28">
            <w:pPr>
              <w:spacing w:line="240" w:lineRule="auto"/>
              <w:jc w:val="center"/>
            </w:pPr>
            <w:r>
              <w:t>0.09 (0.01)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2E772ADA" w14:textId="77777777" w:rsidR="004D2BF4" w:rsidRDefault="004D2BF4" w:rsidP="00896F28">
            <w:pPr>
              <w:spacing w:line="240" w:lineRule="auto"/>
              <w:jc w:val="center"/>
            </w:pPr>
            <w:r>
              <w:t>0.18 (0.02)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2CB3B86D" w14:textId="77777777" w:rsidR="004D2BF4" w:rsidRDefault="004D2BF4" w:rsidP="00896F28">
            <w:pPr>
              <w:spacing w:line="240" w:lineRule="auto"/>
              <w:jc w:val="center"/>
            </w:pPr>
            <w:r>
              <w:t>0.04 (0.00)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05B6EF2A" w14:textId="77777777" w:rsidR="004D2BF4" w:rsidRDefault="004D2BF4" w:rsidP="00896F28">
            <w:pPr>
              <w:spacing w:line="240" w:lineRule="auto"/>
              <w:jc w:val="center"/>
            </w:pPr>
            <w:r>
              <w:t>0.01 (0.00)</w:t>
            </w:r>
          </w:p>
        </w:tc>
      </w:tr>
      <w:tr w:rsidR="004D2BF4" w14:paraId="75687E94" w14:textId="77777777" w:rsidTr="00896F28">
        <w:trPr>
          <w:trHeight w:val="416"/>
        </w:trPr>
        <w:tc>
          <w:tcPr>
            <w:tcW w:w="1719" w:type="dxa"/>
          </w:tcPr>
          <w:p w14:paraId="1E790F3D" w14:textId="77777777" w:rsidR="004D2BF4" w:rsidRDefault="004D2BF4" w:rsidP="00896F28">
            <w:pPr>
              <w:spacing w:line="240" w:lineRule="auto"/>
            </w:pPr>
            <w:r>
              <w:t>FQ</w:t>
            </w:r>
          </w:p>
        </w:tc>
        <w:tc>
          <w:tcPr>
            <w:tcW w:w="1789" w:type="dxa"/>
          </w:tcPr>
          <w:p w14:paraId="254A5F18" w14:textId="77777777" w:rsidR="004D2BF4" w:rsidRDefault="004D2BF4" w:rsidP="00896F28">
            <w:pPr>
              <w:spacing w:line="240" w:lineRule="auto"/>
              <w:jc w:val="center"/>
            </w:pPr>
            <w:r>
              <w:t>0.07 (0.01)</w:t>
            </w:r>
          </w:p>
        </w:tc>
        <w:tc>
          <w:tcPr>
            <w:tcW w:w="1723" w:type="dxa"/>
          </w:tcPr>
          <w:p w14:paraId="312EDD95" w14:textId="77777777" w:rsidR="004D2BF4" w:rsidRDefault="004D2BF4" w:rsidP="00896F28">
            <w:pPr>
              <w:spacing w:line="240" w:lineRule="auto"/>
              <w:jc w:val="center"/>
            </w:pPr>
            <w:r>
              <w:t>0.10 (0.02)</w:t>
            </w:r>
          </w:p>
        </w:tc>
        <w:tc>
          <w:tcPr>
            <w:tcW w:w="1719" w:type="dxa"/>
          </w:tcPr>
          <w:p w14:paraId="6DF76A01" w14:textId="77777777" w:rsidR="004D2BF4" w:rsidRDefault="004D2BF4" w:rsidP="00896F28">
            <w:pPr>
              <w:spacing w:line="240" w:lineRule="auto"/>
              <w:jc w:val="center"/>
            </w:pPr>
            <w:r>
              <w:t>0.04 (0.01)</w:t>
            </w:r>
          </w:p>
        </w:tc>
        <w:tc>
          <w:tcPr>
            <w:tcW w:w="1721" w:type="dxa"/>
          </w:tcPr>
          <w:p w14:paraId="47AA9024" w14:textId="77777777" w:rsidR="004D2BF4" w:rsidRDefault="004D2BF4" w:rsidP="00896F28">
            <w:pPr>
              <w:spacing w:line="240" w:lineRule="auto"/>
              <w:jc w:val="center"/>
            </w:pPr>
            <w:r>
              <w:t>0.06 (0.01)</w:t>
            </w:r>
          </w:p>
        </w:tc>
      </w:tr>
      <w:tr w:rsidR="004D2BF4" w14:paraId="4B934B86" w14:textId="77777777" w:rsidTr="00896F28">
        <w:trPr>
          <w:trHeight w:val="435"/>
        </w:trPr>
        <w:tc>
          <w:tcPr>
            <w:tcW w:w="1719" w:type="dxa"/>
          </w:tcPr>
          <w:p w14:paraId="44CCFB3C" w14:textId="77777777" w:rsidR="004D2BF4" w:rsidRDefault="004D2BF4" w:rsidP="00896F28">
            <w:pPr>
              <w:spacing w:line="240" w:lineRule="auto"/>
            </w:pPr>
            <w:r>
              <w:t>LTFQ</w:t>
            </w:r>
          </w:p>
        </w:tc>
        <w:tc>
          <w:tcPr>
            <w:tcW w:w="1789" w:type="dxa"/>
          </w:tcPr>
          <w:p w14:paraId="06CF163A" w14:textId="77777777" w:rsidR="004D2BF4" w:rsidRDefault="004D2BF4" w:rsidP="00896F28">
            <w:pPr>
              <w:spacing w:line="240" w:lineRule="auto"/>
              <w:jc w:val="center"/>
            </w:pPr>
            <w:r>
              <w:t>0.03 (0.01)</w:t>
            </w:r>
          </w:p>
        </w:tc>
        <w:tc>
          <w:tcPr>
            <w:tcW w:w="1723" w:type="dxa"/>
          </w:tcPr>
          <w:p w14:paraId="519451FC" w14:textId="77777777" w:rsidR="004D2BF4" w:rsidRDefault="004D2BF4" w:rsidP="00896F2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19" w:type="dxa"/>
          </w:tcPr>
          <w:p w14:paraId="421A231D" w14:textId="77777777" w:rsidR="004D2BF4" w:rsidRDefault="004D2BF4" w:rsidP="00896F28">
            <w:pPr>
              <w:spacing w:line="240" w:lineRule="auto"/>
              <w:jc w:val="center"/>
            </w:pPr>
            <w:r>
              <w:t>0.05 (0.01)</w:t>
            </w:r>
          </w:p>
        </w:tc>
        <w:tc>
          <w:tcPr>
            <w:tcW w:w="1721" w:type="dxa"/>
          </w:tcPr>
          <w:p w14:paraId="7FC1DEF5" w14:textId="77777777" w:rsidR="004D2BF4" w:rsidRDefault="004D2BF4" w:rsidP="00896F28">
            <w:pPr>
              <w:spacing w:line="240" w:lineRule="auto"/>
              <w:jc w:val="center"/>
            </w:pPr>
            <w:r>
              <w:t>0.14 (0.06)</w:t>
            </w:r>
          </w:p>
        </w:tc>
      </w:tr>
      <w:tr w:rsidR="004D2BF4" w14:paraId="4958F148" w14:textId="77777777" w:rsidTr="00896F28">
        <w:trPr>
          <w:trHeight w:val="416"/>
        </w:trPr>
        <w:tc>
          <w:tcPr>
            <w:tcW w:w="1719" w:type="dxa"/>
          </w:tcPr>
          <w:p w14:paraId="6CC52A85" w14:textId="77777777" w:rsidR="004D2BF4" w:rsidRDefault="004D2BF4" w:rsidP="00896F28">
            <w:pPr>
              <w:spacing w:line="240" w:lineRule="auto"/>
            </w:pPr>
            <w:r>
              <w:t>Chemist</w:t>
            </w:r>
          </w:p>
        </w:tc>
        <w:tc>
          <w:tcPr>
            <w:tcW w:w="1789" w:type="dxa"/>
          </w:tcPr>
          <w:p w14:paraId="62FD1E29" w14:textId="77777777" w:rsidR="004D2BF4" w:rsidRDefault="004D2BF4" w:rsidP="00896F2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23" w:type="dxa"/>
          </w:tcPr>
          <w:p w14:paraId="237AEFD3" w14:textId="77777777" w:rsidR="004D2BF4" w:rsidRDefault="004D2BF4" w:rsidP="00896F2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19" w:type="dxa"/>
          </w:tcPr>
          <w:p w14:paraId="3E4F3ED4" w14:textId="77777777" w:rsidR="004D2BF4" w:rsidRDefault="004D2BF4" w:rsidP="00896F28">
            <w:pPr>
              <w:spacing w:line="240" w:lineRule="auto"/>
              <w:jc w:val="center"/>
            </w:pPr>
            <w:r>
              <w:t>0.06 (0.01)</w:t>
            </w:r>
          </w:p>
        </w:tc>
        <w:tc>
          <w:tcPr>
            <w:tcW w:w="1721" w:type="dxa"/>
          </w:tcPr>
          <w:p w14:paraId="012A284E" w14:textId="77777777" w:rsidR="004D2BF4" w:rsidRDefault="004D2BF4" w:rsidP="00896F28">
            <w:pPr>
              <w:spacing w:line="240" w:lineRule="auto"/>
              <w:jc w:val="center"/>
            </w:pPr>
            <w:r>
              <w:t>0.12 (0.02)</w:t>
            </w:r>
          </w:p>
        </w:tc>
      </w:tr>
    </w:tbl>
    <w:p w14:paraId="16F0F269" w14:textId="530C0EA6" w:rsidR="00F0665C" w:rsidRDefault="00F0665C">
      <w:r>
        <w:t>We assume that the time to getting a diagnosis from a provider (T</w:t>
      </w:r>
      <w:r>
        <w:rPr>
          <w:vertAlign w:val="subscript"/>
        </w:rPr>
        <w:t>d</w:t>
      </w:r>
      <w:r>
        <w:t>), and switching from a provider (T</w:t>
      </w:r>
      <w:r>
        <w:rPr>
          <w:vertAlign w:val="subscript"/>
        </w:rPr>
        <w:t>s</w:t>
      </w:r>
      <w:r>
        <w:t xml:space="preserve">), are exponentially distributed with rates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</m:e>
        </m:d>
      </m:oMath>
      <w:r>
        <w:t xml:space="preserve"> respectively. </w:t>
      </w:r>
    </w:p>
    <w:p w14:paraId="659AFCD1" w14:textId="295AAF88" w:rsidR="00332D1B" w:rsidRDefault="00332D1B">
      <w:r>
        <w:t>Rate of diagnosis</w:t>
      </w:r>
      <w:r w:rsidR="00F0665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den>
            </m:f>
          </m:e>
        </m:d>
      </m:oMath>
      <w:r>
        <w:t xml:space="preserve"> is the average number of diagnose</w:t>
      </w:r>
      <w:r w:rsidR="00F0665C">
        <w:t>s</w:t>
      </w:r>
      <w:r>
        <w:t xml:space="preserve"> per day per patient</w:t>
      </w:r>
      <w:r w:rsidR="00F0665C">
        <w:t xml:space="preserve"> in consultation</w:t>
      </w:r>
    </w:p>
    <w:p w14:paraId="158BAEA3" w14:textId="1A3FE8FD" w:rsidR="00F0665C" w:rsidRDefault="00332D1B" w:rsidP="00F0665C">
      <w:r>
        <w:t xml:space="preserve">Rate of </w:t>
      </w:r>
      <w:r w:rsidR="00F0665C">
        <w:t xml:space="preserve">switching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</m:e>
        </m:d>
      </m:oMath>
      <w:r w:rsidR="00F0665C">
        <w:t xml:space="preserve"> </w:t>
      </w:r>
      <w:r w:rsidR="00F0665C">
        <w:t xml:space="preserve"> </w:t>
      </w:r>
      <w:r>
        <w:t xml:space="preserve">is the average number of </w:t>
      </w:r>
      <w:r w:rsidR="00F0665C">
        <w:t xml:space="preserve">switches </w:t>
      </w:r>
      <w:r>
        <w:t>per day</w:t>
      </w:r>
      <w:bookmarkStart w:id="0" w:name="_GoBack"/>
      <w:bookmarkEnd w:id="0"/>
      <w:r>
        <w:t xml:space="preserve"> per patient </w:t>
      </w:r>
      <w:r w:rsidR="00F0665C">
        <w:t>in consultation</w:t>
      </w:r>
    </w:p>
    <w:p w14:paraId="10BA720C" w14:textId="2AB756FE" w:rsidR="00332D1B" w:rsidRDefault="00332D1B" w:rsidP="00332D1B"/>
    <w:p w14:paraId="106513EF" w14:textId="77777777" w:rsidR="00332D1B" w:rsidRDefault="00332D1B"/>
    <w:sectPr w:rsidR="00332D1B" w:rsidSect="00F734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4"/>
    <w:rsid w:val="00332D1B"/>
    <w:rsid w:val="003D6ABE"/>
    <w:rsid w:val="004D2BF4"/>
    <w:rsid w:val="004F6703"/>
    <w:rsid w:val="00645A6D"/>
    <w:rsid w:val="008464E1"/>
    <w:rsid w:val="00895E44"/>
    <w:rsid w:val="00A22316"/>
    <w:rsid w:val="00E96584"/>
    <w:rsid w:val="00F0665C"/>
    <w:rsid w:val="00F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624F"/>
  <w15:chartTrackingRefBased/>
  <w15:docId w15:val="{205946F1-E3E4-5F45-BA6E-AB48597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F4"/>
    <w:pPr>
      <w:tabs>
        <w:tab w:val="left" w:pos="-1080"/>
      </w:tabs>
      <w:spacing w:line="480" w:lineRule="auto"/>
      <w:jc w:val="both"/>
    </w:pPr>
    <w:rPr>
      <w:rFonts w:ascii="Times New Roman" w:eastAsia="Arial" w:hAnsi="Times New Roman" w:cs="Times New Roman"/>
      <w:color w:val="000000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6D"/>
    <w:pPr>
      <w:tabs>
        <w:tab w:val="clear" w:pos="-1080"/>
      </w:tabs>
      <w:spacing w:line="240" w:lineRule="auto"/>
      <w:jc w:val="left"/>
    </w:pPr>
    <w:rPr>
      <w:rFonts w:eastAsiaTheme="minorHAnsi"/>
      <w:color w:val="auto"/>
      <w:sz w:val="18"/>
      <w:szCs w:val="18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6D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4D2BF4"/>
    <w:rPr>
      <w:b/>
      <w:bCs/>
      <w:sz w:val="18"/>
      <w:szCs w:val="18"/>
    </w:rPr>
  </w:style>
  <w:style w:type="table" w:styleId="ListTable6Colorful">
    <w:name w:val="List Table 6 Colorful"/>
    <w:basedOn w:val="TableNormal"/>
    <w:uiPriority w:val="51"/>
    <w:rsid w:val="004D2BF4"/>
    <w:rPr>
      <w:rFonts w:asciiTheme="majorHAnsi" w:eastAsiaTheme="majorEastAsia" w:hAnsiTheme="majorHAnsi" w:cstheme="majorBidi"/>
      <w:color w:val="000000" w:themeColor="text1"/>
      <w:szCs w:val="22"/>
      <w:lang w:val="en-US" w:bidi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13DEF7-3B1C-4091-B538-8741A03B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 Deo</dc:creator>
  <cp:keywords/>
  <dc:description/>
  <cp:lastModifiedBy>Simrita Singh</cp:lastModifiedBy>
  <cp:revision>4</cp:revision>
  <dcterms:created xsi:type="dcterms:W3CDTF">2020-02-03T00:25:00Z</dcterms:created>
  <dcterms:modified xsi:type="dcterms:W3CDTF">2020-02-03T01:14:00Z</dcterms:modified>
</cp:coreProperties>
</file>