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018B" w14:textId="77777777" w:rsidR="00EB27D1" w:rsidRDefault="00EB27D1" w:rsidP="00F5774F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S6_Table</w:t>
      </w:r>
      <w:r w:rsidR="00F5774F" w:rsidRPr="00262E96">
        <w:rPr>
          <w:rFonts w:ascii="Times New Roman" w:hAnsi="Times New Roman" w:cs="Times New Roman"/>
          <w:b/>
        </w:rPr>
        <w:t xml:space="preserve"> </w:t>
      </w:r>
    </w:p>
    <w:p w14:paraId="15903018" w14:textId="4A74AA4C" w:rsidR="00F5774F" w:rsidRDefault="00F5774F" w:rsidP="00F5774F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Resource use by treatment allocation (intention to treat)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6"/>
        <w:gridCol w:w="1649"/>
        <w:gridCol w:w="2058"/>
        <w:gridCol w:w="1680"/>
      </w:tblGrid>
      <w:tr w:rsidR="00F5774F" w:rsidRPr="00262E96" w14:paraId="12486BA4" w14:textId="77777777" w:rsidTr="00936E63">
        <w:trPr>
          <w:trHeight w:val="245"/>
        </w:trPr>
        <w:tc>
          <w:tcPr>
            <w:tcW w:w="439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1C33D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Resource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 xml:space="preserve"> Use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BCFAF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No. of Observations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1BDB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N=1104*</w:t>
            </w:r>
          </w:p>
        </w:tc>
      </w:tr>
      <w:tr w:rsidR="00F5774F" w:rsidRPr="00262E96" w14:paraId="5A2473B4" w14:textId="77777777" w:rsidTr="00936E63">
        <w:trPr>
          <w:trHeight w:val="245"/>
        </w:trPr>
        <w:tc>
          <w:tcPr>
            <w:tcW w:w="4396" w:type="dxa"/>
            <w:vMerge/>
            <w:tcBorders>
              <w:bottom w:val="single" w:sz="4" w:space="0" w:color="auto"/>
            </w:tcBorders>
            <w:hideMark/>
          </w:tcPr>
          <w:p w14:paraId="7F562633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hideMark/>
          </w:tcPr>
          <w:p w14:paraId="27047880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F97A5" w14:textId="24744DA7" w:rsidR="00F5774F" w:rsidRDefault="00E46A1D" w:rsidP="00F57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Nitroglycerin</w:t>
            </w:r>
            <w:proofErr w:type="spellEnd"/>
            <w:r w:rsidR="00F5774F"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</w:p>
          <w:p w14:paraId="2CB98A48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(n=54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1</w:t>
            </w: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B103" w14:textId="77777777" w:rsidR="00F5774F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Placebo</w:t>
            </w:r>
          </w:p>
          <w:p w14:paraId="0065BD86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(n=56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3</w:t>
            </w: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)</w:t>
            </w:r>
          </w:p>
        </w:tc>
      </w:tr>
      <w:tr w:rsidR="00F5774F" w:rsidRPr="00262E96" w14:paraId="3C3320C9" w14:textId="77777777" w:rsidTr="00936E63">
        <w:trPr>
          <w:trHeight w:val="245"/>
        </w:trPr>
        <w:tc>
          <w:tcPr>
            <w:tcW w:w="439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798CF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Type of Hospital Resources (Initial Episode)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2E0BF3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D3F72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C7CDE8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F5774F" w:rsidRPr="00262E96" w14:paraId="2F3CD7A3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DA141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Time to Placenta Delivery, Hours; mean (SD)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FF31C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1087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E515D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1.31 (0.81)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42E9C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1.28 (0.77)</w:t>
            </w:r>
          </w:p>
        </w:tc>
      </w:tr>
      <w:tr w:rsidR="00F5774F" w:rsidRPr="00262E96" w14:paraId="30D20D6B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94E33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Time to Theatre, Hours; Mean (SD)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9C707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1065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542D6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0.79 (0.73)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21024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0.75 (0.66)</w:t>
            </w:r>
          </w:p>
        </w:tc>
      </w:tr>
      <w:tr w:rsidR="00F5774F" w:rsidRPr="00262E96" w14:paraId="79851E82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9A1A2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Time in Theatre, Hours; Mean (SD)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A7C92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1000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9DA22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0.82 (0.75)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2362C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0.82 (0.71)</w:t>
            </w:r>
          </w:p>
        </w:tc>
      </w:tr>
      <w:tr w:rsidR="00F5774F" w:rsidRPr="00262E96" w14:paraId="61EAE1B5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049FB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Method of Placenta Removal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2D343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1104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F8A36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5EE10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74F" w:rsidRPr="00262E96" w14:paraId="111148F8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1CD60" w14:textId="79662CD3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Non-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manual removal of placenta</w:t>
            </w: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s</w:t>
            </w: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pontaneous,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controlled cord traction</w:t>
            </w: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); 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(%)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8F94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0E0FB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134 (24.8%)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3CA35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146 (25.9%)</w:t>
            </w:r>
          </w:p>
        </w:tc>
      </w:tr>
      <w:tr w:rsidR="00F5774F" w:rsidRPr="00262E96" w14:paraId="40EA64CA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9135B" w14:textId="5FD29A41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Manual removal of placenta</w:t>
            </w: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; 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(%)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86BEA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0D264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407 (75.2%)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40CC4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417 (74.1%)</w:t>
            </w:r>
          </w:p>
        </w:tc>
      </w:tr>
      <w:tr w:rsidR="00F5774F" w:rsidRPr="00262E96" w14:paraId="217EFE47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96BF3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Blood transfusion; 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(%)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F4FEC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lang w:eastAsia="en-GB"/>
              </w:rPr>
              <w:t>1084</w:t>
            </w:r>
          </w:p>
        </w:tc>
        <w:tc>
          <w:tcPr>
            <w:tcW w:w="205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49FA4E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</w:rPr>
              <w:t>61 (11.4)</w:t>
            </w:r>
          </w:p>
        </w:tc>
        <w:tc>
          <w:tcPr>
            <w:tcW w:w="168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47FFF" w14:textId="77777777" w:rsidR="00F5774F" w:rsidRPr="00262E96" w:rsidRDefault="00F5774F" w:rsidP="00F5774F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</w:rPr>
              <w:t>43 (7.8)</w:t>
            </w:r>
          </w:p>
        </w:tc>
      </w:tr>
      <w:tr w:rsidR="00F5774F" w:rsidRPr="00262E96" w14:paraId="7540651E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DBCD1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Length of Stay, Hours; Mean (SD)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15B4A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1014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81D04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45.46 (35.33)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E1B76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en-GB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42.74 (29.81)</w:t>
            </w:r>
          </w:p>
        </w:tc>
      </w:tr>
      <w:tr w:rsidR="00F5774F" w:rsidRPr="00262E96" w14:paraId="5F292C1A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41547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Type of Primary Care Resources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1157D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24E4C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2BD69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F5774F" w:rsidRPr="00262E96" w14:paraId="476A77E1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DBBCF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Number of calls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to midwife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AD049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460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5636C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0.30 (1.12)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841D72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0.17 (0.46)</w:t>
            </w:r>
          </w:p>
        </w:tc>
      </w:tr>
      <w:tr w:rsidR="00F5774F" w:rsidRPr="00262E96" w14:paraId="7E6BB6A6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5C7EE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midwife </w:t>
            </w: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visits 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53E374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457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9CBDC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0.24 (0.90)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1E6DEB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0.28 (0.93)</w:t>
            </w:r>
          </w:p>
        </w:tc>
      </w:tr>
      <w:tr w:rsidR="00F5774F" w:rsidRPr="00262E96" w14:paraId="473A29F3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AECD4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Number of calls made to health visitor 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C317F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452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39C9F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0.04 (0.37)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8C3E2D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0.07 (0.39)</w:t>
            </w:r>
          </w:p>
        </w:tc>
      </w:tr>
      <w:tr w:rsidR="00F5774F" w:rsidRPr="00262E96" w14:paraId="17AC2FC2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834CF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Number of health visitor visits 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EA165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452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2825F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0.10 (0.52)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058D2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0.18 (0.80)</w:t>
            </w:r>
          </w:p>
        </w:tc>
      </w:tr>
      <w:tr w:rsidR="00F5774F" w:rsidRPr="00262E96" w14:paraId="051ED27F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0D32F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Number of visits to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general practitioner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28445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457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92EE0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0.38 (0.68)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7F8C1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0.49 (0.96)</w:t>
            </w:r>
          </w:p>
        </w:tc>
      </w:tr>
      <w:tr w:rsidR="00F5774F" w:rsidRPr="00262E96" w14:paraId="438AE97E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DF61B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general practitioner</w:t>
            </w: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 telephone consultation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57247B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446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1F3EC7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0.18 (0.50)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825B1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0.17 (0.51)</w:t>
            </w:r>
          </w:p>
        </w:tc>
      </w:tr>
      <w:tr w:rsidR="00F5774F" w:rsidRPr="00262E96" w14:paraId="0AC0F3EE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C59B8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Number of home visits by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general practitioner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AC49C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43</w:t>
            </w:r>
            <w:bookmarkStart w:id="0" w:name="_GoBack"/>
            <w:bookmarkEnd w:id="0"/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6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54333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0.03 (0.19)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FF404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  <w:color w:val="000000" w:themeColor="text1"/>
                <w:kern w:val="24"/>
              </w:rPr>
              <w:t>0.004 (0.07)</w:t>
            </w:r>
          </w:p>
        </w:tc>
      </w:tr>
      <w:tr w:rsidR="00F5774F" w:rsidRPr="00262E96" w14:paraId="02A83D9A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AA6F6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 xml:space="preserve">Secondary </w:t>
            </w:r>
            <w:r w:rsidRPr="00262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Care Resources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3F95E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2685D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A69C2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F5774F" w:rsidRPr="00262E96" w14:paraId="77B82894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4FF5D2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hAnsi="Times New Roman" w:cs="Times New Roman"/>
              </w:rPr>
              <w:t>No. of Outpatient Attendance; Mean (SD)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6279A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9ECCB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</w:rPr>
              <w:t>0.19 (0.72)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DF8A2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hAnsi="Times New Roman" w:cs="Times New Roman"/>
              </w:rPr>
              <w:t>0.14 (0.47)</w:t>
            </w:r>
          </w:p>
        </w:tc>
      </w:tr>
      <w:tr w:rsidR="00F5774F" w:rsidRPr="00262E96" w14:paraId="198BD5F3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9ABC6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en-GB"/>
              </w:rPr>
              <w:t>Readmission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FCE6D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1098</w:t>
            </w: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F2368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E37B4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F5774F" w:rsidRPr="00262E96" w14:paraId="777F00DB" w14:textId="77777777" w:rsidTr="00936E63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B91C9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en-GB"/>
              </w:rPr>
              <w:t>Yes; n (%)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4A2EF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B9FA4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16 (3.0%)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810F2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29 (5.2%)</w:t>
            </w:r>
          </w:p>
        </w:tc>
      </w:tr>
      <w:tr w:rsidR="00F5774F" w:rsidRPr="00262E96" w14:paraId="6FCEC206" w14:textId="77777777" w:rsidTr="00EB27D1">
        <w:trPr>
          <w:trHeight w:val="245"/>
        </w:trPr>
        <w:tc>
          <w:tcPr>
            <w:tcW w:w="4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0D5CE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en-GB"/>
              </w:rPr>
              <w:t>No; n (%)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27309A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806BF3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520 (97%)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A013F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533 (94.8%)</w:t>
            </w:r>
          </w:p>
        </w:tc>
      </w:tr>
      <w:tr w:rsidR="00F5774F" w:rsidRPr="00262E96" w14:paraId="32098F4D" w14:textId="77777777" w:rsidTr="00EB27D1">
        <w:trPr>
          <w:trHeight w:val="245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F64EFF" w14:textId="77777777" w:rsidR="00F5774F" w:rsidRPr="00262E96" w:rsidRDefault="00F5774F" w:rsidP="00F5774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262E96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en-GB"/>
              </w:rPr>
              <w:t>Average length of stay if readmitted (No. of Nights); Mean (SD)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417F5B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45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F7D0E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3.94 (13.12)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D685D" w14:textId="77777777" w:rsidR="00F5774F" w:rsidRPr="00262E96" w:rsidRDefault="00F5774F" w:rsidP="00F5774F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262E96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1.31 (1.85)</w:t>
            </w:r>
          </w:p>
        </w:tc>
      </w:tr>
    </w:tbl>
    <w:p w14:paraId="15B0FC16" w14:textId="77777777" w:rsidR="00F5774F" w:rsidRPr="00262E96" w:rsidRDefault="00F5774F" w:rsidP="00F5774F">
      <w:pPr>
        <w:jc w:val="both"/>
        <w:rPr>
          <w:rFonts w:ascii="Times New Roman" w:hAnsi="Times New Roman" w:cs="Times New Roman"/>
        </w:rPr>
      </w:pPr>
      <w:r w:rsidRPr="00262E96">
        <w:rPr>
          <w:rFonts w:ascii="Times New Roman" w:hAnsi="Times New Roman" w:cs="Times New Roman"/>
        </w:rPr>
        <w:t>* 13 individuals were not given drug (7 in the placebo group and 6 in the GTN group)</w:t>
      </w:r>
    </w:p>
    <w:p w14:paraId="41C38EEA" w14:textId="77777777" w:rsidR="00F5774F" w:rsidRDefault="00F5774F" w:rsidP="00F5774F"/>
    <w:p w14:paraId="064E8652" w14:textId="77777777" w:rsidR="00071BCF" w:rsidRDefault="00071BCF" w:rsidP="00F5774F"/>
    <w:sectPr w:rsidR="00071BCF" w:rsidSect="00F5774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F"/>
    <w:rsid w:val="00071BCF"/>
    <w:rsid w:val="00165694"/>
    <w:rsid w:val="003D1098"/>
    <w:rsid w:val="00747530"/>
    <w:rsid w:val="00936E63"/>
    <w:rsid w:val="00CC2124"/>
    <w:rsid w:val="00E46A1D"/>
    <w:rsid w:val="00EB27D1"/>
    <w:rsid w:val="00F5774F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31E46"/>
  <w14:defaultImageDpi w14:val="300"/>
  <w15:docId w15:val="{EE58946B-2156-AB4D-9BA7-DD095199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74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2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University of Edinburgh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Denison</dc:creator>
  <cp:keywords/>
  <dc:description/>
  <cp:lastModifiedBy>DENISON Fiona</cp:lastModifiedBy>
  <cp:revision>3</cp:revision>
  <dcterms:created xsi:type="dcterms:W3CDTF">2019-11-13T18:54:00Z</dcterms:created>
  <dcterms:modified xsi:type="dcterms:W3CDTF">2019-11-21T10:29:00Z</dcterms:modified>
</cp:coreProperties>
</file>