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81887" w14:textId="5989DAD9" w:rsidR="001F1D41" w:rsidRPr="001F1D41" w:rsidRDefault="001F1D41" w:rsidP="001F1D41">
      <w:pPr>
        <w:spacing w:after="0"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Supplemental </w:t>
      </w:r>
      <w:r w:rsidRPr="00FA222E">
        <w:rPr>
          <w:rFonts w:ascii="Arial" w:eastAsia="Arial" w:hAnsi="Arial" w:cs="Arial"/>
          <w:b/>
        </w:rPr>
        <w:t>References</w:t>
      </w:r>
    </w:p>
    <w:p w14:paraId="0376FAC0" w14:textId="483EA5B6" w:rsidR="001F1D41" w:rsidRPr="00FA222E" w:rsidRDefault="001F1D41" w:rsidP="001F1D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480" w:lineRule="auto"/>
        <w:ind w:left="440" w:hanging="440"/>
        <w:rPr>
          <w:rFonts w:ascii="Arial" w:eastAsia="Arial" w:hAnsi="Arial" w:cs="Arial"/>
          <w:color w:val="000000"/>
        </w:rPr>
      </w:pPr>
      <w:r w:rsidRPr="00FA222E">
        <w:rPr>
          <w:rFonts w:ascii="Arial" w:eastAsia="Arial" w:hAnsi="Arial" w:cs="Arial"/>
          <w:color w:val="000000"/>
        </w:rPr>
        <w:t xml:space="preserve">113. </w:t>
      </w:r>
      <w:r w:rsidRPr="00FA222E">
        <w:rPr>
          <w:rFonts w:ascii="Arial" w:eastAsia="Arial" w:hAnsi="Arial" w:cs="Arial"/>
          <w:color w:val="000000"/>
        </w:rPr>
        <w:tab/>
      </w:r>
      <w:hyperlink r:id="rId4">
        <w:r w:rsidRPr="00FA222E">
          <w:rPr>
            <w:rFonts w:ascii="Arial" w:eastAsia="Arial" w:hAnsi="Arial" w:cs="Arial"/>
            <w:color w:val="000000"/>
          </w:rPr>
          <w:t xml:space="preserve">Meissner B, Rogalski T, </w:t>
        </w:r>
        <w:proofErr w:type="spellStart"/>
        <w:r w:rsidRPr="00FA222E">
          <w:rPr>
            <w:rFonts w:ascii="Arial" w:eastAsia="Arial" w:hAnsi="Arial" w:cs="Arial"/>
            <w:color w:val="000000"/>
          </w:rPr>
          <w:t>Viveiros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R, Warner A, </w:t>
        </w:r>
        <w:proofErr w:type="spellStart"/>
        <w:r w:rsidRPr="00FA222E">
          <w:rPr>
            <w:rFonts w:ascii="Arial" w:eastAsia="Arial" w:hAnsi="Arial" w:cs="Arial"/>
            <w:color w:val="000000"/>
          </w:rPr>
          <w:t>Plastino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L, Lorch A, et al. Determining the sub-cellular localization of proteins within Caenorhabditis elegans body wall muscle. </w:t>
        </w:r>
        <w:proofErr w:type="spellStart"/>
        <w:r w:rsidRPr="00FA222E">
          <w:rPr>
            <w:rFonts w:ascii="Arial" w:eastAsia="Arial" w:hAnsi="Arial" w:cs="Arial"/>
            <w:color w:val="000000"/>
          </w:rPr>
          <w:t>PLoS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One. 2011;6: e19937. doi:</w:t>
        </w:r>
      </w:hyperlink>
      <w:hyperlink r:id="rId5">
        <w:r w:rsidRPr="00FA222E">
          <w:rPr>
            <w:rFonts w:ascii="Arial" w:eastAsia="Arial" w:hAnsi="Arial" w:cs="Arial"/>
            <w:color w:val="000000"/>
          </w:rPr>
          <w:t>10.1371/journal.pone.0019937</w:t>
        </w:r>
      </w:hyperlink>
    </w:p>
    <w:p w14:paraId="067E4DB4" w14:textId="77777777" w:rsidR="001F1D41" w:rsidRPr="00FA222E" w:rsidRDefault="001F1D41" w:rsidP="001F1D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480" w:lineRule="auto"/>
        <w:ind w:left="440" w:hanging="440"/>
        <w:rPr>
          <w:rFonts w:ascii="Arial" w:eastAsia="Arial" w:hAnsi="Arial" w:cs="Arial"/>
          <w:color w:val="000000"/>
        </w:rPr>
      </w:pPr>
      <w:r w:rsidRPr="00FA222E">
        <w:rPr>
          <w:rFonts w:ascii="Arial" w:eastAsia="Arial" w:hAnsi="Arial" w:cs="Arial"/>
          <w:color w:val="000000"/>
        </w:rPr>
        <w:t xml:space="preserve">114. </w:t>
      </w:r>
      <w:r w:rsidRPr="00FA222E">
        <w:rPr>
          <w:rFonts w:ascii="Arial" w:eastAsia="Arial" w:hAnsi="Arial" w:cs="Arial"/>
          <w:color w:val="000000"/>
        </w:rPr>
        <w:tab/>
      </w:r>
      <w:hyperlink r:id="rId6">
        <w:r w:rsidRPr="00FA222E">
          <w:rPr>
            <w:rFonts w:ascii="Arial" w:eastAsia="Arial" w:hAnsi="Arial" w:cs="Arial"/>
            <w:color w:val="000000"/>
          </w:rPr>
          <w:t xml:space="preserve">Shaye DD, Greenwald I. </w:t>
        </w:r>
        <w:proofErr w:type="spellStart"/>
        <w:r w:rsidRPr="00FA222E">
          <w:rPr>
            <w:rFonts w:ascii="Arial" w:eastAsia="Arial" w:hAnsi="Arial" w:cs="Arial"/>
            <w:color w:val="000000"/>
          </w:rPr>
          <w:t>OrthoList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: a compendium of C. elegans genes with human orthologs. </w:t>
        </w:r>
        <w:proofErr w:type="spellStart"/>
        <w:r w:rsidRPr="00FA222E">
          <w:rPr>
            <w:rFonts w:ascii="Arial" w:eastAsia="Arial" w:hAnsi="Arial" w:cs="Arial"/>
            <w:color w:val="000000"/>
          </w:rPr>
          <w:t>PLoS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One. 2011;6: e20085. doi:</w:t>
        </w:r>
      </w:hyperlink>
      <w:hyperlink r:id="rId7">
        <w:r w:rsidRPr="00FA222E">
          <w:rPr>
            <w:rFonts w:ascii="Arial" w:eastAsia="Arial" w:hAnsi="Arial" w:cs="Arial"/>
            <w:color w:val="000000"/>
          </w:rPr>
          <w:t>10.1371/journal.pone.0020085</w:t>
        </w:r>
      </w:hyperlink>
    </w:p>
    <w:p w14:paraId="36779D7A" w14:textId="77777777" w:rsidR="001F1D41" w:rsidRPr="00FA222E" w:rsidRDefault="001F1D41" w:rsidP="001F1D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480" w:lineRule="auto"/>
        <w:ind w:left="440" w:hanging="440"/>
        <w:rPr>
          <w:rFonts w:ascii="Arial" w:eastAsia="Arial" w:hAnsi="Arial" w:cs="Arial"/>
          <w:color w:val="000000"/>
        </w:rPr>
      </w:pPr>
      <w:r w:rsidRPr="00FA222E">
        <w:rPr>
          <w:rFonts w:ascii="Arial" w:eastAsia="Arial" w:hAnsi="Arial" w:cs="Arial"/>
          <w:color w:val="000000"/>
        </w:rPr>
        <w:t xml:space="preserve">115. </w:t>
      </w:r>
      <w:r w:rsidRPr="00FA222E">
        <w:rPr>
          <w:rFonts w:ascii="Arial" w:eastAsia="Arial" w:hAnsi="Arial" w:cs="Arial"/>
          <w:color w:val="000000"/>
        </w:rPr>
        <w:tab/>
      </w:r>
      <w:hyperlink r:id="rId8">
        <w:r w:rsidRPr="00FA222E">
          <w:rPr>
            <w:rFonts w:ascii="Arial" w:eastAsia="Arial" w:hAnsi="Arial" w:cs="Arial"/>
            <w:color w:val="000000"/>
          </w:rPr>
          <w:t xml:space="preserve">Kim W, Underwood RS, Greenwald I, Shaye DD. </w:t>
        </w:r>
        <w:proofErr w:type="spellStart"/>
        <w:r w:rsidRPr="00FA222E">
          <w:rPr>
            <w:rFonts w:ascii="Arial" w:eastAsia="Arial" w:hAnsi="Arial" w:cs="Arial"/>
            <w:color w:val="000000"/>
          </w:rPr>
          <w:t>OrthoList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2: A New Comparative Genomic Analysis of Human and Caenorhabditis elegans Genes. Genetics. 2018;210: 445–461. doi:</w:t>
        </w:r>
      </w:hyperlink>
      <w:hyperlink r:id="rId9">
        <w:r w:rsidRPr="00FA222E">
          <w:rPr>
            <w:rFonts w:ascii="Arial" w:eastAsia="Arial" w:hAnsi="Arial" w:cs="Arial"/>
            <w:color w:val="000000"/>
          </w:rPr>
          <w:t>10.1534/genetics.118.301307</w:t>
        </w:r>
      </w:hyperlink>
    </w:p>
    <w:p w14:paraId="25E115CF" w14:textId="77777777" w:rsidR="001F1D41" w:rsidRPr="00FA222E" w:rsidRDefault="001F1D41" w:rsidP="001F1D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480" w:lineRule="auto"/>
        <w:ind w:left="440" w:hanging="440"/>
        <w:rPr>
          <w:rFonts w:ascii="Arial" w:eastAsia="Arial" w:hAnsi="Arial" w:cs="Arial"/>
          <w:color w:val="000000"/>
        </w:rPr>
      </w:pPr>
      <w:r w:rsidRPr="00FA222E">
        <w:rPr>
          <w:rFonts w:ascii="Arial" w:eastAsia="Arial" w:hAnsi="Arial" w:cs="Arial"/>
          <w:color w:val="000000"/>
        </w:rPr>
        <w:t xml:space="preserve">116. </w:t>
      </w:r>
      <w:r w:rsidRPr="00FA222E">
        <w:rPr>
          <w:rFonts w:ascii="Arial" w:eastAsia="Arial" w:hAnsi="Arial" w:cs="Arial"/>
          <w:color w:val="000000"/>
        </w:rPr>
        <w:tab/>
      </w:r>
      <w:hyperlink r:id="rId10">
        <w:r w:rsidRPr="00FA222E">
          <w:rPr>
            <w:rFonts w:ascii="Arial" w:eastAsia="Arial" w:hAnsi="Arial" w:cs="Arial"/>
            <w:color w:val="000000"/>
          </w:rPr>
          <w:t>Bar-</w:t>
        </w:r>
        <w:proofErr w:type="spellStart"/>
        <w:r w:rsidRPr="00FA222E">
          <w:rPr>
            <w:rFonts w:ascii="Arial" w:eastAsia="Arial" w:hAnsi="Arial" w:cs="Arial"/>
            <w:color w:val="000000"/>
          </w:rPr>
          <w:t>Lavan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Y, Shemesh N, </w:t>
        </w:r>
        <w:proofErr w:type="spellStart"/>
        <w:r w:rsidRPr="00FA222E">
          <w:rPr>
            <w:rFonts w:ascii="Arial" w:eastAsia="Arial" w:hAnsi="Arial" w:cs="Arial"/>
            <w:color w:val="000000"/>
          </w:rPr>
          <w:t>Dror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S, </w:t>
        </w:r>
        <w:proofErr w:type="spellStart"/>
        <w:r w:rsidRPr="00FA222E">
          <w:rPr>
            <w:rFonts w:ascii="Arial" w:eastAsia="Arial" w:hAnsi="Arial" w:cs="Arial"/>
            <w:color w:val="000000"/>
          </w:rPr>
          <w:t>Ofir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R, </w:t>
        </w:r>
        <w:proofErr w:type="spellStart"/>
        <w:r w:rsidRPr="00FA222E">
          <w:rPr>
            <w:rFonts w:ascii="Arial" w:eastAsia="Arial" w:hAnsi="Arial" w:cs="Arial"/>
            <w:color w:val="000000"/>
          </w:rPr>
          <w:t>Yeger-Lotem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E, Ben-</w:t>
        </w:r>
        <w:proofErr w:type="spellStart"/>
        <w:r w:rsidRPr="00FA222E">
          <w:rPr>
            <w:rFonts w:ascii="Arial" w:eastAsia="Arial" w:hAnsi="Arial" w:cs="Arial"/>
            <w:color w:val="000000"/>
          </w:rPr>
          <w:t>Zvi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A. A Differentiation Transcription Factor Establishes Muscle-Specific </w:t>
        </w:r>
        <w:proofErr w:type="spellStart"/>
        <w:r w:rsidRPr="00FA222E">
          <w:rPr>
            <w:rFonts w:ascii="Arial" w:eastAsia="Arial" w:hAnsi="Arial" w:cs="Arial"/>
            <w:color w:val="000000"/>
          </w:rPr>
          <w:t>Proteostasis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in Caenorhabditis elegans. </w:t>
        </w:r>
        <w:proofErr w:type="spellStart"/>
        <w:r w:rsidRPr="00FA222E">
          <w:rPr>
            <w:rFonts w:ascii="Arial" w:eastAsia="Arial" w:hAnsi="Arial" w:cs="Arial"/>
            <w:color w:val="000000"/>
          </w:rPr>
          <w:t>PLoS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Genet. 2016;12: e1006531. doi:</w:t>
        </w:r>
      </w:hyperlink>
      <w:hyperlink r:id="rId11">
        <w:r w:rsidRPr="00FA222E">
          <w:rPr>
            <w:rFonts w:ascii="Arial" w:eastAsia="Arial" w:hAnsi="Arial" w:cs="Arial"/>
            <w:color w:val="000000"/>
          </w:rPr>
          <w:t>10.1371/journal.pgen.1006531</w:t>
        </w:r>
      </w:hyperlink>
    </w:p>
    <w:p w14:paraId="470E5A6D" w14:textId="77777777" w:rsidR="001F1D41" w:rsidRPr="00FA222E" w:rsidRDefault="001F1D41" w:rsidP="001F1D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480" w:lineRule="auto"/>
        <w:ind w:left="440" w:hanging="440"/>
        <w:rPr>
          <w:rFonts w:ascii="Arial" w:eastAsia="Arial" w:hAnsi="Arial" w:cs="Arial"/>
          <w:color w:val="000000"/>
        </w:rPr>
      </w:pPr>
      <w:r w:rsidRPr="00FA222E">
        <w:rPr>
          <w:rFonts w:ascii="Arial" w:eastAsia="Arial" w:hAnsi="Arial" w:cs="Arial"/>
          <w:color w:val="000000"/>
        </w:rPr>
        <w:t xml:space="preserve">117. </w:t>
      </w:r>
      <w:r w:rsidRPr="00FA222E">
        <w:rPr>
          <w:rFonts w:ascii="Arial" w:eastAsia="Arial" w:hAnsi="Arial" w:cs="Arial"/>
          <w:color w:val="000000"/>
        </w:rPr>
        <w:tab/>
      </w:r>
      <w:hyperlink r:id="rId12">
        <w:r w:rsidRPr="00FA222E">
          <w:rPr>
            <w:rFonts w:ascii="Arial" w:eastAsia="Arial" w:hAnsi="Arial" w:cs="Arial"/>
            <w:color w:val="000000"/>
          </w:rPr>
          <w:t xml:space="preserve">Rashid S, </w:t>
        </w:r>
        <w:proofErr w:type="spellStart"/>
        <w:r w:rsidRPr="00FA222E">
          <w:rPr>
            <w:rFonts w:ascii="Arial" w:eastAsia="Arial" w:hAnsi="Arial" w:cs="Arial"/>
            <w:color w:val="000000"/>
          </w:rPr>
          <w:t>Breckle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R, </w:t>
        </w:r>
        <w:proofErr w:type="spellStart"/>
        <w:r w:rsidRPr="00FA222E">
          <w:rPr>
            <w:rFonts w:ascii="Arial" w:eastAsia="Arial" w:hAnsi="Arial" w:cs="Arial"/>
            <w:color w:val="000000"/>
          </w:rPr>
          <w:t>Hupe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M, Geisler S, </w:t>
        </w:r>
        <w:proofErr w:type="spellStart"/>
        <w:r w:rsidRPr="00FA222E">
          <w:rPr>
            <w:rFonts w:ascii="Arial" w:eastAsia="Arial" w:hAnsi="Arial" w:cs="Arial"/>
            <w:color w:val="000000"/>
          </w:rPr>
          <w:t>Doerwald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N, </w:t>
        </w:r>
        <w:proofErr w:type="spellStart"/>
        <w:r w:rsidRPr="00FA222E">
          <w:rPr>
            <w:rFonts w:ascii="Arial" w:eastAsia="Arial" w:hAnsi="Arial" w:cs="Arial"/>
            <w:color w:val="000000"/>
          </w:rPr>
          <w:t>Neesen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J. The murine Dnali1 gene encodes a flagellar protein that interacts with the cytoplasmic dynein heavy chain 1. Mol </w:t>
        </w:r>
        <w:proofErr w:type="spellStart"/>
        <w:r w:rsidRPr="00FA222E">
          <w:rPr>
            <w:rFonts w:ascii="Arial" w:eastAsia="Arial" w:hAnsi="Arial" w:cs="Arial"/>
            <w:color w:val="000000"/>
          </w:rPr>
          <w:t>Reprod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Dev. 2006;73: 784–794. doi:</w:t>
        </w:r>
      </w:hyperlink>
      <w:hyperlink r:id="rId13">
        <w:r w:rsidRPr="00FA222E">
          <w:rPr>
            <w:rFonts w:ascii="Arial" w:eastAsia="Arial" w:hAnsi="Arial" w:cs="Arial"/>
            <w:color w:val="000000"/>
          </w:rPr>
          <w:t>10.1002/mrd.20475</w:t>
        </w:r>
      </w:hyperlink>
    </w:p>
    <w:p w14:paraId="0CAFD23B" w14:textId="77777777" w:rsidR="001F1D41" w:rsidRPr="00FA222E" w:rsidRDefault="001F1D41" w:rsidP="001F1D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480" w:lineRule="auto"/>
        <w:ind w:left="440" w:hanging="440"/>
        <w:rPr>
          <w:rFonts w:ascii="Arial" w:eastAsia="Arial" w:hAnsi="Arial" w:cs="Arial"/>
          <w:color w:val="000000"/>
        </w:rPr>
      </w:pPr>
      <w:r w:rsidRPr="00FA222E">
        <w:rPr>
          <w:rFonts w:ascii="Arial" w:eastAsia="Arial" w:hAnsi="Arial" w:cs="Arial"/>
          <w:color w:val="000000"/>
        </w:rPr>
        <w:t xml:space="preserve">118. </w:t>
      </w:r>
      <w:r w:rsidRPr="00FA222E">
        <w:rPr>
          <w:rFonts w:ascii="Arial" w:eastAsia="Arial" w:hAnsi="Arial" w:cs="Arial"/>
          <w:color w:val="000000"/>
        </w:rPr>
        <w:tab/>
      </w:r>
      <w:hyperlink r:id="rId14">
        <w:proofErr w:type="spellStart"/>
        <w:r w:rsidRPr="00FA222E">
          <w:rPr>
            <w:rFonts w:ascii="Arial" w:eastAsia="Arial" w:hAnsi="Arial" w:cs="Arial"/>
            <w:color w:val="000000"/>
          </w:rPr>
          <w:t>Schou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KB, </w:t>
        </w:r>
        <w:proofErr w:type="spellStart"/>
        <w:r w:rsidRPr="00FA222E">
          <w:rPr>
            <w:rFonts w:ascii="Arial" w:eastAsia="Arial" w:hAnsi="Arial" w:cs="Arial"/>
            <w:color w:val="000000"/>
          </w:rPr>
          <w:t>Mogensen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JB, </w:t>
        </w:r>
        <w:proofErr w:type="spellStart"/>
        <w:r w:rsidRPr="00FA222E">
          <w:rPr>
            <w:rFonts w:ascii="Arial" w:eastAsia="Arial" w:hAnsi="Arial" w:cs="Arial"/>
            <w:color w:val="000000"/>
          </w:rPr>
          <w:t>Morthorst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SK, Nielsen BS, </w:t>
        </w:r>
        <w:proofErr w:type="spellStart"/>
        <w:r w:rsidRPr="00FA222E">
          <w:rPr>
            <w:rFonts w:ascii="Arial" w:eastAsia="Arial" w:hAnsi="Arial" w:cs="Arial"/>
            <w:color w:val="000000"/>
          </w:rPr>
          <w:t>Aleliunaite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A, Serra-Marques A, et al. KIF13B establishes a CAV1-enriched microdomain at the ciliary transition zone to promote Sonic hedgehog </w:t>
        </w:r>
        <w:proofErr w:type="spellStart"/>
        <w:r w:rsidRPr="00FA222E">
          <w:rPr>
            <w:rFonts w:ascii="Arial" w:eastAsia="Arial" w:hAnsi="Arial" w:cs="Arial"/>
            <w:color w:val="000000"/>
          </w:rPr>
          <w:t>signalling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. Nat </w:t>
        </w:r>
        <w:proofErr w:type="spellStart"/>
        <w:r w:rsidRPr="00FA222E">
          <w:rPr>
            <w:rFonts w:ascii="Arial" w:eastAsia="Arial" w:hAnsi="Arial" w:cs="Arial"/>
            <w:color w:val="000000"/>
          </w:rPr>
          <w:t>Commun</w:t>
        </w:r>
        <w:proofErr w:type="spellEnd"/>
        <w:r w:rsidRPr="00FA222E">
          <w:rPr>
            <w:rFonts w:ascii="Arial" w:eastAsia="Arial" w:hAnsi="Arial" w:cs="Arial"/>
            <w:color w:val="000000"/>
          </w:rPr>
          <w:t>. 2017;8: 14177. doi:</w:t>
        </w:r>
      </w:hyperlink>
      <w:hyperlink r:id="rId15">
        <w:r w:rsidRPr="00FA222E">
          <w:rPr>
            <w:rFonts w:ascii="Arial" w:eastAsia="Arial" w:hAnsi="Arial" w:cs="Arial"/>
            <w:color w:val="000000"/>
          </w:rPr>
          <w:t>10.1038/ncomms14177</w:t>
        </w:r>
      </w:hyperlink>
    </w:p>
    <w:p w14:paraId="5020D19D" w14:textId="77777777" w:rsidR="001F1D41" w:rsidRPr="00FA222E" w:rsidRDefault="001F1D41" w:rsidP="001F1D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480" w:lineRule="auto"/>
        <w:ind w:left="440" w:hanging="440"/>
        <w:rPr>
          <w:rFonts w:ascii="Arial" w:eastAsia="Arial" w:hAnsi="Arial" w:cs="Arial"/>
          <w:color w:val="000000"/>
        </w:rPr>
      </w:pPr>
      <w:r w:rsidRPr="00FA222E">
        <w:rPr>
          <w:rFonts w:ascii="Arial" w:eastAsia="Arial" w:hAnsi="Arial" w:cs="Arial"/>
          <w:color w:val="000000"/>
        </w:rPr>
        <w:t xml:space="preserve">119. </w:t>
      </w:r>
      <w:r w:rsidRPr="00FA222E">
        <w:rPr>
          <w:rFonts w:ascii="Arial" w:eastAsia="Arial" w:hAnsi="Arial" w:cs="Arial"/>
          <w:color w:val="000000"/>
        </w:rPr>
        <w:tab/>
      </w:r>
      <w:hyperlink r:id="rId16">
        <w:r w:rsidRPr="00FA222E">
          <w:rPr>
            <w:rFonts w:ascii="Arial" w:eastAsia="Arial" w:hAnsi="Arial" w:cs="Arial"/>
            <w:color w:val="000000"/>
          </w:rPr>
          <w:t xml:space="preserve">Xu Q, Zhang Y, Wei Q, Huang Y, Li Y, Ling K, et al. BBS4 and BBS5 show functional redundancy in the </w:t>
        </w:r>
        <w:proofErr w:type="spellStart"/>
        <w:r w:rsidRPr="00FA222E">
          <w:rPr>
            <w:rFonts w:ascii="Arial" w:eastAsia="Arial" w:hAnsi="Arial" w:cs="Arial"/>
            <w:color w:val="000000"/>
          </w:rPr>
          <w:t>BBSome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to regulate the degradative sorting of ciliary sensory receptors. Sci Rep. 2015;5: 11855. doi:</w:t>
        </w:r>
      </w:hyperlink>
      <w:hyperlink r:id="rId17">
        <w:r w:rsidRPr="00FA222E">
          <w:rPr>
            <w:rFonts w:ascii="Arial" w:eastAsia="Arial" w:hAnsi="Arial" w:cs="Arial"/>
            <w:color w:val="000000"/>
          </w:rPr>
          <w:t>10.1038/srep11855</w:t>
        </w:r>
      </w:hyperlink>
    </w:p>
    <w:p w14:paraId="16164602" w14:textId="77777777" w:rsidR="001F1D41" w:rsidRPr="00FA222E" w:rsidRDefault="001F1D41" w:rsidP="001F1D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480" w:lineRule="auto"/>
        <w:ind w:left="440" w:hanging="440"/>
        <w:rPr>
          <w:rFonts w:ascii="Arial" w:eastAsia="Arial" w:hAnsi="Arial" w:cs="Arial"/>
          <w:color w:val="000000"/>
        </w:rPr>
      </w:pPr>
      <w:r w:rsidRPr="00FA222E">
        <w:rPr>
          <w:rFonts w:ascii="Arial" w:eastAsia="Arial" w:hAnsi="Arial" w:cs="Arial"/>
          <w:color w:val="000000"/>
        </w:rPr>
        <w:t xml:space="preserve">120. </w:t>
      </w:r>
      <w:r w:rsidRPr="00FA222E">
        <w:rPr>
          <w:rFonts w:ascii="Arial" w:eastAsia="Arial" w:hAnsi="Arial" w:cs="Arial"/>
          <w:color w:val="000000"/>
        </w:rPr>
        <w:tab/>
      </w:r>
      <w:hyperlink r:id="rId18">
        <w:proofErr w:type="spellStart"/>
        <w:r w:rsidRPr="00FA222E">
          <w:rPr>
            <w:rFonts w:ascii="Arial" w:eastAsia="Arial" w:hAnsi="Arial" w:cs="Arial"/>
            <w:color w:val="000000"/>
          </w:rPr>
          <w:t>Mijalkovic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J, van </w:t>
        </w:r>
        <w:proofErr w:type="spellStart"/>
        <w:r w:rsidRPr="00FA222E">
          <w:rPr>
            <w:rFonts w:ascii="Arial" w:eastAsia="Arial" w:hAnsi="Arial" w:cs="Arial"/>
            <w:color w:val="000000"/>
          </w:rPr>
          <w:t>Krugten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J, Oswald F, </w:t>
        </w:r>
        <w:proofErr w:type="spellStart"/>
        <w:r w:rsidRPr="00FA222E">
          <w:rPr>
            <w:rFonts w:ascii="Arial" w:eastAsia="Arial" w:hAnsi="Arial" w:cs="Arial"/>
            <w:color w:val="000000"/>
          </w:rPr>
          <w:t>Acar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S, Peterman EJG. Single-Molecule Turnarounds of </w:t>
        </w:r>
        <w:proofErr w:type="spellStart"/>
        <w:r w:rsidRPr="00FA222E">
          <w:rPr>
            <w:rFonts w:ascii="Arial" w:eastAsia="Arial" w:hAnsi="Arial" w:cs="Arial"/>
            <w:color w:val="000000"/>
          </w:rPr>
          <w:t>Intraflagellar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Transport at the C. elegans Ciliary Tip. Cell Rep. 2018;25: 1701–1707.e2. doi:</w:t>
        </w:r>
      </w:hyperlink>
      <w:hyperlink r:id="rId19">
        <w:r w:rsidRPr="00FA222E">
          <w:rPr>
            <w:rFonts w:ascii="Arial" w:eastAsia="Arial" w:hAnsi="Arial" w:cs="Arial"/>
            <w:color w:val="000000"/>
          </w:rPr>
          <w:t>10.1016/j.celrep.2018.10.050</w:t>
        </w:r>
      </w:hyperlink>
    </w:p>
    <w:p w14:paraId="6F8889A0" w14:textId="77777777" w:rsidR="001F1D41" w:rsidRPr="00FA222E" w:rsidRDefault="001F1D41" w:rsidP="001F1D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480" w:lineRule="auto"/>
        <w:ind w:left="440" w:hanging="440"/>
        <w:rPr>
          <w:rFonts w:ascii="Arial" w:eastAsia="Arial" w:hAnsi="Arial" w:cs="Arial"/>
          <w:color w:val="000000"/>
        </w:rPr>
      </w:pPr>
      <w:r w:rsidRPr="00FA222E">
        <w:rPr>
          <w:rFonts w:ascii="Arial" w:eastAsia="Arial" w:hAnsi="Arial" w:cs="Arial"/>
          <w:color w:val="000000"/>
        </w:rPr>
        <w:lastRenderedPageBreak/>
        <w:t xml:space="preserve">121. </w:t>
      </w:r>
      <w:r w:rsidRPr="00FA222E">
        <w:rPr>
          <w:rFonts w:ascii="Arial" w:eastAsia="Arial" w:hAnsi="Arial" w:cs="Arial"/>
          <w:color w:val="000000"/>
        </w:rPr>
        <w:tab/>
      </w:r>
      <w:hyperlink r:id="rId20">
        <w:r w:rsidRPr="00FA222E">
          <w:rPr>
            <w:rFonts w:ascii="Arial" w:eastAsia="Arial" w:hAnsi="Arial" w:cs="Arial"/>
            <w:color w:val="000000"/>
          </w:rPr>
          <w:t xml:space="preserve">Kobayashi T, </w:t>
        </w:r>
        <w:proofErr w:type="spellStart"/>
        <w:r w:rsidRPr="00FA222E">
          <w:rPr>
            <w:rFonts w:ascii="Arial" w:eastAsia="Arial" w:hAnsi="Arial" w:cs="Arial"/>
            <w:color w:val="000000"/>
          </w:rPr>
          <w:t>Gengyo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-Ando K, Ishihara T, </w:t>
        </w:r>
        <w:proofErr w:type="spellStart"/>
        <w:r w:rsidRPr="00FA222E">
          <w:rPr>
            <w:rFonts w:ascii="Arial" w:eastAsia="Arial" w:hAnsi="Arial" w:cs="Arial"/>
            <w:color w:val="000000"/>
          </w:rPr>
          <w:t>Katsura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I, </w:t>
        </w:r>
        <w:proofErr w:type="spellStart"/>
        <w:r w:rsidRPr="00FA222E">
          <w:rPr>
            <w:rFonts w:ascii="Arial" w:eastAsia="Arial" w:hAnsi="Arial" w:cs="Arial"/>
            <w:color w:val="000000"/>
          </w:rPr>
          <w:t>Mitani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S. IFT-81 and IFT-74 are required for </w:t>
        </w:r>
        <w:proofErr w:type="spellStart"/>
        <w:r w:rsidRPr="00FA222E">
          <w:rPr>
            <w:rFonts w:ascii="Arial" w:eastAsia="Arial" w:hAnsi="Arial" w:cs="Arial"/>
            <w:color w:val="000000"/>
          </w:rPr>
          <w:t>intraflagellar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transport in C. elegans. Genes Cells. 2007;12: 593–602. doi:</w:t>
        </w:r>
      </w:hyperlink>
      <w:hyperlink r:id="rId21">
        <w:r w:rsidRPr="00FA222E">
          <w:rPr>
            <w:rFonts w:ascii="Arial" w:eastAsia="Arial" w:hAnsi="Arial" w:cs="Arial"/>
            <w:color w:val="000000"/>
          </w:rPr>
          <w:t>10.1111/j.1365-2443.2007.01076.x</w:t>
        </w:r>
      </w:hyperlink>
    </w:p>
    <w:p w14:paraId="7091026D" w14:textId="109A3323" w:rsidR="007B4A5D" w:rsidRPr="001F1D41" w:rsidRDefault="001F1D41" w:rsidP="001F1D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480" w:lineRule="auto"/>
        <w:ind w:left="440" w:hanging="440"/>
        <w:rPr>
          <w:rFonts w:ascii="Arial" w:eastAsia="Arial" w:hAnsi="Arial" w:cs="Arial"/>
        </w:rPr>
      </w:pPr>
      <w:r w:rsidRPr="00FA222E">
        <w:rPr>
          <w:rFonts w:ascii="Arial" w:eastAsia="Arial" w:hAnsi="Arial" w:cs="Arial"/>
          <w:color w:val="000000"/>
        </w:rPr>
        <w:t xml:space="preserve">122. </w:t>
      </w:r>
      <w:r w:rsidRPr="00FA222E">
        <w:rPr>
          <w:rFonts w:ascii="Arial" w:eastAsia="Arial" w:hAnsi="Arial" w:cs="Arial"/>
          <w:color w:val="000000"/>
        </w:rPr>
        <w:tab/>
      </w:r>
      <w:hyperlink r:id="rId22">
        <w:r w:rsidRPr="00FA222E">
          <w:rPr>
            <w:rFonts w:ascii="Arial" w:eastAsia="Arial" w:hAnsi="Arial" w:cs="Arial"/>
            <w:color w:val="000000"/>
          </w:rPr>
          <w:t>Al-</w:t>
        </w:r>
        <w:proofErr w:type="spellStart"/>
        <w:r w:rsidRPr="00FA222E">
          <w:rPr>
            <w:rFonts w:ascii="Arial" w:eastAsia="Arial" w:hAnsi="Arial" w:cs="Arial"/>
            <w:color w:val="000000"/>
          </w:rPr>
          <w:t>Jassar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C, </w:t>
        </w:r>
        <w:proofErr w:type="spellStart"/>
        <w:r w:rsidRPr="00FA222E">
          <w:rPr>
            <w:rFonts w:ascii="Arial" w:eastAsia="Arial" w:hAnsi="Arial" w:cs="Arial"/>
            <w:color w:val="000000"/>
          </w:rPr>
          <w:t>Andreeva</w:t>
        </w:r>
        <w:proofErr w:type="spellEnd"/>
        <w:r w:rsidRPr="00FA222E">
          <w:rPr>
            <w:rFonts w:ascii="Arial" w:eastAsia="Arial" w:hAnsi="Arial" w:cs="Arial"/>
            <w:color w:val="000000"/>
          </w:rPr>
          <w:t xml:space="preserve"> A, Barnabas DD, McLaughlin SH, Johnson CM, Yu M, et al. The Ciliopathy-Associated Cep104 Protein Interacts with Tubulin and Nek1 Kinase. Structure. 2017;25: 146–156. doi:</w:t>
        </w:r>
      </w:hyperlink>
      <w:hyperlink r:id="rId23">
        <w:r w:rsidRPr="00FA222E">
          <w:rPr>
            <w:rFonts w:ascii="Arial" w:eastAsia="Arial" w:hAnsi="Arial" w:cs="Arial"/>
            <w:color w:val="000000"/>
          </w:rPr>
          <w:t>10.1016/j.str.2016.11.014</w:t>
        </w:r>
      </w:hyperlink>
    </w:p>
    <w:sectPr w:rsidR="007B4A5D" w:rsidRPr="001F1D41" w:rsidSect="00A23CB3">
      <w:headerReference w:type="default" r:id="rId24"/>
      <w:footerReference w:type="default" r:id="rId25"/>
      <w:pgSz w:w="12240" w:h="15840" w:code="1"/>
      <w:pgMar w:top="720" w:right="720" w:bottom="720" w:left="720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11C34" w14:textId="77777777" w:rsidR="00EC50A2" w:rsidRDefault="001F1D41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DBB0" w14:textId="77777777" w:rsidR="00EC50A2" w:rsidRDefault="001F1D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41"/>
    <w:rsid w:val="001F1D41"/>
    <w:rsid w:val="007B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906D"/>
  <w15:chartTrackingRefBased/>
  <w15:docId w15:val="{D0E13B20-3A63-49A1-8D54-90B8C1B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D4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F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erpile.com/b/eZU78c/jc6GR" TargetMode="External"/><Relationship Id="rId13" Type="http://schemas.openxmlformats.org/officeDocument/2006/relationships/hyperlink" Target="http://dx.doi.org/10.1002/mrd.20475" TargetMode="External"/><Relationship Id="rId18" Type="http://schemas.openxmlformats.org/officeDocument/2006/relationships/hyperlink" Target="http://paperpile.com/b/eZU78c/99Gk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x.doi.org/10.1111/j.1365-2443.2007.01076.x" TargetMode="External"/><Relationship Id="rId7" Type="http://schemas.openxmlformats.org/officeDocument/2006/relationships/hyperlink" Target="http://dx.doi.org/10.1371/journal.pone.0020085" TargetMode="External"/><Relationship Id="rId12" Type="http://schemas.openxmlformats.org/officeDocument/2006/relationships/hyperlink" Target="http://paperpile.com/b/eZU78c/fD1pa" TargetMode="External"/><Relationship Id="rId17" Type="http://schemas.openxmlformats.org/officeDocument/2006/relationships/hyperlink" Target="http://dx.doi.org/10.1038/srep11855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paperpile.com/b/eZU78c/d4LNV" TargetMode="External"/><Relationship Id="rId20" Type="http://schemas.openxmlformats.org/officeDocument/2006/relationships/hyperlink" Target="http://paperpile.com/b/eZU78c/4QSi2" TargetMode="External"/><Relationship Id="rId1" Type="http://schemas.openxmlformats.org/officeDocument/2006/relationships/styles" Target="styles.xml"/><Relationship Id="rId6" Type="http://schemas.openxmlformats.org/officeDocument/2006/relationships/hyperlink" Target="http://paperpile.com/b/eZU78c/Aw0SE" TargetMode="External"/><Relationship Id="rId11" Type="http://schemas.openxmlformats.org/officeDocument/2006/relationships/hyperlink" Target="http://dx.doi.org/10.1371/journal.pgen.1006531" TargetMode="External"/><Relationship Id="rId24" Type="http://schemas.openxmlformats.org/officeDocument/2006/relationships/header" Target="header1.xml"/><Relationship Id="rId5" Type="http://schemas.openxmlformats.org/officeDocument/2006/relationships/hyperlink" Target="http://dx.doi.org/10.1371/journal.pone.0019937" TargetMode="External"/><Relationship Id="rId15" Type="http://schemas.openxmlformats.org/officeDocument/2006/relationships/hyperlink" Target="http://dx.doi.org/10.1038/ncomms14177" TargetMode="External"/><Relationship Id="rId23" Type="http://schemas.openxmlformats.org/officeDocument/2006/relationships/hyperlink" Target="http://dx.doi.org/10.1016/j.str.2016.11.014" TargetMode="External"/><Relationship Id="rId10" Type="http://schemas.openxmlformats.org/officeDocument/2006/relationships/hyperlink" Target="http://paperpile.com/b/eZU78c/8bDEE" TargetMode="External"/><Relationship Id="rId19" Type="http://schemas.openxmlformats.org/officeDocument/2006/relationships/hyperlink" Target="http://dx.doi.org/10.1016/j.celrep.2018.10.050" TargetMode="External"/><Relationship Id="rId4" Type="http://schemas.openxmlformats.org/officeDocument/2006/relationships/hyperlink" Target="http://paperpile.com/b/eZU78c/hrozf" TargetMode="External"/><Relationship Id="rId9" Type="http://schemas.openxmlformats.org/officeDocument/2006/relationships/hyperlink" Target="http://dx.doi.org/10.1534/genetics.118.301307" TargetMode="External"/><Relationship Id="rId14" Type="http://schemas.openxmlformats.org/officeDocument/2006/relationships/hyperlink" Target="http://paperpile.com/b/eZU78c/pky84" TargetMode="External"/><Relationship Id="rId22" Type="http://schemas.openxmlformats.org/officeDocument/2006/relationships/hyperlink" Target="http://paperpile.com/b/eZU78c/bLVw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 Power</dc:creator>
  <cp:keywords/>
  <dc:description/>
  <cp:lastModifiedBy>Kade Power</cp:lastModifiedBy>
  <cp:revision>1</cp:revision>
  <dcterms:created xsi:type="dcterms:W3CDTF">2020-10-12T14:52:00Z</dcterms:created>
  <dcterms:modified xsi:type="dcterms:W3CDTF">2020-10-12T14:53:00Z</dcterms:modified>
</cp:coreProperties>
</file>