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734" w14:textId="77777777" w:rsidR="003B3DE9" w:rsidRPr="005D1862" w:rsidRDefault="003B3DE9" w:rsidP="003B3DE9">
      <w:pPr>
        <w:spacing w:line="48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Supporting information</w:t>
      </w:r>
      <w:r w:rsidRPr="005D1862">
        <w:rPr>
          <w:rFonts w:ascii="Calibri" w:hAnsi="Calibri" w:cs="Calibri"/>
          <w:b/>
          <w:bCs/>
          <w:lang w:val="en-US"/>
        </w:rPr>
        <w:t xml:space="preserve">: </w:t>
      </w:r>
    </w:p>
    <w:p w14:paraId="421CF289" w14:textId="4A08994A" w:rsidR="003B3DE9" w:rsidRPr="002E02D0" w:rsidRDefault="003B3DE9" w:rsidP="003B3DE9">
      <w:pPr>
        <w:spacing w:line="480" w:lineRule="auto"/>
        <w:rPr>
          <w:rFonts w:ascii="Calibri" w:hAnsi="Calibri" w:cs="Calibri"/>
          <w:b/>
          <w:bCs/>
          <w:lang w:val="en-US"/>
        </w:rPr>
      </w:pPr>
      <w:r w:rsidRPr="002E02D0">
        <w:rPr>
          <w:rFonts w:ascii="Calibri" w:hAnsi="Calibri" w:cs="Calibri"/>
          <w:b/>
          <w:bCs/>
          <w:lang w:val="en-US"/>
        </w:rPr>
        <w:t>S1 Table</w:t>
      </w:r>
      <w:r w:rsidR="00D45B39" w:rsidRPr="002E02D0">
        <w:rPr>
          <w:rFonts w:ascii="Calibri" w:hAnsi="Calibri" w:cs="Calibri"/>
          <w:b/>
          <w:bCs/>
          <w:lang w:val="en-US"/>
        </w:rPr>
        <w:t>.</w:t>
      </w:r>
      <w:r w:rsidRPr="002E02D0">
        <w:rPr>
          <w:rFonts w:ascii="Calibri" w:hAnsi="Calibri" w:cs="Calibri"/>
          <w:b/>
          <w:bCs/>
          <w:lang w:val="en-US"/>
        </w:rPr>
        <w:t xml:space="preserve"> Bivariate analysis between independent variables and QOL’s domains</w:t>
      </w:r>
    </w:p>
    <w:p w14:paraId="4552CC11" w14:textId="075634A2" w:rsidR="003B3DE9" w:rsidRDefault="003B3DE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1482"/>
        <w:gridCol w:w="1402"/>
        <w:gridCol w:w="1758"/>
        <w:gridCol w:w="1818"/>
      </w:tblGrid>
      <w:tr w:rsidR="002E02D0" w14:paraId="05F4D44E" w14:textId="77777777" w:rsidTr="0049338A">
        <w:trPr>
          <w:trHeight w:val="296"/>
        </w:trPr>
        <w:tc>
          <w:tcPr>
            <w:tcW w:w="3280" w:type="dxa"/>
            <w:shd w:val="clear" w:color="auto" w:fill="D9D9D9"/>
            <w:vAlign w:val="center"/>
          </w:tcPr>
          <w:p w14:paraId="003FA364" w14:textId="77777777" w:rsidR="002E02D0" w:rsidRDefault="002E02D0" w:rsidP="004933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246BD845" w14:textId="77777777" w:rsidR="002E02D0" w:rsidRDefault="002E02D0" w:rsidP="00493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Physical health QOL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58549799" w14:textId="77777777" w:rsidR="002E02D0" w:rsidRDefault="002E02D0" w:rsidP="00493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Mental health QOL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4048AA37" w14:textId="77777777" w:rsidR="002E02D0" w:rsidRDefault="002E02D0" w:rsidP="00493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Environmental QOL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3EB6CD75" w14:textId="77777777" w:rsidR="002E02D0" w:rsidRDefault="002E02D0" w:rsidP="00493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Social relationships QOL</w:t>
            </w:r>
          </w:p>
        </w:tc>
      </w:tr>
      <w:tr w:rsidR="002E02D0" w14:paraId="29D1DB3F" w14:textId="77777777" w:rsidTr="0049338A">
        <w:trPr>
          <w:trHeight w:val="283"/>
        </w:trPr>
        <w:tc>
          <w:tcPr>
            <w:tcW w:w="10682" w:type="dxa"/>
            <w:gridSpan w:val="5"/>
            <w:shd w:val="clear" w:color="auto" w:fill="F2F2F2"/>
            <w:vAlign w:val="center"/>
          </w:tcPr>
          <w:p w14:paraId="1C815CCD" w14:textId="77777777" w:rsidR="002E02D0" w:rsidRDefault="002E02D0" w:rsidP="0049338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Background characteristics</w:t>
            </w:r>
          </w:p>
        </w:tc>
      </w:tr>
      <w:tr w:rsidR="002E02D0" w14:paraId="40E2E5FA" w14:textId="77777777" w:rsidTr="0049338A">
        <w:trPr>
          <w:trHeight w:val="148"/>
        </w:trPr>
        <w:tc>
          <w:tcPr>
            <w:tcW w:w="3280" w:type="dxa"/>
            <w:shd w:val="clear" w:color="auto" w:fill="auto"/>
          </w:tcPr>
          <w:p w14:paraId="72D4D142" w14:textId="77777777" w:rsidR="002E02D0" w:rsidRDefault="002E02D0" w:rsidP="0049338A">
            <w:pPr>
              <w:rPr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Sex (Female)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96CB4DB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0.025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631459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0.039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104532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0.321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93B3EBF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0.593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3C2E20DC" w14:textId="77777777" w:rsidTr="0049338A">
        <w:tc>
          <w:tcPr>
            <w:tcW w:w="3280" w:type="dxa"/>
            <w:shd w:val="clear" w:color="auto" w:fill="auto"/>
          </w:tcPr>
          <w:p w14:paraId="5B9D7153" w14:textId="77777777" w:rsidR="002E02D0" w:rsidRDefault="002E02D0" w:rsidP="0049338A">
            <w:pPr>
              <w:rPr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Age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2115E42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F59F367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 xml:space="preserve">0.840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8DB7FB3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0.755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7BEC23C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0.058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b</w:t>
            </w:r>
          </w:p>
        </w:tc>
      </w:tr>
      <w:tr w:rsidR="002E02D0" w14:paraId="6CDE3680" w14:textId="77777777" w:rsidTr="0049338A">
        <w:tc>
          <w:tcPr>
            <w:tcW w:w="3280" w:type="dxa"/>
            <w:shd w:val="clear" w:color="auto" w:fill="auto"/>
          </w:tcPr>
          <w:p w14:paraId="50AF6014" w14:textId="77777777" w:rsidR="002E02D0" w:rsidRDefault="002E02D0" w:rsidP="0049338A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Social professional categories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05B60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D2537C9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0.174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7D9DCA1" w14:textId="77777777" w:rsidR="002E02D0" w:rsidRDefault="002E02D0" w:rsidP="00493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0.003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F1F8AF" w14:textId="77777777" w:rsidR="002E02D0" w:rsidRDefault="002E02D0" w:rsidP="00493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</w:tr>
      <w:tr w:rsidR="002E02D0" w14:paraId="0D1D1D12" w14:textId="77777777" w:rsidTr="0049338A">
        <w:trPr>
          <w:trHeight w:val="283"/>
        </w:trPr>
        <w:tc>
          <w:tcPr>
            <w:tcW w:w="10682" w:type="dxa"/>
            <w:gridSpan w:val="5"/>
            <w:shd w:val="clear" w:color="auto" w:fill="F2F2F2"/>
            <w:vAlign w:val="center"/>
          </w:tcPr>
          <w:p w14:paraId="23DDC00B" w14:textId="77777777" w:rsidR="002E02D0" w:rsidRDefault="002E02D0" w:rsidP="0049338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Health status</w:t>
            </w:r>
          </w:p>
        </w:tc>
      </w:tr>
      <w:tr w:rsidR="002E02D0" w14:paraId="541DDC7A" w14:textId="77777777" w:rsidTr="0049338A">
        <w:tc>
          <w:tcPr>
            <w:tcW w:w="3280" w:type="dxa"/>
            <w:shd w:val="clear" w:color="auto" w:fill="auto"/>
          </w:tcPr>
          <w:p w14:paraId="30F1026C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Chronic diseases / Cancer (&lt;5 years)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F6BCA2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0.003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CAF4CB3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0.475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C1E2B33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0.394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C6BF18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0.019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6A72B301" w14:textId="77777777" w:rsidTr="0049338A">
        <w:tc>
          <w:tcPr>
            <w:tcW w:w="3280" w:type="dxa"/>
            <w:shd w:val="clear" w:color="auto" w:fill="auto"/>
          </w:tcPr>
          <w:p w14:paraId="18A007B8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Alcohol abuse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E54D7B0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0.060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7E35D7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0.647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8598F6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0.107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84A0371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0.007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6ADA88FD" w14:textId="77777777" w:rsidTr="0049338A">
        <w:tc>
          <w:tcPr>
            <w:tcW w:w="3280" w:type="dxa"/>
            <w:shd w:val="clear" w:color="auto" w:fill="auto"/>
          </w:tcPr>
          <w:p w14:paraId="4D4A2CF7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Active smoking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1ABE662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0.120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AB21199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0.078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C59E5D0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0.104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FD21E1F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0.970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2F0EEEF4" w14:textId="77777777" w:rsidTr="0049338A">
        <w:tc>
          <w:tcPr>
            <w:tcW w:w="3280" w:type="dxa"/>
            <w:shd w:val="clear" w:color="auto" w:fill="auto"/>
          </w:tcPr>
          <w:p w14:paraId="5CC64A52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Undernutrition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E1E01BB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0.642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03549E3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0.340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76052F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0.610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55BD534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0.749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51C1A8C1" w14:textId="77777777" w:rsidTr="0049338A">
        <w:tc>
          <w:tcPr>
            <w:tcW w:w="3280" w:type="dxa"/>
            <w:shd w:val="clear" w:color="auto" w:fill="auto"/>
          </w:tcPr>
          <w:p w14:paraId="6AF1CFEB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Recurrent meningitis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9C25CEF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0.942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07432B1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0.870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4C95910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0.582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6A8D75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0.792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306B8766" w14:textId="77777777" w:rsidTr="0049338A">
        <w:trPr>
          <w:trHeight w:val="283"/>
        </w:trPr>
        <w:tc>
          <w:tcPr>
            <w:tcW w:w="10682" w:type="dxa"/>
            <w:gridSpan w:val="5"/>
            <w:shd w:val="clear" w:color="auto" w:fill="F2F2F2"/>
            <w:vAlign w:val="center"/>
          </w:tcPr>
          <w:p w14:paraId="0D73D97F" w14:textId="77777777" w:rsidR="002E02D0" w:rsidRDefault="002E02D0" w:rsidP="0049338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CABM Clinical course</w:t>
            </w:r>
          </w:p>
        </w:tc>
      </w:tr>
      <w:tr w:rsidR="002E02D0" w14:paraId="666C6494" w14:textId="77777777" w:rsidTr="0049338A">
        <w:tc>
          <w:tcPr>
            <w:tcW w:w="3280" w:type="dxa"/>
            <w:shd w:val="clear" w:color="auto" w:fill="auto"/>
          </w:tcPr>
          <w:p w14:paraId="2836189E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Causative microorganisms</w:t>
            </w:r>
          </w:p>
        </w:tc>
        <w:tc>
          <w:tcPr>
            <w:tcW w:w="1759" w:type="dxa"/>
            <w:shd w:val="clear" w:color="auto" w:fill="auto"/>
          </w:tcPr>
          <w:p w14:paraId="3E5B209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0.031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1689" w:type="dxa"/>
            <w:shd w:val="clear" w:color="auto" w:fill="auto"/>
          </w:tcPr>
          <w:p w14:paraId="48FE2DBA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0.721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1885" w:type="dxa"/>
            <w:shd w:val="clear" w:color="auto" w:fill="auto"/>
          </w:tcPr>
          <w:p w14:paraId="5A2D0F7C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0.767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2069" w:type="dxa"/>
            <w:shd w:val="clear" w:color="auto" w:fill="auto"/>
          </w:tcPr>
          <w:p w14:paraId="0DB7FCDD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0.209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</w:tr>
      <w:tr w:rsidR="002E02D0" w14:paraId="1345EE59" w14:textId="77777777" w:rsidTr="0049338A">
        <w:tc>
          <w:tcPr>
            <w:tcW w:w="3280" w:type="dxa"/>
            <w:shd w:val="clear" w:color="auto" w:fill="auto"/>
          </w:tcPr>
          <w:p w14:paraId="675B67BE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Corticoids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8A7C608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 xml:space="preserve">0.940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764EADD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 xml:space="preserve">0.729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592DE7B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 xml:space="preserve">0.761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E6DBF05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 xml:space="preserve">0.509 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4056778E" w14:textId="77777777" w:rsidTr="0049338A">
        <w:tc>
          <w:tcPr>
            <w:tcW w:w="3280" w:type="dxa"/>
            <w:shd w:val="clear" w:color="auto" w:fill="auto"/>
          </w:tcPr>
          <w:p w14:paraId="7CD58367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Admission in ICU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61EF3AA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0.864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C76944E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0.646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C243C1E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0.060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5232530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0.198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14069174" w14:textId="77777777" w:rsidTr="0049338A">
        <w:tc>
          <w:tcPr>
            <w:tcW w:w="3280" w:type="dxa"/>
            <w:shd w:val="clear" w:color="auto" w:fill="auto"/>
          </w:tcPr>
          <w:p w14:paraId="5035699D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Seizures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217C82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0.354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BB26437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0.185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5BB556B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0.384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C8AFA2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5"/>
                <w:szCs w:val="15"/>
                <w:lang w:val="en-US"/>
              </w:rPr>
              <w:t>0.009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416A1DAF" w14:textId="77777777" w:rsidTr="0049338A">
        <w:tc>
          <w:tcPr>
            <w:tcW w:w="3280" w:type="dxa"/>
            <w:shd w:val="clear" w:color="auto" w:fill="auto"/>
          </w:tcPr>
          <w:p w14:paraId="5B06BA13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Coma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1D47D1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0.988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A58D964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0.078</w:t>
            </w:r>
            <w:r>
              <w:rPr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98C192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0.821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46DBC7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0.781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1E2A858A" w14:textId="77777777" w:rsidTr="0049338A">
        <w:trPr>
          <w:trHeight w:val="283"/>
        </w:trPr>
        <w:tc>
          <w:tcPr>
            <w:tcW w:w="10682" w:type="dxa"/>
            <w:gridSpan w:val="5"/>
            <w:shd w:val="clear" w:color="auto" w:fill="F2F2F2"/>
            <w:vAlign w:val="center"/>
          </w:tcPr>
          <w:p w14:paraId="1F01ABDA" w14:textId="77777777" w:rsidR="002E02D0" w:rsidRDefault="002E02D0" w:rsidP="0049338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12-month follow-up CABM impairments</w:t>
            </w:r>
          </w:p>
        </w:tc>
      </w:tr>
      <w:tr w:rsidR="002E02D0" w14:paraId="79F3DE42" w14:textId="77777777" w:rsidTr="0049338A">
        <w:tc>
          <w:tcPr>
            <w:tcW w:w="3280" w:type="dxa"/>
            <w:shd w:val="clear" w:color="auto" w:fill="auto"/>
          </w:tcPr>
          <w:p w14:paraId="6051D393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GOS</w:t>
            </w:r>
          </w:p>
        </w:tc>
        <w:tc>
          <w:tcPr>
            <w:tcW w:w="1759" w:type="dxa"/>
            <w:shd w:val="clear" w:color="auto" w:fill="auto"/>
          </w:tcPr>
          <w:p w14:paraId="3E2EA371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</w:tcPr>
          <w:p w14:paraId="1E40F541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</w:tcPr>
          <w:p w14:paraId="3D0D71DD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2069" w:type="dxa"/>
            <w:shd w:val="clear" w:color="auto" w:fill="auto"/>
          </w:tcPr>
          <w:p w14:paraId="47D60E6A" w14:textId="77777777" w:rsidR="002E02D0" w:rsidRDefault="002E02D0" w:rsidP="004933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</w:tr>
      <w:tr w:rsidR="002E02D0" w14:paraId="5C4C12DD" w14:textId="77777777" w:rsidTr="0049338A">
        <w:tc>
          <w:tcPr>
            <w:tcW w:w="3280" w:type="dxa"/>
            <w:shd w:val="clear" w:color="auto" w:fill="auto"/>
          </w:tcPr>
          <w:p w14:paraId="1BA27D72" w14:textId="77777777" w:rsidR="002E02D0" w:rsidRDefault="002E02D0" w:rsidP="0049338A">
            <w:pPr>
              <w:rPr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Headache</w:t>
            </w:r>
          </w:p>
        </w:tc>
        <w:tc>
          <w:tcPr>
            <w:tcW w:w="1759" w:type="dxa"/>
            <w:shd w:val="clear" w:color="auto" w:fill="auto"/>
          </w:tcPr>
          <w:p w14:paraId="43B32E71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689" w:type="dxa"/>
            <w:shd w:val="clear" w:color="auto" w:fill="auto"/>
          </w:tcPr>
          <w:p w14:paraId="4C098F73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a</w:t>
            </w:r>
          </w:p>
        </w:tc>
        <w:tc>
          <w:tcPr>
            <w:tcW w:w="1885" w:type="dxa"/>
            <w:shd w:val="clear" w:color="auto" w:fill="auto"/>
          </w:tcPr>
          <w:p w14:paraId="25D105EC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0.010 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  <w:tc>
          <w:tcPr>
            <w:tcW w:w="2069" w:type="dxa"/>
            <w:shd w:val="clear" w:color="auto" w:fill="auto"/>
          </w:tcPr>
          <w:p w14:paraId="5EDCEBB9" w14:textId="77777777" w:rsidR="002E02D0" w:rsidRDefault="002E02D0" w:rsidP="0049338A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0.107 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a</w:t>
            </w:r>
          </w:p>
        </w:tc>
      </w:tr>
      <w:tr w:rsidR="002E02D0" w14:paraId="4CF07F46" w14:textId="77777777" w:rsidTr="0049338A">
        <w:tc>
          <w:tcPr>
            <w:tcW w:w="3280" w:type="dxa"/>
            <w:shd w:val="clear" w:color="auto" w:fill="auto"/>
          </w:tcPr>
          <w:p w14:paraId="6D7C8F62" w14:textId="77777777" w:rsidR="002E02D0" w:rsidRDefault="002E02D0" w:rsidP="0049338A">
            <w:pPr>
              <w:rPr>
                <w:bCs/>
                <w:color w:val="000000"/>
                <w:sz w:val="15"/>
                <w:szCs w:val="15"/>
                <w:lang w:val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Hearing  impairment</w:t>
            </w:r>
            <w:proofErr w:type="gramEnd"/>
          </w:p>
        </w:tc>
        <w:tc>
          <w:tcPr>
            <w:tcW w:w="1759" w:type="dxa"/>
            <w:shd w:val="clear" w:color="auto" w:fill="auto"/>
            <w:vAlign w:val="center"/>
          </w:tcPr>
          <w:p w14:paraId="5E95A068" w14:textId="77777777" w:rsidR="002E02D0" w:rsidRDefault="002E02D0" w:rsidP="004933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&lt;0.001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c</w:t>
            </w:r>
          </w:p>
        </w:tc>
        <w:tc>
          <w:tcPr>
            <w:tcW w:w="1689" w:type="dxa"/>
            <w:shd w:val="clear" w:color="auto" w:fill="auto"/>
          </w:tcPr>
          <w:p w14:paraId="2D378EB9" w14:textId="77777777" w:rsidR="002E02D0" w:rsidRDefault="002E02D0" w:rsidP="004933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0.038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 xml:space="preserve"> c</w:t>
            </w:r>
          </w:p>
        </w:tc>
        <w:tc>
          <w:tcPr>
            <w:tcW w:w="1885" w:type="dxa"/>
            <w:shd w:val="clear" w:color="auto" w:fill="auto"/>
          </w:tcPr>
          <w:p w14:paraId="476B19FC" w14:textId="77777777" w:rsidR="002E02D0" w:rsidRDefault="002E02D0" w:rsidP="004933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0.003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  <w:tc>
          <w:tcPr>
            <w:tcW w:w="2069" w:type="dxa"/>
            <w:shd w:val="clear" w:color="auto" w:fill="auto"/>
          </w:tcPr>
          <w:p w14:paraId="72D0BD06" w14:textId="77777777" w:rsidR="002E02D0" w:rsidRDefault="002E02D0" w:rsidP="004933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0.376</w:t>
            </w:r>
            <w:r>
              <w:rPr>
                <w:color w:val="000000"/>
                <w:sz w:val="15"/>
                <w:szCs w:val="15"/>
                <w:vertAlign w:val="superscript"/>
                <w:lang w:val="en-US"/>
              </w:rPr>
              <w:t>c</w:t>
            </w:r>
          </w:p>
        </w:tc>
      </w:tr>
    </w:tbl>
    <w:p w14:paraId="3C124517" w14:textId="23F161FE" w:rsidR="00C46C6E" w:rsidRDefault="00C46C6E">
      <w:pPr>
        <w:rPr>
          <w:lang w:val="en-US"/>
        </w:rPr>
      </w:pPr>
    </w:p>
    <w:p w14:paraId="4EA3F38E" w14:textId="77777777" w:rsidR="002E02D0" w:rsidRDefault="002E02D0" w:rsidP="002E02D0">
      <w:pPr>
        <w:pStyle w:val="Default"/>
        <w:spacing w:before="100" w:beforeAutospacing="1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Mann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-Whitney;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Pearson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correlation;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ANOVA</w:t>
      </w:r>
      <w:proofErr w:type="spellEnd"/>
    </w:p>
    <w:p w14:paraId="7E49108E" w14:textId="77777777" w:rsidR="00C46C6E" w:rsidRPr="00CB5E13" w:rsidRDefault="00C46C6E">
      <w:pPr>
        <w:rPr>
          <w:lang w:val="en-US"/>
        </w:rPr>
      </w:pPr>
    </w:p>
    <w:sectPr w:rsidR="00C46C6E" w:rsidRPr="00CB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E9"/>
    <w:rsid w:val="002E02D0"/>
    <w:rsid w:val="003B3DE9"/>
    <w:rsid w:val="003C2143"/>
    <w:rsid w:val="00C04FCF"/>
    <w:rsid w:val="00C46C6E"/>
    <w:rsid w:val="00CB5E13"/>
    <w:rsid w:val="00D45B39"/>
    <w:rsid w:val="00E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7EC9"/>
  <w15:chartTrackingRefBased/>
  <w15:docId w15:val="{DDC1376F-036F-E243-8687-ECE001D6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E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B3DE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Della Vecchia</dc:creator>
  <cp:keywords/>
  <dc:description/>
  <cp:lastModifiedBy>Claire Della Vecchia</cp:lastModifiedBy>
  <cp:revision>2</cp:revision>
  <dcterms:created xsi:type="dcterms:W3CDTF">2023-02-03T18:06:00Z</dcterms:created>
  <dcterms:modified xsi:type="dcterms:W3CDTF">2023-02-03T18:06:00Z</dcterms:modified>
</cp:coreProperties>
</file>