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6ED" w:rsidRPr="00490BD3" w14:paraId="4E370204" w14:textId="77777777" w:rsidTr="000D54AB">
        <w:tc>
          <w:tcPr>
            <w:tcW w:w="9016" w:type="dxa"/>
          </w:tcPr>
          <w:p w14:paraId="613876EB" w14:textId="77777777" w:rsidR="009216ED" w:rsidRPr="00E83EE3" w:rsidRDefault="009216ED" w:rsidP="000D54AB">
            <w:pPr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83EE3">
              <w:rPr>
                <w:rFonts w:cs="Arial"/>
                <w:b/>
                <w:bCs/>
                <w:sz w:val="20"/>
                <w:szCs w:val="20"/>
                <w:lang w:val="en-US"/>
              </w:rPr>
              <w:t>SEARCH GROUP #1 (Eye care terms)</w:t>
            </w:r>
          </w:p>
        </w:tc>
      </w:tr>
      <w:tr w:rsidR="009216ED" w:rsidRPr="00490BD3" w14:paraId="73CF67E8" w14:textId="77777777" w:rsidTr="000D54AB">
        <w:tc>
          <w:tcPr>
            <w:tcW w:w="9016" w:type="dxa"/>
          </w:tcPr>
          <w:p w14:paraId="2F553BD4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exp Eye Diseases/</w:t>
            </w:r>
          </w:p>
          <w:p w14:paraId="73E50ED3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exp Ophthalmology/</w:t>
            </w:r>
          </w:p>
          <w:p w14:paraId="3576BA8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optometry/</w:t>
            </w:r>
          </w:p>
          <w:p w14:paraId="26DF7D7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((eye$ or ocular or vision) adj2 (care or health or service$)).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6DD8B62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(visual adj1 acuity).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5C39152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ophthalm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optomet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4EE52B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7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retinopath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5E8EC03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8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(glaucoma$ or ocular hypertension).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3B2F048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9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cataract$.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2B8AEAF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10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(dilated adj2 fundus).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2122FB7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(retinal adj2 exam$).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EBD458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12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(refractive adj1 error$).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E21929B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13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(spectacle$ or glasses or eyeglasses or eye glasses).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5902051F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14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blindness.tw,kf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3D8B54AC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15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((vision or visual$) adj1 impair$).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53C1F3B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16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(trachoma$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trichia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E86DE9F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17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(myopic degeneration or macular degeneration or age-related macular degeneration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armd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717387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18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amblyopi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strabism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0DE7B70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19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conjunctiv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pteryg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232265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20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myop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hyperop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hypermetrop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anisometrop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ammetrop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astigmati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presbyop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8F6C436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(ptosis or entropion or ectropion or blepharitis or chalazion or hordeolum).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DD20562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22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(cornea$ adj2 (ulcer or infection)).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D258286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23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(keratitis or keratoconus).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30D4DAF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24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(dry eye disease or ocular surface disease).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506A07EB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25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((low adj1 vision) or vision rehabilitation or visual rehabilitation).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EBE97F1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26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(onchocerciasis or measles or rubella or vitamin a deficiency).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0D7BCA9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27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((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diabet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 or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proliferat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 xml:space="preserve">$) adj3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retinopath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F6D7D81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28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diabet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 adj3 (eye$ or vision or visual$ or sight$)).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6749D1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29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red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eye.tw,kf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2BB9CC1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30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eye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problem.tw,kf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2795554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eye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health.tw,kf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3CB60B7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32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(ocular adj1 (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injur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 or trauma)).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C4A2737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33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or/1-32</w:t>
            </w:r>
          </w:p>
        </w:tc>
      </w:tr>
      <w:tr w:rsidR="009216ED" w:rsidRPr="00490BD3" w14:paraId="76BF8D73" w14:textId="77777777" w:rsidTr="000D54AB">
        <w:tc>
          <w:tcPr>
            <w:tcW w:w="9016" w:type="dxa"/>
          </w:tcPr>
          <w:p w14:paraId="76D22417" w14:textId="77777777" w:rsidR="009216ED" w:rsidRPr="00490BD3" w:rsidRDefault="009216ED" w:rsidP="000D54AB">
            <w:pPr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b/>
                <w:bCs/>
                <w:sz w:val="20"/>
                <w:szCs w:val="20"/>
                <w:lang w:val="en-US"/>
              </w:rPr>
              <w:t>SEARCH GROUP #2 (Community engagement terms)</w:t>
            </w:r>
          </w:p>
        </w:tc>
      </w:tr>
      <w:tr w:rsidR="009216ED" w:rsidRPr="00490BD3" w14:paraId="31139981" w14:textId="77777777" w:rsidTr="000D54AB">
        <w:tc>
          <w:tcPr>
            <w:tcW w:w="9016" w:type="dxa"/>
          </w:tcPr>
          <w:p w14:paraId="2DA261C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34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based.tw,kf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98EB40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35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local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community.tw,kf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29DB0D0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36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community volunteer$.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694D27B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lastRenderedPageBreak/>
              <w:t>37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key informant$.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65BBE5C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38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local school$.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8A29BC6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39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school-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based.tw,kf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13ED84B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40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community partnership$.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2FC752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accountability.tw,kf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A277D6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42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outreach.tw,kf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80304FB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43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participation.tw,kf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36E2E7E0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44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engagement.tw,kf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39E65C49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45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advisory.tw,kf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556F232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46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community consultation$.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3A55A34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47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community-based participatory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research.tw,kf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982431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48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community-based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research.tw,kf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3554F77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49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(community counselling or community counseling).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7A75559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50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 health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planning.tw,kf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981F022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advocacy.tw,kf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58E5EFB0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52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community health service$.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8291AA4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53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community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action.tw,kf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BEFC80B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54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citizen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participation.tw,kf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8DA05E5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55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public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participation.tw,kf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F20E8FF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56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citizen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engagement.tw,kf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3C97716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57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community network$.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8E746EE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58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exp community-institutional relations/</w:t>
            </w:r>
          </w:p>
          <w:p w14:paraId="7B98D440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59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or/34-58</w:t>
            </w:r>
          </w:p>
        </w:tc>
      </w:tr>
      <w:tr w:rsidR="009216ED" w:rsidRPr="00490BD3" w14:paraId="64665DAA" w14:textId="77777777" w:rsidTr="000D54AB">
        <w:tc>
          <w:tcPr>
            <w:tcW w:w="9016" w:type="dxa"/>
          </w:tcPr>
          <w:p w14:paraId="57F4C640" w14:textId="77777777" w:rsidR="009216ED" w:rsidRPr="00490BD3" w:rsidRDefault="009216ED" w:rsidP="000D54AB">
            <w:pPr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SEARCH GROUP #3 (Intervention terms)</w:t>
            </w:r>
          </w:p>
        </w:tc>
      </w:tr>
      <w:tr w:rsidR="009216ED" w:rsidRPr="00490BD3" w14:paraId="5F147AB9" w14:textId="77777777" w:rsidTr="000D54AB">
        <w:tc>
          <w:tcPr>
            <w:tcW w:w="9016" w:type="dxa"/>
          </w:tcPr>
          <w:p w14:paraId="4624297C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60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intervention$.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4585502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program$.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BC21B32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62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programme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09A358A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63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initiative$.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704CA06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64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incentive$.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DC70852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65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campaign$.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796F7D9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66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strategy.tw,kf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5AF134E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67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strategies.tw,kf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8845827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68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health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education.tw,kf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8368836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69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or/60-69</w:t>
            </w:r>
          </w:p>
        </w:tc>
      </w:tr>
      <w:tr w:rsidR="009216ED" w:rsidRPr="00490BD3" w14:paraId="4C47B210" w14:textId="77777777" w:rsidTr="000D54AB">
        <w:tc>
          <w:tcPr>
            <w:tcW w:w="9016" w:type="dxa"/>
          </w:tcPr>
          <w:p w14:paraId="2FB4F5D5" w14:textId="77777777" w:rsidR="009216ED" w:rsidRPr="00490BD3" w:rsidRDefault="009216ED" w:rsidP="000D54AB">
            <w:pPr>
              <w:spacing w:after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b/>
                <w:bCs/>
                <w:sz w:val="20"/>
                <w:szCs w:val="20"/>
                <w:lang w:val="en-US"/>
              </w:rPr>
              <w:t>SEARCH GROUP #4</w:t>
            </w:r>
          </w:p>
        </w:tc>
      </w:tr>
      <w:tr w:rsidR="009216ED" w:rsidRPr="00490BD3" w14:paraId="6F679426" w14:textId="77777777" w:rsidTr="000D54AB">
        <w:tc>
          <w:tcPr>
            <w:tcW w:w="9016" w:type="dxa"/>
          </w:tcPr>
          <w:p w14:paraId="7586E6CD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70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>33 and 59 and 69</w:t>
            </w:r>
          </w:p>
          <w:p w14:paraId="53514241" w14:textId="77777777" w:rsidR="009216ED" w:rsidRPr="00490BD3" w:rsidRDefault="009216ED" w:rsidP="000D54A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490BD3">
              <w:rPr>
                <w:rFonts w:cs="Arial"/>
                <w:sz w:val="20"/>
                <w:szCs w:val="20"/>
                <w:lang w:val="en-US"/>
              </w:rPr>
              <w:t>71</w:t>
            </w:r>
            <w:r w:rsidRPr="00490BD3">
              <w:rPr>
                <w:rFonts w:cs="Arial"/>
                <w:sz w:val="20"/>
                <w:szCs w:val="20"/>
                <w:lang w:val="en-US"/>
              </w:rPr>
              <w:tab/>
              <w:t xml:space="preserve">limit 55 to </w:t>
            </w:r>
            <w:proofErr w:type="spellStart"/>
            <w:r w:rsidRPr="00490BD3">
              <w:rPr>
                <w:rFonts w:cs="Arial"/>
                <w:sz w:val="20"/>
                <w:szCs w:val="20"/>
                <w:lang w:val="en-US"/>
              </w:rPr>
              <w:t>yr</w:t>
            </w:r>
            <w:proofErr w:type="spellEnd"/>
            <w:r w:rsidRPr="00490BD3">
              <w:rPr>
                <w:rFonts w:cs="Arial"/>
                <w:sz w:val="20"/>
                <w:szCs w:val="20"/>
                <w:lang w:val="en-US"/>
              </w:rPr>
              <w:t>="2011 -Current"</w:t>
            </w:r>
          </w:p>
        </w:tc>
      </w:tr>
    </w:tbl>
    <w:p w14:paraId="534AB9A2" w14:textId="77777777" w:rsidR="00C23EA0" w:rsidRDefault="00C23EA0"/>
    <w:sectPr w:rsidR="00C2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4D5"/>
    <w:multiLevelType w:val="hybridMultilevel"/>
    <w:tmpl w:val="C2665660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3866">
    <w:abstractNumId w:val="0"/>
  </w:num>
  <w:num w:numId="2" w16cid:durableId="21916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ED"/>
    <w:rsid w:val="0012752B"/>
    <w:rsid w:val="00197735"/>
    <w:rsid w:val="002E3EE2"/>
    <w:rsid w:val="008D56F3"/>
    <w:rsid w:val="009216ED"/>
    <w:rsid w:val="00C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E81B"/>
  <w15:chartTrackingRefBased/>
  <w15:docId w15:val="{C7B95B2A-7789-4B0E-A664-EC6804E5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ED"/>
    <w:pPr>
      <w:spacing w:after="160" w:line="360" w:lineRule="auto"/>
    </w:pPr>
    <w:rPr>
      <w:rFonts w:ascii="Arial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7735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Cs/>
      <w:caps/>
      <w:color w:val="4472C4" w:themeColor="accent1"/>
      <w:sz w:val="52"/>
      <w:szCs w:val="4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97735"/>
    <w:rPr>
      <w:rFonts w:asciiTheme="majorHAnsi" w:eastAsia="Times New Roman" w:hAnsiTheme="majorHAnsi" w:cs="Times New Roman"/>
      <w:bCs/>
      <w:caps/>
      <w:color w:val="4472C4" w:themeColor="accent1"/>
      <w:sz w:val="52"/>
      <w:szCs w:val="42"/>
      <w:lang w:val="en-US"/>
    </w:rPr>
  </w:style>
  <w:style w:type="paragraph" w:styleId="ListParagraph">
    <w:name w:val="List Paragraph"/>
    <w:basedOn w:val="BodyText"/>
    <w:uiPriority w:val="1"/>
    <w:qFormat/>
    <w:rsid w:val="002E3EE2"/>
    <w:pPr>
      <w:numPr>
        <w:numId w:val="2"/>
      </w:numPr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735"/>
    <w:pPr>
      <w:spacing w:after="120" w:line="240" w:lineRule="auto"/>
    </w:pPr>
    <w:rPr>
      <w:rFonts w:asciiTheme="minorHAnsi" w:hAnsiTheme="minorHAnsi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735"/>
  </w:style>
  <w:style w:type="table" w:styleId="TableGrid">
    <w:name w:val="Table Grid"/>
    <w:aliases w:val="Layout Grid"/>
    <w:basedOn w:val="TableNormal"/>
    <w:uiPriority w:val="39"/>
    <w:rsid w:val="009216ED"/>
    <w:pPr>
      <w:spacing w:after="200" w:line="288" w:lineRule="auto"/>
    </w:pPr>
    <w:rPr>
      <w:rFonts w:asciiTheme="minorHAnsi" w:hAnsiTheme="minorHAnsi" w:cstheme="minorBidi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Lee</dc:creator>
  <cp:keywords/>
  <dc:description/>
  <cp:lastModifiedBy>Ling Lee</cp:lastModifiedBy>
  <cp:revision>1</cp:revision>
  <dcterms:created xsi:type="dcterms:W3CDTF">2022-08-08T01:22:00Z</dcterms:created>
  <dcterms:modified xsi:type="dcterms:W3CDTF">2022-08-08T01:22:00Z</dcterms:modified>
</cp:coreProperties>
</file>