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4978" w14:textId="77777777" w:rsidR="00F61E0D" w:rsidRDefault="00BB6C26" w:rsidP="002A65F6">
      <w:pPr>
        <w:spacing w:after="120" w:line="480" w:lineRule="auto"/>
        <w:rPr>
          <w:rFonts w:ascii="Times New Roman" w:hAnsi="Times New Roman" w:cs="Times New Roman"/>
          <w:b/>
          <w:sz w:val="32"/>
          <w:szCs w:val="32"/>
        </w:rPr>
      </w:pPr>
      <w:r w:rsidRPr="00C4036C">
        <w:rPr>
          <w:rFonts w:ascii="Times New Roman" w:hAnsi="Times New Roman" w:cs="Times New Roman"/>
          <w:b/>
          <w:sz w:val="32"/>
          <w:szCs w:val="32"/>
        </w:rPr>
        <w:t>S1 Appendix</w:t>
      </w:r>
    </w:p>
    <w:p w14:paraId="67411B93" w14:textId="479EE05E" w:rsidR="002A65F6" w:rsidRDefault="00BB6C26" w:rsidP="002A65F6">
      <w:pPr>
        <w:spacing w:after="120" w:line="480" w:lineRule="auto"/>
        <w:rPr>
          <w:rFonts w:ascii="Times New Roman" w:hAnsi="Times New Roman" w:cs="Times New Roman"/>
        </w:rPr>
      </w:pPr>
      <w:r w:rsidRPr="00C4036C">
        <w:rPr>
          <w:rFonts w:ascii="Times New Roman" w:hAnsi="Times New Roman" w:cs="Times New Roman"/>
          <w:b/>
          <w:sz w:val="32"/>
          <w:szCs w:val="32"/>
        </w:rPr>
        <w:t xml:space="preserve">Cross-sectional Mediation Analyses </w:t>
      </w:r>
    </w:p>
    <w:p w14:paraId="17A5EA8A" w14:textId="3AC65F41" w:rsidR="00C4036C" w:rsidRPr="002A65F6" w:rsidRDefault="00C4036C" w:rsidP="002A65F6">
      <w:pPr>
        <w:spacing w:after="120" w:line="480" w:lineRule="auto"/>
        <w:rPr>
          <w:rFonts w:ascii="Times New Roman" w:hAnsi="Times New Roman" w:cs="Times New Roman"/>
        </w:rPr>
      </w:pPr>
      <w:r w:rsidRPr="00C4036C">
        <w:rPr>
          <w:rFonts w:ascii="Times New Roman" w:hAnsi="Times New Roman" w:cs="Times New Roman"/>
          <w:b/>
          <w:sz w:val="28"/>
          <w:szCs w:val="28"/>
        </w:rPr>
        <w:t>Methods</w:t>
      </w:r>
    </w:p>
    <w:p w14:paraId="7E516481" w14:textId="24EB806D" w:rsidR="00C4036C" w:rsidRPr="00374D5A" w:rsidRDefault="006D265A" w:rsidP="006D265A">
      <w:pPr>
        <w:pStyle w:val="NormalIndent"/>
        <w:spacing w:after="120" w:line="480" w:lineRule="auto"/>
        <w:ind w:firstLine="0"/>
        <w:jc w:val="left"/>
        <w:rPr>
          <w:sz w:val="24"/>
          <w:szCs w:val="24"/>
        </w:rPr>
      </w:pPr>
      <w:r w:rsidRPr="00374D5A">
        <w:rPr>
          <w:rFonts w:eastAsiaTheme="minorEastAsia"/>
          <w:sz w:val="24"/>
          <w:szCs w:val="24"/>
        </w:rPr>
        <w:tab/>
      </w:r>
      <w:r w:rsidRPr="00374D5A">
        <w:rPr>
          <w:rFonts w:eastAsiaTheme="minorEastAsia"/>
          <w:sz w:val="24"/>
          <w:szCs w:val="24"/>
        </w:rPr>
        <w:tab/>
        <w:t xml:space="preserve">A cross-sectional mediation analysis was also performed to determine if the relationships seen in the longitudinal analysis were already seen at </w:t>
      </w:r>
      <w:r w:rsidR="001223CA">
        <w:rPr>
          <w:rFonts w:eastAsiaTheme="minorEastAsia"/>
          <w:sz w:val="24"/>
          <w:szCs w:val="24"/>
        </w:rPr>
        <w:t>b</w:t>
      </w:r>
      <w:r w:rsidRPr="00374D5A">
        <w:rPr>
          <w:rFonts w:eastAsiaTheme="minorEastAsia"/>
          <w:sz w:val="24"/>
          <w:szCs w:val="24"/>
        </w:rPr>
        <w:t xml:space="preserve">aseline, which had a larger sample size of 223 participants. </w:t>
      </w:r>
      <w:r w:rsidR="00C4036C" w:rsidRPr="00374D5A">
        <w:rPr>
          <w:sz w:val="24"/>
          <w:szCs w:val="24"/>
        </w:rPr>
        <w:t>A fixed-effects linear model tested the relationship between GDS and WHODAS</w:t>
      </w:r>
      <w:r w:rsidRPr="00374D5A">
        <w:rPr>
          <w:sz w:val="24"/>
          <w:szCs w:val="24"/>
        </w:rPr>
        <w:t xml:space="preserve"> at baseline</w:t>
      </w:r>
      <w:r w:rsidR="00C4036C" w:rsidRPr="00374D5A">
        <w:rPr>
          <w:color w:val="000000" w:themeColor="text1"/>
          <w:sz w:val="24"/>
          <w:szCs w:val="24"/>
        </w:rPr>
        <w:t xml:space="preserve">, with </w:t>
      </w:r>
      <w:r w:rsidR="00C4036C" w:rsidRPr="00374D5A">
        <w:rPr>
          <w:sz w:val="24"/>
          <w:szCs w:val="24"/>
        </w:rPr>
        <w:t>covariates of age, sex, education, hemoglobin A1c (HbA1</w:t>
      </w:r>
      <w:r w:rsidR="00C4036C" w:rsidRPr="00374D5A">
        <w:rPr>
          <w:sz w:val="24"/>
          <w:szCs w:val="24"/>
          <w:vertAlign w:val="subscript"/>
        </w:rPr>
        <w:t>C</w:t>
      </w:r>
      <w:r w:rsidR="00C4036C" w:rsidRPr="00374D5A">
        <w:rPr>
          <w:sz w:val="24"/>
          <w:szCs w:val="24"/>
        </w:rPr>
        <w:t xml:space="preserve">), and race. Three separate parallel fixed-effects linear models tested for a mediation effect of GDS on the relationship between objective measures of functionality (MMSE, NW, and CCI) and WHODAS </w:t>
      </w:r>
      <w:r w:rsidRPr="00374D5A">
        <w:rPr>
          <w:sz w:val="24"/>
          <w:szCs w:val="24"/>
        </w:rPr>
        <w:t xml:space="preserve">at </w:t>
      </w:r>
      <w:r w:rsidR="001223CA">
        <w:rPr>
          <w:sz w:val="24"/>
          <w:szCs w:val="24"/>
        </w:rPr>
        <w:t>b</w:t>
      </w:r>
      <w:r w:rsidRPr="00374D5A">
        <w:rPr>
          <w:sz w:val="24"/>
          <w:szCs w:val="24"/>
        </w:rPr>
        <w:t>aseline</w:t>
      </w:r>
      <w:r w:rsidR="00C4036C" w:rsidRPr="00374D5A">
        <w:rPr>
          <w:sz w:val="24"/>
          <w:szCs w:val="24"/>
        </w:rPr>
        <w:t>. Covariates for the MMSE and NW models were age, sex, education, HbA1</w:t>
      </w:r>
      <w:r w:rsidR="00C4036C" w:rsidRPr="00374D5A">
        <w:rPr>
          <w:sz w:val="24"/>
          <w:szCs w:val="24"/>
          <w:vertAlign w:val="subscript"/>
        </w:rPr>
        <w:t>C</w:t>
      </w:r>
      <w:r w:rsidR="00C4036C" w:rsidRPr="00374D5A">
        <w:rPr>
          <w:sz w:val="24"/>
          <w:szCs w:val="24"/>
        </w:rPr>
        <w:t xml:space="preserve">, and race. For the CCI model only education and race were included as covariates, since age, sex, and history of T2DM were already included in the CCI score. </w:t>
      </w:r>
      <w:r w:rsidR="002A65F6" w:rsidRPr="00374D5A">
        <w:rPr>
          <w:sz w:val="24"/>
          <w:szCs w:val="24"/>
        </w:rPr>
        <w:t>To test for mediation effects</w:t>
      </w:r>
      <w:r w:rsidR="00C4036C" w:rsidRPr="00374D5A">
        <w:rPr>
          <w:sz w:val="24"/>
          <w:szCs w:val="24"/>
        </w:rPr>
        <w:t xml:space="preserve">, GDS was added to each linear model </w:t>
      </w:r>
      <w:r w:rsidR="002A65F6" w:rsidRPr="00374D5A">
        <w:rPr>
          <w:sz w:val="24"/>
          <w:szCs w:val="24"/>
        </w:rPr>
        <w:t>in the manner described in Methods: Longitudinal Mediation Analysis</w:t>
      </w:r>
      <w:r w:rsidR="000D1B72" w:rsidRPr="00374D5A">
        <w:rPr>
          <w:sz w:val="24"/>
          <w:szCs w:val="24"/>
        </w:rPr>
        <w:t xml:space="preserve"> and Direct and Indirect effects were calculated for each model</w:t>
      </w:r>
      <w:r w:rsidR="002A65F6" w:rsidRPr="00374D5A">
        <w:rPr>
          <w:sz w:val="24"/>
          <w:szCs w:val="24"/>
        </w:rPr>
        <w:t>.</w:t>
      </w:r>
    </w:p>
    <w:p w14:paraId="277CB1CC" w14:textId="77777777" w:rsidR="002A65F6" w:rsidRPr="00C4036C" w:rsidRDefault="002A65F6" w:rsidP="00C4036C">
      <w:pPr>
        <w:spacing w:line="480" w:lineRule="auto"/>
        <w:rPr>
          <w:rFonts w:ascii="Times New Roman" w:hAnsi="Times New Roman" w:cs="Times New Roman"/>
          <w:b/>
        </w:rPr>
      </w:pPr>
    </w:p>
    <w:p w14:paraId="5C348C79" w14:textId="063E1B31" w:rsidR="00BB6C26" w:rsidRPr="00C4036C" w:rsidRDefault="00BB6C26" w:rsidP="00BB6C26">
      <w:pPr>
        <w:spacing w:line="480" w:lineRule="auto"/>
        <w:rPr>
          <w:rFonts w:ascii="Times New Roman" w:hAnsi="Times New Roman" w:cs="Times New Roman"/>
          <w:b/>
          <w:sz w:val="28"/>
          <w:szCs w:val="28"/>
        </w:rPr>
      </w:pPr>
      <w:r w:rsidRPr="00C4036C">
        <w:rPr>
          <w:rFonts w:ascii="Times New Roman" w:hAnsi="Times New Roman" w:cs="Times New Roman"/>
          <w:b/>
          <w:sz w:val="28"/>
          <w:szCs w:val="28"/>
        </w:rPr>
        <w:t>Results</w:t>
      </w:r>
      <w:r w:rsidRPr="00C4036C">
        <w:rPr>
          <w:rFonts w:ascii="Times New Roman" w:hAnsi="Times New Roman" w:cs="Times New Roman"/>
          <w:sz w:val="28"/>
          <w:szCs w:val="28"/>
        </w:rPr>
        <w:tab/>
      </w:r>
    </w:p>
    <w:p w14:paraId="22E193F1" w14:textId="4FAF411E" w:rsidR="00BB6C26" w:rsidRPr="00374D5A" w:rsidRDefault="00BB6C26" w:rsidP="00164363">
      <w:pPr>
        <w:spacing w:line="480" w:lineRule="auto"/>
        <w:ind w:firstLine="720"/>
        <w:rPr>
          <w:rFonts w:ascii="Times New Roman" w:hAnsi="Times New Roman" w:cs="Times New Roman"/>
        </w:rPr>
      </w:pPr>
      <w:r w:rsidRPr="00374D5A">
        <w:rPr>
          <w:rFonts w:ascii="Times New Roman" w:hAnsi="Times New Roman" w:cs="Times New Roman"/>
        </w:rPr>
        <w:t xml:space="preserve">When GDS was added to the </w:t>
      </w:r>
      <w:r w:rsidR="00374D5A" w:rsidRPr="00374D5A">
        <w:rPr>
          <w:rFonts w:ascii="Times New Roman" w:hAnsi="Times New Roman" w:cs="Times New Roman"/>
        </w:rPr>
        <w:t xml:space="preserve">primary cross-sectional </w:t>
      </w:r>
      <w:r w:rsidRPr="00374D5A">
        <w:rPr>
          <w:rFonts w:ascii="Times New Roman" w:hAnsi="Times New Roman" w:cs="Times New Roman"/>
        </w:rPr>
        <w:t>model</w:t>
      </w:r>
      <w:r w:rsidR="00374D5A" w:rsidRPr="00374D5A">
        <w:rPr>
          <w:rFonts w:ascii="Times New Roman" w:hAnsi="Times New Roman" w:cs="Times New Roman"/>
        </w:rPr>
        <w:t xml:space="preserve"> for MMSE (Results: Cross-sectional Analyses)</w:t>
      </w:r>
      <w:r w:rsidRPr="00374D5A">
        <w:rPr>
          <w:rFonts w:ascii="Times New Roman" w:hAnsi="Times New Roman" w:cs="Times New Roman"/>
        </w:rPr>
        <w:t>, the R</w:t>
      </w:r>
      <w:r w:rsidRPr="00374D5A">
        <w:rPr>
          <w:rFonts w:ascii="Times New Roman" w:hAnsi="Times New Roman" w:cs="Times New Roman"/>
          <w:vertAlign w:val="superscript"/>
        </w:rPr>
        <w:t>2</w:t>
      </w:r>
      <w:r w:rsidRPr="00374D5A">
        <w:rPr>
          <w:rFonts w:ascii="Times New Roman" w:hAnsi="Times New Roman" w:cs="Times New Roman"/>
          <w:vertAlign w:val="subscript"/>
        </w:rPr>
        <w:t>adj</w:t>
      </w:r>
      <w:r w:rsidRPr="00374D5A">
        <w:rPr>
          <w:rFonts w:ascii="Times New Roman" w:hAnsi="Times New Roman" w:cs="Times New Roman"/>
        </w:rPr>
        <w:t xml:space="preserve"> increased to 0.47. Higher HbA1</w:t>
      </w:r>
      <w:r w:rsidRPr="00374D5A">
        <w:rPr>
          <w:rFonts w:ascii="Times New Roman" w:hAnsi="Times New Roman" w:cs="Times New Roman"/>
          <w:vertAlign w:val="subscript"/>
        </w:rPr>
        <w:t>C</w:t>
      </w:r>
      <w:r w:rsidRPr="00374D5A">
        <w:rPr>
          <w:rFonts w:ascii="Times New Roman" w:hAnsi="Times New Roman" w:cs="Times New Roman"/>
        </w:rPr>
        <w:t xml:space="preserve"> (B=1.57, </w:t>
      </w:r>
      <w:r w:rsidRPr="00374D5A">
        <w:rPr>
          <w:rFonts w:ascii="Times New Roman" w:hAnsi="Times New Roman" w:cs="Times New Roman"/>
          <w:i/>
        </w:rPr>
        <w:t>p</w:t>
      </w:r>
      <w:r w:rsidRPr="00374D5A">
        <w:rPr>
          <w:rFonts w:ascii="Times New Roman" w:hAnsi="Times New Roman" w:cs="Times New Roman"/>
        </w:rPr>
        <w:t xml:space="preserve">=0.002) remained a predictor of WHODAS, but MMSE was no longer a significant predictor (B=-0.52, </w:t>
      </w:r>
      <w:r w:rsidRPr="00374D5A">
        <w:rPr>
          <w:rFonts w:ascii="Times New Roman" w:hAnsi="Times New Roman" w:cs="Times New Roman"/>
          <w:i/>
          <w:iCs/>
        </w:rPr>
        <w:t>p</w:t>
      </w:r>
      <w:r w:rsidRPr="00374D5A">
        <w:rPr>
          <w:rFonts w:ascii="Times New Roman" w:hAnsi="Times New Roman" w:cs="Times New Roman"/>
        </w:rPr>
        <w:t>=0.155). GDS showed a partial mediation effect, with an Indirect effect of 49.9% of the Total (Table</w:t>
      </w:r>
      <w:r w:rsidR="00164363" w:rsidRPr="00374D5A">
        <w:rPr>
          <w:rFonts w:ascii="Times New Roman" w:hAnsi="Times New Roman" w:cs="Times New Roman"/>
        </w:rPr>
        <w:t xml:space="preserve"> S1</w:t>
      </w:r>
      <w:r w:rsidRPr="00374D5A">
        <w:rPr>
          <w:rFonts w:ascii="Times New Roman" w:hAnsi="Times New Roman" w:cs="Times New Roman"/>
        </w:rPr>
        <w:t>).</w:t>
      </w:r>
    </w:p>
    <w:p w14:paraId="2B97A7EE" w14:textId="59725859" w:rsidR="00C4036C" w:rsidRDefault="00C4036C" w:rsidP="00164363">
      <w:pPr>
        <w:spacing w:line="480" w:lineRule="auto"/>
        <w:ind w:firstLine="720"/>
        <w:rPr>
          <w:rFonts w:ascii="Times New Roman" w:hAnsi="Times New Roman" w:cs="Times New Roman"/>
        </w:rPr>
      </w:pPr>
    </w:p>
    <w:p w14:paraId="12B43CB4" w14:textId="77777777" w:rsidR="00065A1D" w:rsidRPr="00C4036C" w:rsidRDefault="00065A1D" w:rsidP="00164363">
      <w:pPr>
        <w:spacing w:line="480" w:lineRule="auto"/>
        <w:ind w:firstLine="720"/>
        <w:rPr>
          <w:rFonts w:ascii="Times New Roman" w:hAnsi="Times New Roman" w:cs="Times New Roman"/>
        </w:rPr>
      </w:pPr>
    </w:p>
    <w:p w14:paraId="648C62EA" w14:textId="20F171B4" w:rsidR="00164363" w:rsidRPr="00C4036C" w:rsidRDefault="00C62666" w:rsidP="00164363">
      <w:pPr>
        <w:spacing w:line="480" w:lineRule="auto"/>
        <w:rPr>
          <w:rFonts w:ascii="Times New Roman" w:hAnsi="Times New Roman" w:cs="Times New Roman"/>
          <w:b/>
          <w:bCs/>
        </w:rPr>
      </w:pPr>
      <w:r>
        <w:rPr>
          <w:rFonts w:ascii="Times New Roman" w:hAnsi="Times New Roman" w:cs="Times New Roman"/>
          <w:b/>
          <w:bCs/>
        </w:rPr>
        <w:lastRenderedPageBreak/>
        <w:t xml:space="preserve">S1 </w:t>
      </w:r>
      <w:r w:rsidR="00164363" w:rsidRPr="00C4036C">
        <w:rPr>
          <w:rFonts w:ascii="Times New Roman" w:hAnsi="Times New Roman" w:cs="Times New Roman"/>
          <w:b/>
          <w:bCs/>
        </w:rPr>
        <w:t xml:space="preserve">Table: Mediation effect of depression on the relationship between gait speed, cognition, and medical comorbidities on disability at </w:t>
      </w:r>
      <w:r w:rsidR="001223CA">
        <w:rPr>
          <w:rFonts w:ascii="Times New Roman" w:hAnsi="Times New Roman" w:cs="Times New Roman"/>
          <w:b/>
          <w:bCs/>
        </w:rPr>
        <w:t>b</w:t>
      </w:r>
      <w:r w:rsidR="00164363" w:rsidRPr="00C4036C">
        <w:rPr>
          <w:rFonts w:ascii="Times New Roman" w:hAnsi="Times New Roman" w:cs="Times New Roman"/>
          <w:b/>
          <w:bCs/>
        </w:rPr>
        <w:t>aseline</w:t>
      </w:r>
    </w:p>
    <w:p w14:paraId="78BB927B" w14:textId="77777777" w:rsidR="00164363" w:rsidRPr="00C4036C" w:rsidRDefault="00164363" w:rsidP="00164363">
      <w:pPr>
        <w:spacing w:line="480" w:lineRule="auto"/>
        <w:rPr>
          <w:rFonts w:ascii="Times New Roman" w:hAnsi="Times New Roman" w:cs="Times New Roman"/>
          <w:b/>
          <w:bCs/>
        </w:rPr>
      </w:pPr>
    </w:p>
    <w:tbl>
      <w:tblPr>
        <w:tblStyle w:val="TableGrid"/>
        <w:tblpPr w:leftFromText="180" w:rightFromText="180" w:vertAnchor="text" w:horzAnchor="margin" w:tblpXSpec="center" w:tblpY="-7"/>
        <w:tblW w:w="10255" w:type="dxa"/>
        <w:tblLook w:val="04A0" w:firstRow="1" w:lastRow="0" w:firstColumn="1" w:lastColumn="0" w:noHBand="0" w:noVBand="1"/>
      </w:tblPr>
      <w:tblGrid>
        <w:gridCol w:w="2139"/>
        <w:gridCol w:w="717"/>
        <w:gridCol w:w="651"/>
        <w:gridCol w:w="1070"/>
        <w:gridCol w:w="972"/>
        <w:gridCol w:w="627"/>
        <w:gridCol w:w="977"/>
        <w:gridCol w:w="1048"/>
        <w:gridCol w:w="1011"/>
        <w:gridCol w:w="1043"/>
      </w:tblGrid>
      <w:tr w:rsidR="00164363" w:rsidRPr="00C4036C" w14:paraId="29F5FA37" w14:textId="77777777" w:rsidTr="00F073F1">
        <w:trPr>
          <w:trHeight w:val="504"/>
        </w:trPr>
        <w:tc>
          <w:tcPr>
            <w:tcW w:w="2139" w:type="dxa"/>
          </w:tcPr>
          <w:p w14:paraId="4EEF72F7" w14:textId="77777777" w:rsidR="00164363" w:rsidRPr="00C4036C" w:rsidRDefault="00164363" w:rsidP="00733912">
            <w:pPr>
              <w:jc w:val="center"/>
              <w:rPr>
                <w:rFonts w:ascii="Times New Roman" w:hAnsi="Times New Roman" w:cs="Times New Roman"/>
                <w:b/>
                <w:bCs/>
              </w:rPr>
            </w:pPr>
            <w:r w:rsidRPr="00C4036C">
              <w:rPr>
                <w:rFonts w:ascii="Times New Roman" w:hAnsi="Times New Roman" w:cs="Times New Roman"/>
                <w:b/>
                <w:bCs/>
              </w:rPr>
              <w:t>Predictor of Functionality</w:t>
            </w:r>
          </w:p>
        </w:tc>
        <w:tc>
          <w:tcPr>
            <w:tcW w:w="2438" w:type="dxa"/>
            <w:gridSpan w:val="3"/>
          </w:tcPr>
          <w:p w14:paraId="531A585A" w14:textId="77777777" w:rsidR="00164363" w:rsidRPr="00C4036C" w:rsidRDefault="00164363" w:rsidP="00733912">
            <w:pPr>
              <w:jc w:val="center"/>
              <w:rPr>
                <w:rFonts w:ascii="Times New Roman" w:hAnsi="Times New Roman" w:cs="Times New Roman"/>
                <w:b/>
                <w:bCs/>
              </w:rPr>
            </w:pPr>
            <w:r w:rsidRPr="00C4036C">
              <w:rPr>
                <w:rFonts w:ascii="Times New Roman" w:hAnsi="Times New Roman" w:cs="Times New Roman"/>
                <w:b/>
                <w:bCs/>
              </w:rPr>
              <w:t>Primary Model</w:t>
            </w:r>
          </w:p>
        </w:tc>
        <w:tc>
          <w:tcPr>
            <w:tcW w:w="2576" w:type="dxa"/>
            <w:gridSpan w:val="3"/>
          </w:tcPr>
          <w:p w14:paraId="34BC60BE" w14:textId="77777777" w:rsidR="00164363" w:rsidRPr="00C4036C" w:rsidRDefault="00164363" w:rsidP="00733912">
            <w:pPr>
              <w:jc w:val="center"/>
              <w:rPr>
                <w:rFonts w:ascii="Times New Roman" w:hAnsi="Times New Roman" w:cs="Times New Roman"/>
                <w:b/>
                <w:bCs/>
              </w:rPr>
            </w:pPr>
            <w:r w:rsidRPr="00C4036C">
              <w:rPr>
                <w:rFonts w:ascii="Times New Roman" w:hAnsi="Times New Roman" w:cs="Times New Roman"/>
                <w:b/>
                <w:bCs/>
              </w:rPr>
              <w:t>Model with GDS</w:t>
            </w:r>
          </w:p>
        </w:tc>
        <w:tc>
          <w:tcPr>
            <w:tcW w:w="1048" w:type="dxa"/>
          </w:tcPr>
          <w:p w14:paraId="39D83004" w14:textId="77777777" w:rsidR="00164363" w:rsidRPr="00C4036C" w:rsidRDefault="00164363" w:rsidP="00733912">
            <w:pPr>
              <w:jc w:val="center"/>
              <w:rPr>
                <w:rFonts w:ascii="Times New Roman" w:hAnsi="Times New Roman" w:cs="Times New Roman"/>
                <w:b/>
                <w:bCs/>
              </w:rPr>
            </w:pPr>
            <w:r w:rsidRPr="00C4036C">
              <w:rPr>
                <w:rFonts w:ascii="Times New Roman" w:hAnsi="Times New Roman" w:cs="Times New Roman"/>
                <w:b/>
                <w:bCs/>
              </w:rPr>
              <w:t>Change in B</w:t>
            </w:r>
          </w:p>
        </w:tc>
        <w:tc>
          <w:tcPr>
            <w:tcW w:w="1011" w:type="dxa"/>
          </w:tcPr>
          <w:p w14:paraId="35B6DEDF" w14:textId="77777777" w:rsidR="00164363" w:rsidRPr="00C4036C" w:rsidRDefault="00164363" w:rsidP="00733912">
            <w:pPr>
              <w:jc w:val="center"/>
              <w:rPr>
                <w:rFonts w:ascii="Times New Roman" w:hAnsi="Times New Roman" w:cs="Times New Roman"/>
                <w:b/>
                <w:bCs/>
              </w:rPr>
            </w:pPr>
            <w:r w:rsidRPr="00C4036C">
              <w:rPr>
                <w:rFonts w:ascii="Times New Roman" w:hAnsi="Times New Roman" w:cs="Times New Roman"/>
                <w:b/>
                <w:bCs/>
              </w:rPr>
              <w:t>Direct Effect</w:t>
            </w:r>
          </w:p>
        </w:tc>
        <w:tc>
          <w:tcPr>
            <w:tcW w:w="1043" w:type="dxa"/>
          </w:tcPr>
          <w:p w14:paraId="4390ED8C" w14:textId="77777777" w:rsidR="00164363" w:rsidRPr="00C4036C" w:rsidRDefault="00164363" w:rsidP="00733912">
            <w:pPr>
              <w:jc w:val="center"/>
              <w:rPr>
                <w:rFonts w:ascii="Times New Roman" w:hAnsi="Times New Roman" w:cs="Times New Roman"/>
                <w:b/>
                <w:bCs/>
              </w:rPr>
            </w:pPr>
            <w:r w:rsidRPr="00C4036C">
              <w:rPr>
                <w:rFonts w:ascii="Times New Roman" w:hAnsi="Times New Roman" w:cs="Times New Roman"/>
                <w:b/>
                <w:bCs/>
              </w:rPr>
              <w:t>Indirect Effect</w:t>
            </w:r>
          </w:p>
        </w:tc>
      </w:tr>
      <w:tr w:rsidR="00164363" w:rsidRPr="00C4036C" w14:paraId="25A9327E" w14:textId="77777777" w:rsidTr="00F073F1">
        <w:trPr>
          <w:trHeight w:val="198"/>
        </w:trPr>
        <w:tc>
          <w:tcPr>
            <w:tcW w:w="2139" w:type="dxa"/>
          </w:tcPr>
          <w:p w14:paraId="5C8CC81A" w14:textId="77777777" w:rsidR="00164363" w:rsidRPr="00C4036C" w:rsidRDefault="00164363" w:rsidP="00733912">
            <w:pPr>
              <w:jc w:val="center"/>
              <w:rPr>
                <w:rFonts w:ascii="Times New Roman" w:hAnsi="Times New Roman" w:cs="Times New Roman"/>
                <w:b/>
                <w:bCs/>
              </w:rPr>
            </w:pPr>
          </w:p>
        </w:tc>
        <w:tc>
          <w:tcPr>
            <w:tcW w:w="717" w:type="dxa"/>
          </w:tcPr>
          <w:p w14:paraId="1FE56929" w14:textId="77777777" w:rsidR="00164363" w:rsidRPr="00C4036C" w:rsidRDefault="00164363" w:rsidP="00733912">
            <w:pPr>
              <w:jc w:val="center"/>
              <w:rPr>
                <w:rFonts w:ascii="Times New Roman" w:hAnsi="Times New Roman" w:cs="Times New Roman"/>
              </w:rPr>
            </w:pPr>
            <w:r w:rsidRPr="00C4036C">
              <w:rPr>
                <w:rFonts w:ascii="Times New Roman" w:hAnsi="Times New Roman" w:cs="Times New Roman"/>
              </w:rPr>
              <w:t>B</w:t>
            </w:r>
          </w:p>
        </w:tc>
        <w:tc>
          <w:tcPr>
            <w:tcW w:w="651" w:type="dxa"/>
          </w:tcPr>
          <w:p w14:paraId="3F0009F5" w14:textId="77777777" w:rsidR="00164363" w:rsidRPr="00C4036C" w:rsidRDefault="00164363" w:rsidP="00733912">
            <w:pPr>
              <w:jc w:val="center"/>
              <w:rPr>
                <w:rFonts w:ascii="Times New Roman" w:hAnsi="Times New Roman" w:cs="Times New Roman"/>
              </w:rPr>
            </w:pPr>
            <w:proofErr w:type="spellStart"/>
            <w:r w:rsidRPr="00C4036C">
              <w:rPr>
                <w:rFonts w:ascii="Times New Roman" w:hAnsi="Times New Roman" w:cs="Times New Roman"/>
              </w:rPr>
              <w:t>d.f.</w:t>
            </w:r>
            <w:proofErr w:type="spellEnd"/>
          </w:p>
        </w:tc>
        <w:tc>
          <w:tcPr>
            <w:tcW w:w="1070" w:type="dxa"/>
          </w:tcPr>
          <w:p w14:paraId="7F8AE174" w14:textId="77777777" w:rsidR="00164363" w:rsidRPr="00C4036C" w:rsidRDefault="00164363" w:rsidP="00733912">
            <w:pPr>
              <w:jc w:val="center"/>
              <w:rPr>
                <w:rFonts w:ascii="Times New Roman" w:hAnsi="Times New Roman" w:cs="Times New Roman"/>
              </w:rPr>
            </w:pPr>
            <w:r w:rsidRPr="00C4036C">
              <w:rPr>
                <w:rFonts w:ascii="Times New Roman" w:hAnsi="Times New Roman" w:cs="Times New Roman"/>
              </w:rPr>
              <w:t>p-value</w:t>
            </w:r>
          </w:p>
        </w:tc>
        <w:tc>
          <w:tcPr>
            <w:tcW w:w="972" w:type="dxa"/>
          </w:tcPr>
          <w:p w14:paraId="0DF81D19" w14:textId="77777777" w:rsidR="00164363" w:rsidRPr="00C4036C" w:rsidRDefault="00164363" w:rsidP="00733912">
            <w:pPr>
              <w:jc w:val="center"/>
              <w:rPr>
                <w:rFonts w:ascii="Times New Roman" w:hAnsi="Times New Roman" w:cs="Times New Roman"/>
              </w:rPr>
            </w:pPr>
            <w:r w:rsidRPr="00C4036C">
              <w:rPr>
                <w:rFonts w:ascii="Times New Roman" w:hAnsi="Times New Roman" w:cs="Times New Roman"/>
              </w:rPr>
              <w:t>B</w:t>
            </w:r>
          </w:p>
        </w:tc>
        <w:tc>
          <w:tcPr>
            <w:tcW w:w="627" w:type="dxa"/>
          </w:tcPr>
          <w:p w14:paraId="02810899" w14:textId="77777777" w:rsidR="00164363" w:rsidRPr="00C4036C" w:rsidRDefault="00164363" w:rsidP="00733912">
            <w:pPr>
              <w:jc w:val="center"/>
              <w:rPr>
                <w:rFonts w:ascii="Times New Roman" w:hAnsi="Times New Roman" w:cs="Times New Roman"/>
              </w:rPr>
            </w:pPr>
            <w:proofErr w:type="spellStart"/>
            <w:r w:rsidRPr="00C4036C">
              <w:rPr>
                <w:rFonts w:ascii="Times New Roman" w:hAnsi="Times New Roman" w:cs="Times New Roman"/>
              </w:rPr>
              <w:t>d.f.</w:t>
            </w:r>
            <w:proofErr w:type="spellEnd"/>
          </w:p>
        </w:tc>
        <w:tc>
          <w:tcPr>
            <w:tcW w:w="977" w:type="dxa"/>
          </w:tcPr>
          <w:p w14:paraId="2B33981F" w14:textId="77777777" w:rsidR="00164363" w:rsidRPr="00C4036C" w:rsidRDefault="00164363" w:rsidP="00733912">
            <w:pPr>
              <w:jc w:val="center"/>
              <w:rPr>
                <w:rFonts w:ascii="Times New Roman" w:hAnsi="Times New Roman" w:cs="Times New Roman"/>
              </w:rPr>
            </w:pPr>
            <w:r w:rsidRPr="00C4036C">
              <w:rPr>
                <w:rFonts w:ascii="Times New Roman" w:hAnsi="Times New Roman" w:cs="Times New Roman"/>
              </w:rPr>
              <w:t>p-value</w:t>
            </w:r>
          </w:p>
        </w:tc>
        <w:tc>
          <w:tcPr>
            <w:tcW w:w="1048" w:type="dxa"/>
          </w:tcPr>
          <w:p w14:paraId="755F9C20" w14:textId="77777777" w:rsidR="00164363" w:rsidRPr="00C4036C" w:rsidRDefault="00164363" w:rsidP="00733912">
            <w:pPr>
              <w:jc w:val="center"/>
              <w:rPr>
                <w:rFonts w:ascii="Times New Roman" w:hAnsi="Times New Roman" w:cs="Times New Roman"/>
              </w:rPr>
            </w:pPr>
            <w:r w:rsidRPr="00C4036C">
              <w:rPr>
                <w:rFonts w:ascii="Times New Roman" w:hAnsi="Times New Roman" w:cs="Times New Roman"/>
              </w:rPr>
              <w:t xml:space="preserve">% </w:t>
            </w:r>
            <w:proofErr w:type="gramStart"/>
            <w:r w:rsidRPr="00C4036C">
              <w:rPr>
                <w:rFonts w:ascii="Times New Roman" w:hAnsi="Times New Roman" w:cs="Times New Roman"/>
              </w:rPr>
              <w:t>change</w:t>
            </w:r>
            <w:proofErr w:type="gramEnd"/>
          </w:p>
        </w:tc>
        <w:tc>
          <w:tcPr>
            <w:tcW w:w="1011" w:type="dxa"/>
          </w:tcPr>
          <w:p w14:paraId="6FF577AD" w14:textId="77777777" w:rsidR="00164363" w:rsidRPr="00C4036C" w:rsidRDefault="00164363" w:rsidP="00733912">
            <w:pPr>
              <w:jc w:val="center"/>
              <w:rPr>
                <w:rFonts w:ascii="Times New Roman" w:hAnsi="Times New Roman" w:cs="Times New Roman"/>
              </w:rPr>
            </w:pPr>
            <w:r w:rsidRPr="00C4036C">
              <w:rPr>
                <w:rFonts w:ascii="Times New Roman" w:hAnsi="Times New Roman" w:cs="Times New Roman"/>
              </w:rPr>
              <w:t xml:space="preserve">% </w:t>
            </w:r>
            <w:proofErr w:type="gramStart"/>
            <w:r w:rsidRPr="00C4036C">
              <w:rPr>
                <w:rFonts w:ascii="Times New Roman" w:hAnsi="Times New Roman" w:cs="Times New Roman"/>
              </w:rPr>
              <w:t>of</w:t>
            </w:r>
            <w:proofErr w:type="gramEnd"/>
            <w:r w:rsidRPr="00C4036C">
              <w:rPr>
                <w:rFonts w:ascii="Times New Roman" w:hAnsi="Times New Roman" w:cs="Times New Roman"/>
              </w:rPr>
              <w:t xml:space="preserve"> Total</w:t>
            </w:r>
          </w:p>
        </w:tc>
        <w:tc>
          <w:tcPr>
            <w:tcW w:w="1043" w:type="dxa"/>
          </w:tcPr>
          <w:p w14:paraId="36FD1206" w14:textId="77777777" w:rsidR="00164363" w:rsidRPr="00C4036C" w:rsidRDefault="00164363" w:rsidP="00733912">
            <w:pPr>
              <w:jc w:val="center"/>
              <w:rPr>
                <w:rFonts w:ascii="Times New Roman" w:hAnsi="Times New Roman" w:cs="Times New Roman"/>
              </w:rPr>
            </w:pPr>
            <w:r w:rsidRPr="00C4036C">
              <w:rPr>
                <w:rFonts w:ascii="Times New Roman" w:hAnsi="Times New Roman" w:cs="Times New Roman"/>
              </w:rPr>
              <w:t xml:space="preserve">% </w:t>
            </w:r>
            <w:proofErr w:type="gramStart"/>
            <w:r w:rsidRPr="00C4036C">
              <w:rPr>
                <w:rFonts w:ascii="Times New Roman" w:hAnsi="Times New Roman" w:cs="Times New Roman"/>
              </w:rPr>
              <w:t>of</w:t>
            </w:r>
            <w:proofErr w:type="gramEnd"/>
            <w:r w:rsidRPr="00C4036C">
              <w:rPr>
                <w:rFonts w:ascii="Times New Roman" w:hAnsi="Times New Roman" w:cs="Times New Roman"/>
              </w:rPr>
              <w:t xml:space="preserve"> Total</w:t>
            </w:r>
          </w:p>
        </w:tc>
      </w:tr>
      <w:tr w:rsidR="00F073F1" w:rsidRPr="00C4036C" w14:paraId="2FFC0B9D" w14:textId="77777777" w:rsidTr="00F073F1">
        <w:trPr>
          <w:trHeight w:val="251"/>
        </w:trPr>
        <w:tc>
          <w:tcPr>
            <w:tcW w:w="2139" w:type="dxa"/>
          </w:tcPr>
          <w:p w14:paraId="73FED81C" w14:textId="77777777" w:rsidR="00F073F1" w:rsidRPr="00C4036C" w:rsidRDefault="00F073F1" w:rsidP="00F073F1">
            <w:pPr>
              <w:rPr>
                <w:rFonts w:ascii="Times New Roman" w:hAnsi="Times New Roman" w:cs="Times New Roman"/>
                <w:b/>
                <w:bCs/>
              </w:rPr>
            </w:pPr>
            <w:r w:rsidRPr="00C4036C">
              <w:rPr>
                <w:rFonts w:ascii="Times New Roman" w:hAnsi="Times New Roman" w:cs="Times New Roman"/>
              </w:rPr>
              <w:t>Cognition (MMSE)</w:t>
            </w:r>
          </w:p>
        </w:tc>
        <w:tc>
          <w:tcPr>
            <w:tcW w:w="717" w:type="dxa"/>
          </w:tcPr>
          <w:p w14:paraId="12B59134" w14:textId="77777777" w:rsidR="00F073F1" w:rsidRPr="00C4036C" w:rsidRDefault="00F073F1" w:rsidP="00F073F1">
            <w:pPr>
              <w:jc w:val="center"/>
              <w:rPr>
                <w:rFonts w:ascii="Times New Roman" w:hAnsi="Times New Roman" w:cs="Times New Roman"/>
                <w:b/>
                <w:bCs/>
              </w:rPr>
            </w:pPr>
            <w:r w:rsidRPr="00C4036C">
              <w:rPr>
                <w:rFonts w:ascii="Times New Roman" w:hAnsi="Times New Roman" w:cs="Times New Roman"/>
              </w:rPr>
              <w:t>-1.01</w:t>
            </w:r>
          </w:p>
        </w:tc>
        <w:tc>
          <w:tcPr>
            <w:tcW w:w="651" w:type="dxa"/>
          </w:tcPr>
          <w:p w14:paraId="5A902213" w14:textId="77777777" w:rsidR="00F073F1" w:rsidRPr="00C4036C" w:rsidRDefault="00F073F1" w:rsidP="00F073F1">
            <w:pPr>
              <w:jc w:val="center"/>
              <w:rPr>
                <w:rFonts w:ascii="Times New Roman" w:hAnsi="Times New Roman" w:cs="Times New Roman"/>
              </w:rPr>
            </w:pPr>
            <w:r w:rsidRPr="00C4036C">
              <w:rPr>
                <w:rFonts w:ascii="Times New Roman" w:hAnsi="Times New Roman" w:cs="Times New Roman"/>
              </w:rPr>
              <w:t>222</w:t>
            </w:r>
          </w:p>
        </w:tc>
        <w:tc>
          <w:tcPr>
            <w:tcW w:w="1070" w:type="dxa"/>
          </w:tcPr>
          <w:p w14:paraId="667816DB" w14:textId="77777777" w:rsidR="00F073F1" w:rsidRPr="00C4036C" w:rsidRDefault="00F073F1" w:rsidP="00F073F1">
            <w:pPr>
              <w:jc w:val="center"/>
              <w:rPr>
                <w:rFonts w:ascii="Times New Roman" w:hAnsi="Times New Roman" w:cs="Times New Roman"/>
                <w:b/>
                <w:bCs/>
              </w:rPr>
            </w:pPr>
            <w:r w:rsidRPr="00C4036C">
              <w:rPr>
                <w:rFonts w:ascii="Times New Roman" w:hAnsi="Times New Roman" w:cs="Times New Roman"/>
              </w:rPr>
              <w:t>0.027</w:t>
            </w:r>
          </w:p>
        </w:tc>
        <w:tc>
          <w:tcPr>
            <w:tcW w:w="972" w:type="dxa"/>
          </w:tcPr>
          <w:p w14:paraId="2811B53D" w14:textId="77777777" w:rsidR="00F073F1" w:rsidRPr="00C4036C" w:rsidRDefault="00F073F1" w:rsidP="00F073F1">
            <w:pPr>
              <w:jc w:val="center"/>
              <w:rPr>
                <w:rFonts w:ascii="Times New Roman" w:hAnsi="Times New Roman" w:cs="Times New Roman"/>
                <w:b/>
                <w:bCs/>
              </w:rPr>
            </w:pPr>
            <w:r w:rsidRPr="00C4036C">
              <w:rPr>
                <w:rFonts w:ascii="Times New Roman" w:hAnsi="Times New Roman" w:cs="Times New Roman"/>
              </w:rPr>
              <w:t>-0.52</w:t>
            </w:r>
          </w:p>
        </w:tc>
        <w:tc>
          <w:tcPr>
            <w:tcW w:w="627" w:type="dxa"/>
          </w:tcPr>
          <w:p w14:paraId="4A62AB4B" w14:textId="77777777" w:rsidR="00F073F1" w:rsidRPr="00C4036C" w:rsidRDefault="00F073F1" w:rsidP="00F073F1">
            <w:pPr>
              <w:jc w:val="center"/>
              <w:rPr>
                <w:rFonts w:ascii="Times New Roman" w:hAnsi="Times New Roman" w:cs="Times New Roman"/>
              </w:rPr>
            </w:pPr>
            <w:r w:rsidRPr="00C4036C">
              <w:rPr>
                <w:rFonts w:ascii="Times New Roman" w:hAnsi="Times New Roman" w:cs="Times New Roman"/>
              </w:rPr>
              <w:t>222</w:t>
            </w:r>
          </w:p>
        </w:tc>
        <w:tc>
          <w:tcPr>
            <w:tcW w:w="977" w:type="dxa"/>
          </w:tcPr>
          <w:p w14:paraId="465236AF" w14:textId="77777777" w:rsidR="00F073F1" w:rsidRPr="00C4036C" w:rsidRDefault="00F073F1" w:rsidP="00F073F1">
            <w:pPr>
              <w:jc w:val="center"/>
              <w:rPr>
                <w:rFonts w:ascii="Times New Roman" w:hAnsi="Times New Roman" w:cs="Times New Roman"/>
                <w:b/>
                <w:bCs/>
              </w:rPr>
            </w:pPr>
            <w:r w:rsidRPr="00C4036C">
              <w:rPr>
                <w:rFonts w:ascii="Times New Roman" w:hAnsi="Times New Roman" w:cs="Times New Roman"/>
              </w:rPr>
              <w:t>0.155</w:t>
            </w:r>
          </w:p>
        </w:tc>
        <w:tc>
          <w:tcPr>
            <w:tcW w:w="1048" w:type="dxa"/>
          </w:tcPr>
          <w:p w14:paraId="5B08BAA1" w14:textId="77777777" w:rsidR="00F073F1" w:rsidRPr="00C4036C" w:rsidRDefault="00F073F1" w:rsidP="00F073F1">
            <w:pPr>
              <w:jc w:val="center"/>
              <w:rPr>
                <w:rFonts w:ascii="Times New Roman" w:hAnsi="Times New Roman" w:cs="Times New Roman"/>
                <w:b/>
                <w:bCs/>
              </w:rPr>
            </w:pPr>
            <w:r w:rsidRPr="00C4036C">
              <w:rPr>
                <w:rFonts w:ascii="Times New Roman" w:hAnsi="Times New Roman" w:cs="Times New Roman"/>
              </w:rPr>
              <w:t>48.5%</w:t>
            </w:r>
          </w:p>
        </w:tc>
        <w:tc>
          <w:tcPr>
            <w:tcW w:w="1011" w:type="dxa"/>
          </w:tcPr>
          <w:p w14:paraId="78EC9145" w14:textId="77777777" w:rsidR="00F073F1" w:rsidRPr="00C4036C" w:rsidRDefault="00F073F1" w:rsidP="00F073F1">
            <w:pPr>
              <w:jc w:val="center"/>
              <w:rPr>
                <w:rFonts w:ascii="Times New Roman" w:hAnsi="Times New Roman" w:cs="Times New Roman"/>
              </w:rPr>
            </w:pPr>
            <w:r w:rsidRPr="00C4036C">
              <w:rPr>
                <w:rFonts w:ascii="Times New Roman" w:hAnsi="Times New Roman" w:cs="Times New Roman"/>
              </w:rPr>
              <w:t>50.1%</w:t>
            </w:r>
          </w:p>
        </w:tc>
        <w:tc>
          <w:tcPr>
            <w:tcW w:w="1043" w:type="dxa"/>
          </w:tcPr>
          <w:p w14:paraId="268DFBA7" w14:textId="77777777" w:rsidR="00F073F1" w:rsidRPr="00C4036C" w:rsidRDefault="00F073F1" w:rsidP="00F073F1">
            <w:pPr>
              <w:jc w:val="center"/>
              <w:rPr>
                <w:rFonts w:ascii="Times New Roman" w:hAnsi="Times New Roman" w:cs="Times New Roman"/>
              </w:rPr>
            </w:pPr>
            <w:r w:rsidRPr="00C4036C">
              <w:rPr>
                <w:rFonts w:ascii="Times New Roman" w:hAnsi="Times New Roman" w:cs="Times New Roman"/>
              </w:rPr>
              <w:t>49.9%</w:t>
            </w:r>
          </w:p>
        </w:tc>
      </w:tr>
      <w:tr w:rsidR="00164363" w:rsidRPr="00C4036C" w14:paraId="79883A55" w14:textId="77777777" w:rsidTr="00F073F1">
        <w:trPr>
          <w:trHeight w:val="251"/>
        </w:trPr>
        <w:tc>
          <w:tcPr>
            <w:tcW w:w="2139" w:type="dxa"/>
          </w:tcPr>
          <w:p w14:paraId="06D43608" w14:textId="053EE0B9" w:rsidR="00164363" w:rsidRPr="00C4036C" w:rsidRDefault="00164363" w:rsidP="00733912">
            <w:pPr>
              <w:rPr>
                <w:rFonts w:ascii="Times New Roman" w:hAnsi="Times New Roman" w:cs="Times New Roman"/>
              </w:rPr>
            </w:pPr>
            <w:r w:rsidRPr="00C4036C">
              <w:rPr>
                <w:rFonts w:ascii="Times New Roman" w:hAnsi="Times New Roman" w:cs="Times New Roman"/>
              </w:rPr>
              <w:t>Gait Speed (NW)</w:t>
            </w:r>
          </w:p>
        </w:tc>
        <w:tc>
          <w:tcPr>
            <w:tcW w:w="717" w:type="dxa"/>
          </w:tcPr>
          <w:p w14:paraId="16299611" w14:textId="77777777" w:rsidR="00164363" w:rsidRPr="00C4036C" w:rsidRDefault="00164363" w:rsidP="00733912">
            <w:pPr>
              <w:jc w:val="center"/>
              <w:rPr>
                <w:rFonts w:ascii="Times New Roman" w:hAnsi="Times New Roman" w:cs="Times New Roman"/>
                <w:b/>
                <w:bCs/>
              </w:rPr>
            </w:pPr>
            <w:r w:rsidRPr="00C4036C">
              <w:rPr>
                <w:rFonts w:ascii="Times New Roman" w:hAnsi="Times New Roman" w:cs="Times New Roman"/>
              </w:rPr>
              <w:t>-0.14</w:t>
            </w:r>
          </w:p>
        </w:tc>
        <w:tc>
          <w:tcPr>
            <w:tcW w:w="651" w:type="dxa"/>
          </w:tcPr>
          <w:p w14:paraId="546ED6C0" w14:textId="77777777" w:rsidR="00164363" w:rsidRPr="00C4036C" w:rsidRDefault="00164363" w:rsidP="00733912">
            <w:pPr>
              <w:jc w:val="center"/>
              <w:rPr>
                <w:rFonts w:ascii="Times New Roman" w:hAnsi="Times New Roman" w:cs="Times New Roman"/>
              </w:rPr>
            </w:pPr>
            <w:r w:rsidRPr="00C4036C">
              <w:rPr>
                <w:rFonts w:ascii="Times New Roman" w:hAnsi="Times New Roman" w:cs="Times New Roman"/>
              </w:rPr>
              <w:t>221</w:t>
            </w:r>
          </w:p>
        </w:tc>
        <w:tc>
          <w:tcPr>
            <w:tcW w:w="1070" w:type="dxa"/>
          </w:tcPr>
          <w:p w14:paraId="3B317604" w14:textId="77777777" w:rsidR="00164363" w:rsidRPr="00C4036C" w:rsidRDefault="00164363" w:rsidP="00733912">
            <w:pPr>
              <w:jc w:val="center"/>
              <w:rPr>
                <w:rFonts w:ascii="Times New Roman" w:hAnsi="Times New Roman" w:cs="Times New Roman"/>
                <w:b/>
                <w:bCs/>
              </w:rPr>
            </w:pPr>
            <w:r w:rsidRPr="00C4036C">
              <w:rPr>
                <w:rFonts w:ascii="Times New Roman" w:hAnsi="Times New Roman" w:cs="Times New Roman"/>
              </w:rPr>
              <w:t>&lt;0.001</w:t>
            </w:r>
          </w:p>
        </w:tc>
        <w:tc>
          <w:tcPr>
            <w:tcW w:w="972" w:type="dxa"/>
          </w:tcPr>
          <w:p w14:paraId="7389515D" w14:textId="77777777" w:rsidR="00164363" w:rsidRPr="00C4036C" w:rsidRDefault="00164363" w:rsidP="00733912">
            <w:pPr>
              <w:jc w:val="center"/>
              <w:rPr>
                <w:rFonts w:ascii="Times New Roman" w:hAnsi="Times New Roman" w:cs="Times New Roman"/>
                <w:b/>
                <w:bCs/>
              </w:rPr>
            </w:pPr>
            <w:r w:rsidRPr="00C4036C">
              <w:rPr>
                <w:rFonts w:ascii="Times New Roman" w:hAnsi="Times New Roman" w:cs="Times New Roman"/>
              </w:rPr>
              <w:t>-0.09</w:t>
            </w:r>
          </w:p>
        </w:tc>
        <w:tc>
          <w:tcPr>
            <w:tcW w:w="627" w:type="dxa"/>
          </w:tcPr>
          <w:p w14:paraId="76035BC9" w14:textId="77777777" w:rsidR="00164363" w:rsidRPr="00C4036C" w:rsidRDefault="00164363" w:rsidP="00733912">
            <w:pPr>
              <w:jc w:val="center"/>
              <w:rPr>
                <w:rFonts w:ascii="Times New Roman" w:hAnsi="Times New Roman" w:cs="Times New Roman"/>
              </w:rPr>
            </w:pPr>
            <w:r w:rsidRPr="00C4036C">
              <w:rPr>
                <w:rFonts w:ascii="Times New Roman" w:hAnsi="Times New Roman" w:cs="Times New Roman"/>
              </w:rPr>
              <w:t>221</w:t>
            </w:r>
          </w:p>
        </w:tc>
        <w:tc>
          <w:tcPr>
            <w:tcW w:w="977" w:type="dxa"/>
          </w:tcPr>
          <w:p w14:paraId="79E529B9" w14:textId="77777777" w:rsidR="00164363" w:rsidRPr="00C4036C" w:rsidRDefault="00164363" w:rsidP="00733912">
            <w:pPr>
              <w:jc w:val="center"/>
              <w:rPr>
                <w:rFonts w:ascii="Times New Roman" w:hAnsi="Times New Roman" w:cs="Times New Roman"/>
                <w:b/>
                <w:bCs/>
              </w:rPr>
            </w:pPr>
            <w:r w:rsidRPr="00C4036C">
              <w:rPr>
                <w:rFonts w:ascii="Times New Roman" w:hAnsi="Times New Roman" w:cs="Times New Roman"/>
              </w:rPr>
              <w:t>0.002</w:t>
            </w:r>
          </w:p>
        </w:tc>
        <w:tc>
          <w:tcPr>
            <w:tcW w:w="1048" w:type="dxa"/>
          </w:tcPr>
          <w:p w14:paraId="677E9A36" w14:textId="77777777" w:rsidR="00164363" w:rsidRPr="00C4036C" w:rsidRDefault="00164363" w:rsidP="00733912">
            <w:pPr>
              <w:jc w:val="center"/>
              <w:rPr>
                <w:rFonts w:ascii="Times New Roman" w:hAnsi="Times New Roman" w:cs="Times New Roman"/>
                <w:b/>
                <w:bCs/>
              </w:rPr>
            </w:pPr>
            <w:r w:rsidRPr="00C4036C">
              <w:rPr>
                <w:rFonts w:ascii="Times New Roman" w:hAnsi="Times New Roman" w:cs="Times New Roman"/>
              </w:rPr>
              <w:t>35.7%</w:t>
            </w:r>
          </w:p>
        </w:tc>
        <w:tc>
          <w:tcPr>
            <w:tcW w:w="1011" w:type="dxa"/>
          </w:tcPr>
          <w:p w14:paraId="7EEEFB21" w14:textId="1658C46F" w:rsidR="00164363" w:rsidRPr="00C4036C" w:rsidRDefault="00164363" w:rsidP="00733912">
            <w:pPr>
              <w:jc w:val="center"/>
              <w:rPr>
                <w:rFonts w:ascii="Times New Roman" w:hAnsi="Times New Roman" w:cs="Times New Roman"/>
              </w:rPr>
            </w:pPr>
            <w:r w:rsidRPr="00C4036C">
              <w:rPr>
                <w:rFonts w:ascii="Times New Roman" w:hAnsi="Times New Roman" w:cs="Times New Roman"/>
              </w:rPr>
              <w:t>6</w:t>
            </w:r>
            <w:r w:rsidR="00044F65">
              <w:rPr>
                <w:rFonts w:ascii="Times New Roman" w:hAnsi="Times New Roman" w:cs="Times New Roman"/>
              </w:rPr>
              <w:t>3.1</w:t>
            </w:r>
            <w:r w:rsidRPr="00C4036C">
              <w:rPr>
                <w:rFonts w:ascii="Times New Roman" w:hAnsi="Times New Roman" w:cs="Times New Roman"/>
              </w:rPr>
              <w:t>%</w:t>
            </w:r>
          </w:p>
        </w:tc>
        <w:tc>
          <w:tcPr>
            <w:tcW w:w="1043" w:type="dxa"/>
          </w:tcPr>
          <w:p w14:paraId="3125284F" w14:textId="3E27215B" w:rsidR="00164363" w:rsidRPr="00C4036C" w:rsidRDefault="00164363" w:rsidP="00733912">
            <w:pPr>
              <w:jc w:val="center"/>
              <w:rPr>
                <w:rFonts w:ascii="Times New Roman" w:hAnsi="Times New Roman" w:cs="Times New Roman"/>
                <w:b/>
                <w:bCs/>
              </w:rPr>
            </w:pPr>
            <w:r w:rsidRPr="00C4036C">
              <w:rPr>
                <w:rFonts w:ascii="Times New Roman" w:hAnsi="Times New Roman" w:cs="Times New Roman"/>
              </w:rPr>
              <w:t>3</w:t>
            </w:r>
            <w:r w:rsidR="00044F65">
              <w:rPr>
                <w:rFonts w:ascii="Times New Roman" w:hAnsi="Times New Roman" w:cs="Times New Roman"/>
              </w:rPr>
              <w:t>6.9</w:t>
            </w:r>
            <w:r w:rsidRPr="00C4036C">
              <w:rPr>
                <w:rFonts w:ascii="Times New Roman" w:hAnsi="Times New Roman" w:cs="Times New Roman"/>
              </w:rPr>
              <w:t>%</w:t>
            </w:r>
          </w:p>
        </w:tc>
      </w:tr>
      <w:tr w:rsidR="005E2FE3" w:rsidRPr="00C4036C" w14:paraId="3DA25453" w14:textId="77777777" w:rsidTr="00F073F1">
        <w:trPr>
          <w:trHeight w:val="238"/>
        </w:trPr>
        <w:tc>
          <w:tcPr>
            <w:tcW w:w="2139" w:type="dxa"/>
          </w:tcPr>
          <w:p w14:paraId="64234A8A" w14:textId="4FEF356B" w:rsidR="005E2FE3" w:rsidRPr="00C4036C" w:rsidRDefault="005E2FE3" w:rsidP="005E2FE3">
            <w:pPr>
              <w:rPr>
                <w:rFonts w:ascii="Times New Roman" w:hAnsi="Times New Roman" w:cs="Times New Roman"/>
              </w:rPr>
            </w:pPr>
            <w:r w:rsidRPr="00C4036C">
              <w:rPr>
                <w:rFonts w:ascii="Times New Roman" w:hAnsi="Times New Roman" w:cs="Times New Roman"/>
              </w:rPr>
              <w:t>Comorbidities (CCI)</w:t>
            </w:r>
          </w:p>
        </w:tc>
        <w:tc>
          <w:tcPr>
            <w:tcW w:w="717" w:type="dxa"/>
          </w:tcPr>
          <w:p w14:paraId="38EF8CD0" w14:textId="7C05CF47" w:rsidR="005E2FE3" w:rsidRPr="00C4036C" w:rsidRDefault="005E2FE3" w:rsidP="005E2FE3">
            <w:pPr>
              <w:jc w:val="center"/>
              <w:rPr>
                <w:rFonts w:ascii="Times New Roman" w:hAnsi="Times New Roman" w:cs="Times New Roman"/>
                <w:b/>
                <w:bCs/>
              </w:rPr>
            </w:pPr>
            <w:r w:rsidRPr="00C4036C">
              <w:rPr>
                <w:rFonts w:ascii="Times New Roman" w:hAnsi="Times New Roman" w:cs="Times New Roman"/>
              </w:rPr>
              <w:t>1.</w:t>
            </w:r>
            <w:r>
              <w:rPr>
                <w:rFonts w:ascii="Times New Roman" w:hAnsi="Times New Roman" w:cs="Times New Roman"/>
              </w:rPr>
              <w:t>77</w:t>
            </w:r>
          </w:p>
        </w:tc>
        <w:tc>
          <w:tcPr>
            <w:tcW w:w="651" w:type="dxa"/>
          </w:tcPr>
          <w:p w14:paraId="58F9EAFE" w14:textId="77777777" w:rsidR="005E2FE3" w:rsidRPr="00C4036C" w:rsidRDefault="005E2FE3" w:rsidP="005E2FE3">
            <w:pPr>
              <w:jc w:val="center"/>
              <w:rPr>
                <w:rFonts w:ascii="Times New Roman" w:hAnsi="Times New Roman" w:cs="Times New Roman"/>
              </w:rPr>
            </w:pPr>
            <w:r w:rsidRPr="00C4036C">
              <w:rPr>
                <w:rFonts w:ascii="Times New Roman" w:hAnsi="Times New Roman" w:cs="Times New Roman"/>
              </w:rPr>
              <w:t>222</w:t>
            </w:r>
          </w:p>
        </w:tc>
        <w:tc>
          <w:tcPr>
            <w:tcW w:w="1070" w:type="dxa"/>
          </w:tcPr>
          <w:p w14:paraId="06B8ED8A" w14:textId="339B7D35" w:rsidR="005E2FE3" w:rsidRPr="00C4036C" w:rsidRDefault="005E2FE3" w:rsidP="005E2FE3">
            <w:pPr>
              <w:jc w:val="center"/>
              <w:rPr>
                <w:rFonts w:ascii="Times New Roman" w:hAnsi="Times New Roman" w:cs="Times New Roman"/>
                <w:b/>
                <w:bCs/>
              </w:rPr>
            </w:pPr>
            <w:r w:rsidRPr="00C4036C">
              <w:rPr>
                <w:rFonts w:ascii="Times New Roman" w:hAnsi="Times New Roman" w:cs="Times New Roman"/>
              </w:rPr>
              <w:t>&lt;0.001</w:t>
            </w:r>
          </w:p>
        </w:tc>
        <w:tc>
          <w:tcPr>
            <w:tcW w:w="972" w:type="dxa"/>
          </w:tcPr>
          <w:p w14:paraId="7F7D83BF" w14:textId="2F1878F6" w:rsidR="005E2FE3" w:rsidRPr="00C4036C" w:rsidRDefault="005E2FE3" w:rsidP="005E2FE3">
            <w:pPr>
              <w:jc w:val="center"/>
              <w:rPr>
                <w:rFonts w:ascii="Times New Roman" w:hAnsi="Times New Roman" w:cs="Times New Roman"/>
                <w:b/>
                <w:bCs/>
              </w:rPr>
            </w:pPr>
            <w:r w:rsidRPr="00C4036C">
              <w:rPr>
                <w:rFonts w:ascii="Times New Roman" w:hAnsi="Times New Roman" w:cs="Times New Roman"/>
              </w:rPr>
              <w:t>1.</w:t>
            </w:r>
            <w:r>
              <w:rPr>
                <w:rFonts w:ascii="Times New Roman" w:hAnsi="Times New Roman" w:cs="Times New Roman"/>
              </w:rPr>
              <w:t>29</w:t>
            </w:r>
          </w:p>
        </w:tc>
        <w:tc>
          <w:tcPr>
            <w:tcW w:w="627" w:type="dxa"/>
          </w:tcPr>
          <w:p w14:paraId="0D343492" w14:textId="77777777" w:rsidR="005E2FE3" w:rsidRPr="00C4036C" w:rsidRDefault="005E2FE3" w:rsidP="005E2FE3">
            <w:pPr>
              <w:jc w:val="center"/>
              <w:rPr>
                <w:rFonts w:ascii="Times New Roman" w:hAnsi="Times New Roman" w:cs="Times New Roman"/>
              </w:rPr>
            </w:pPr>
            <w:r w:rsidRPr="00C4036C">
              <w:rPr>
                <w:rFonts w:ascii="Times New Roman" w:hAnsi="Times New Roman" w:cs="Times New Roman"/>
              </w:rPr>
              <w:t>222</w:t>
            </w:r>
          </w:p>
        </w:tc>
        <w:tc>
          <w:tcPr>
            <w:tcW w:w="977" w:type="dxa"/>
          </w:tcPr>
          <w:p w14:paraId="26D17405" w14:textId="054367AD" w:rsidR="005E2FE3" w:rsidRPr="00C4036C" w:rsidRDefault="005E2FE3" w:rsidP="005E2FE3">
            <w:pPr>
              <w:jc w:val="center"/>
              <w:rPr>
                <w:rFonts w:ascii="Times New Roman" w:hAnsi="Times New Roman" w:cs="Times New Roman"/>
                <w:b/>
                <w:bCs/>
              </w:rPr>
            </w:pPr>
            <w:r w:rsidRPr="00C4036C">
              <w:rPr>
                <w:rFonts w:ascii="Times New Roman" w:hAnsi="Times New Roman" w:cs="Times New Roman"/>
              </w:rPr>
              <w:t>&lt;0.001</w:t>
            </w:r>
          </w:p>
        </w:tc>
        <w:tc>
          <w:tcPr>
            <w:tcW w:w="1048" w:type="dxa"/>
          </w:tcPr>
          <w:p w14:paraId="4C5CB962" w14:textId="3CAC63FE" w:rsidR="005E2FE3" w:rsidRPr="00C4036C" w:rsidRDefault="005E2FE3" w:rsidP="005E2FE3">
            <w:pPr>
              <w:jc w:val="center"/>
              <w:rPr>
                <w:rFonts w:ascii="Times New Roman" w:hAnsi="Times New Roman" w:cs="Times New Roman"/>
                <w:b/>
                <w:bCs/>
              </w:rPr>
            </w:pPr>
            <w:r>
              <w:rPr>
                <w:rFonts w:ascii="Times New Roman" w:hAnsi="Times New Roman" w:cs="Times New Roman"/>
              </w:rPr>
              <w:t>27.1</w:t>
            </w:r>
            <w:r w:rsidRPr="00C4036C">
              <w:rPr>
                <w:rFonts w:ascii="Times New Roman" w:hAnsi="Times New Roman" w:cs="Times New Roman"/>
              </w:rPr>
              <w:t>%</w:t>
            </w:r>
          </w:p>
        </w:tc>
        <w:tc>
          <w:tcPr>
            <w:tcW w:w="1011" w:type="dxa"/>
          </w:tcPr>
          <w:p w14:paraId="1C40CF14" w14:textId="7DA0438B" w:rsidR="005E2FE3" w:rsidRPr="00C4036C" w:rsidRDefault="005E2FE3" w:rsidP="005E2FE3">
            <w:pPr>
              <w:jc w:val="center"/>
              <w:rPr>
                <w:rFonts w:ascii="Times New Roman" w:hAnsi="Times New Roman" w:cs="Times New Roman"/>
              </w:rPr>
            </w:pPr>
            <w:r w:rsidRPr="00C4036C">
              <w:rPr>
                <w:rFonts w:ascii="Times New Roman" w:hAnsi="Times New Roman" w:cs="Times New Roman"/>
              </w:rPr>
              <w:t>6</w:t>
            </w:r>
            <w:r>
              <w:rPr>
                <w:rFonts w:ascii="Times New Roman" w:hAnsi="Times New Roman" w:cs="Times New Roman"/>
              </w:rPr>
              <w:t>9.9</w:t>
            </w:r>
            <w:r w:rsidRPr="00C4036C">
              <w:rPr>
                <w:rFonts w:ascii="Times New Roman" w:hAnsi="Times New Roman" w:cs="Times New Roman"/>
              </w:rPr>
              <w:t>%</w:t>
            </w:r>
          </w:p>
        </w:tc>
        <w:tc>
          <w:tcPr>
            <w:tcW w:w="1043" w:type="dxa"/>
          </w:tcPr>
          <w:p w14:paraId="7D54EA02" w14:textId="04C53895" w:rsidR="005E2FE3" w:rsidRPr="00C4036C" w:rsidRDefault="005E2FE3" w:rsidP="005E2FE3">
            <w:pPr>
              <w:jc w:val="center"/>
              <w:rPr>
                <w:rFonts w:ascii="Times New Roman" w:hAnsi="Times New Roman" w:cs="Times New Roman"/>
                <w:b/>
                <w:bCs/>
              </w:rPr>
            </w:pPr>
            <w:r w:rsidRPr="00C4036C">
              <w:rPr>
                <w:rFonts w:ascii="Times New Roman" w:hAnsi="Times New Roman" w:cs="Times New Roman"/>
              </w:rPr>
              <w:t>3</w:t>
            </w:r>
            <w:r>
              <w:rPr>
                <w:rFonts w:ascii="Times New Roman" w:hAnsi="Times New Roman" w:cs="Times New Roman"/>
              </w:rPr>
              <w:t>0.1</w:t>
            </w:r>
            <w:r w:rsidRPr="00C4036C">
              <w:rPr>
                <w:rFonts w:ascii="Times New Roman" w:hAnsi="Times New Roman" w:cs="Times New Roman"/>
              </w:rPr>
              <w:t>%</w:t>
            </w:r>
          </w:p>
        </w:tc>
      </w:tr>
    </w:tbl>
    <w:p w14:paraId="769D5158" w14:textId="77777777" w:rsidR="00164363" w:rsidRPr="00C4036C" w:rsidRDefault="00164363" w:rsidP="00C4036C">
      <w:pPr>
        <w:spacing w:line="480" w:lineRule="auto"/>
        <w:rPr>
          <w:rFonts w:ascii="Times New Roman" w:hAnsi="Times New Roman" w:cs="Times New Roman"/>
        </w:rPr>
      </w:pPr>
    </w:p>
    <w:p w14:paraId="1CEF3A1C" w14:textId="69A3C09C" w:rsidR="00372FDC" w:rsidRPr="00372FDC" w:rsidRDefault="00C62666" w:rsidP="00372FDC">
      <w:pPr>
        <w:spacing w:line="480" w:lineRule="auto"/>
        <w:rPr>
          <w:rFonts w:ascii="Times New Roman" w:hAnsi="Times New Roman" w:cs="Times New Roman"/>
        </w:rPr>
      </w:pPr>
      <w:r>
        <w:rPr>
          <w:rFonts w:ascii="Times New Roman" w:hAnsi="Times New Roman" w:cs="Times New Roman"/>
          <w:b/>
          <w:bCs/>
        </w:rPr>
        <w:t xml:space="preserve">S1 </w:t>
      </w:r>
      <w:r w:rsidR="00372FDC" w:rsidRPr="00372FDC">
        <w:rPr>
          <w:rFonts w:ascii="Times New Roman" w:hAnsi="Times New Roman" w:cs="Times New Roman"/>
          <w:b/>
          <w:bCs/>
        </w:rPr>
        <w:t xml:space="preserve">Table Legend: Results of cross-sectional mediation analysis. </w:t>
      </w:r>
      <w:r w:rsidR="00372FDC" w:rsidRPr="00372FDC">
        <w:rPr>
          <w:rFonts w:ascii="Times New Roman" w:hAnsi="Times New Roman" w:cs="Times New Roman"/>
        </w:rPr>
        <w:t>The effect size of each predictor (NW, MMSE, and CCI) on disability is shown for each model used in the cross-sectional mediation analysis. A change in B &gt; 10% after GDS is added to the model supports a mediation effect of GDS. The Direct effect represents the proportion of the effect of each predictor on disability, independent of GDS. The Indirect effect represents the proportion of the total effect attributable to mediation by GDS.</w:t>
      </w:r>
    </w:p>
    <w:p w14:paraId="5C5DFE3C" w14:textId="77777777" w:rsidR="00372FDC" w:rsidRDefault="00372FDC" w:rsidP="00372FDC">
      <w:pPr>
        <w:spacing w:line="480" w:lineRule="auto"/>
        <w:rPr>
          <w:rFonts w:ascii="Times New Roman" w:hAnsi="Times New Roman" w:cs="Times New Roman"/>
        </w:rPr>
      </w:pPr>
    </w:p>
    <w:p w14:paraId="62C5728F" w14:textId="75F53E25" w:rsidR="00164363" w:rsidRPr="00C4036C" w:rsidRDefault="00164363" w:rsidP="00164363">
      <w:pPr>
        <w:spacing w:line="480" w:lineRule="auto"/>
        <w:ind w:firstLine="720"/>
        <w:rPr>
          <w:rFonts w:ascii="Times New Roman" w:hAnsi="Times New Roman" w:cs="Times New Roman"/>
        </w:rPr>
      </w:pPr>
      <w:r w:rsidRPr="00C4036C">
        <w:rPr>
          <w:rFonts w:ascii="Times New Roman" w:hAnsi="Times New Roman" w:cs="Times New Roman"/>
        </w:rPr>
        <w:t xml:space="preserve">When GDS </w:t>
      </w:r>
      <w:r w:rsidR="00374D5A" w:rsidRPr="00C4036C">
        <w:rPr>
          <w:rFonts w:ascii="Times New Roman" w:hAnsi="Times New Roman" w:cs="Times New Roman"/>
        </w:rPr>
        <w:t xml:space="preserve">was added to the </w:t>
      </w:r>
      <w:r w:rsidR="00374D5A">
        <w:rPr>
          <w:rFonts w:ascii="Times New Roman" w:hAnsi="Times New Roman" w:cs="Times New Roman"/>
        </w:rPr>
        <w:t xml:space="preserve">primary cross-sectional </w:t>
      </w:r>
      <w:r w:rsidR="00374D5A" w:rsidRPr="00C4036C">
        <w:rPr>
          <w:rFonts w:ascii="Times New Roman" w:hAnsi="Times New Roman" w:cs="Times New Roman"/>
        </w:rPr>
        <w:t>model</w:t>
      </w:r>
      <w:r w:rsidR="00374D5A">
        <w:rPr>
          <w:rFonts w:ascii="Times New Roman" w:hAnsi="Times New Roman" w:cs="Times New Roman"/>
        </w:rPr>
        <w:t xml:space="preserve"> for NW</w:t>
      </w:r>
      <w:r w:rsidRPr="00C4036C">
        <w:rPr>
          <w:rFonts w:ascii="Times New Roman" w:hAnsi="Times New Roman" w:cs="Times New Roman"/>
        </w:rPr>
        <w:t>, the R</w:t>
      </w:r>
      <w:r w:rsidRPr="00C4036C">
        <w:rPr>
          <w:rFonts w:ascii="Times New Roman" w:hAnsi="Times New Roman" w:cs="Times New Roman"/>
          <w:vertAlign w:val="superscript"/>
        </w:rPr>
        <w:t>2</w:t>
      </w:r>
      <w:r w:rsidRPr="00C4036C">
        <w:rPr>
          <w:rFonts w:ascii="Times New Roman" w:hAnsi="Times New Roman" w:cs="Times New Roman"/>
          <w:vertAlign w:val="subscript"/>
        </w:rPr>
        <w:t>adj</w:t>
      </w:r>
      <w:r w:rsidRPr="00C4036C">
        <w:rPr>
          <w:rFonts w:ascii="Times New Roman" w:hAnsi="Times New Roman" w:cs="Times New Roman"/>
        </w:rPr>
        <w:t xml:space="preserve"> increased to 0.4</w:t>
      </w:r>
      <w:r w:rsidR="004B417B">
        <w:rPr>
          <w:rFonts w:ascii="Times New Roman" w:hAnsi="Times New Roman" w:cs="Times New Roman"/>
        </w:rPr>
        <w:t>9</w:t>
      </w:r>
      <w:r w:rsidRPr="00C4036C">
        <w:rPr>
          <w:rFonts w:ascii="Times New Roman" w:hAnsi="Times New Roman" w:cs="Times New Roman"/>
        </w:rPr>
        <w:t>, and slower NW (B=-0.0</w:t>
      </w:r>
      <w:r w:rsidR="004B417B">
        <w:rPr>
          <w:rFonts w:ascii="Times New Roman" w:hAnsi="Times New Roman" w:cs="Times New Roman"/>
        </w:rPr>
        <w:t>9,</w:t>
      </w:r>
      <w:r w:rsidRPr="00C4036C">
        <w:rPr>
          <w:rFonts w:ascii="Times New Roman" w:hAnsi="Times New Roman" w:cs="Times New Roman"/>
        </w:rPr>
        <w:t xml:space="preserve"> </w:t>
      </w:r>
      <w:r w:rsidRPr="00C4036C">
        <w:rPr>
          <w:rFonts w:ascii="Times New Roman" w:hAnsi="Times New Roman" w:cs="Times New Roman"/>
          <w:i/>
        </w:rPr>
        <w:t>p</w:t>
      </w:r>
      <w:r w:rsidRPr="00C4036C">
        <w:rPr>
          <w:rFonts w:ascii="Times New Roman" w:hAnsi="Times New Roman" w:cs="Times New Roman"/>
        </w:rPr>
        <w:t xml:space="preserve">=0.002), higher GDS (B=1.30, </w:t>
      </w:r>
      <w:r w:rsidRPr="00C4036C">
        <w:rPr>
          <w:rFonts w:ascii="Times New Roman" w:hAnsi="Times New Roman" w:cs="Times New Roman"/>
          <w:i/>
        </w:rPr>
        <w:t>p</w:t>
      </w:r>
      <w:r w:rsidRPr="00C4036C">
        <w:rPr>
          <w:rFonts w:ascii="Times New Roman" w:hAnsi="Times New Roman" w:cs="Times New Roman"/>
        </w:rPr>
        <w:t>&lt;0.001), and higher HbA1</w:t>
      </w:r>
      <w:r w:rsidRPr="00C4036C">
        <w:rPr>
          <w:rFonts w:ascii="Times New Roman" w:hAnsi="Times New Roman" w:cs="Times New Roman"/>
          <w:vertAlign w:val="subscript"/>
        </w:rPr>
        <w:t>C</w:t>
      </w:r>
      <w:r w:rsidRPr="00C4036C">
        <w:rPr>
          <w:rFonts w:ascii="Times New Roman" w:hAnsi="Times New Roman" w:cs="Times New Roman"/>
        </w:rPr>
        <w:t xml:space="preserve"> (B=1.33, </w:t>
      </w:r>
      <w:r w:rsidRPr="00C4036C">
        <w:rPr>
          <w:rFonts w:ascii="Times New Roman" w:hAnsi="Times New Roman" w:cs="Times New Roman"/>
          <w:i/>
        </w:rPr>
        <w:t>p</w:t>
      </w:r>
      <w:r w:rsidRPr="00C4036C">
        <w:rPr>
          <w:rFonts w:ascii="Times New Roman" w:hAnsi="Times New Roman" w:cs="Times New Roman"/>
        </w:rPr>
        <w:t>=0.007) were all predictors of WHODAS. GDS showed a partial mediation effect, with an Indirect effect of 3</w:t>
      </w:r>
      <w:r w:rsidR="004B417B">
        <w:rPr>
          <w:rFonts w:ascii="Times New Roman" w:hAnsi="Times New Roman" w:cs="Times New Roman"/>
        </w:rPr>
        <w:t>6.9</w:t>
      </w:r>
      <w:r w:rsidRPr="00C4036C">
        <w:rPr>
          <w:rFonts w:ascii="Times New Roman" w:hAnsi="Times New Roman" w:cs="Times New Roman"/>
        </w:rPr>
        <w:t>% of the Total (Table S1).</w:t>
      </w:r>
    </w:p>
    <w:p w14:paraId="47ED3625" w14:textId="77777777" w:rsidR="00F61E0D" w:rsidRDefault="00164363" w:rsidP="00BB6C26">
      <w:pPr>
        <w:spacing w:line="480" w:lineRule="auto"/>
        <w:rPr>
          <w:rFonts w:ascii="Times New Roman" w:hAnsi="Times New Roman" w:cs="Times New Roman"/>
        </w:rPr>
      </w:pPr>
      <w:r w:rsidRPr="00C4036C">
        <w:rPr>
          <w:rFonts w:ascii="Times New Roman" w:hAnsi="Times New Roman" w:cs="Times New Roman"/>
        </w:rPr>
        <w:tab/>
        <w:t xml:space="preserve">When GDS </w:t>
      </w:r>
      <w:r w:rsidR="00374D5A" w:rsidRPr="00C4036C">
        <w:rPr>
          <w:rFonts w:ascii="Times New Roman" w:hAnsi="Times New Roman" w:cs="Times New Roman"/>
        </w:rPr>
        <w:t xml:space="preserve">was added to the </w:t>
      </w:r>
      <w:r w:rsidR="00374D5A">
        <w:rPr>
          <w:rFonts w:ascii="Times New Roman" w:hAnsi="Times New Roman" w:cs="Times New Roman"/>
        </w:rPr>
        <w:t xml:space="preserve">primary cross-sectional </w:t>
      </w:r>
      <w:r w:rsidR="00374D5A" w:rsidRPr="00C4036C">
        <w:rPr>
          <w:rFonts w:ascii="Times New Roman" w:hAnsi="Times New Roman" w:cs="Times New Roman"/>
        </w:rPr>
        <w:t>model</w:t>
      </w:r>
      <w:r w:rsidR="00374D5A">
        <w:rPr>
          <w:rFonts w:ascii="Times New Roman" w:hAnsi="Times New Roman" w:cs="Times New Roman"/>
        </w:rPr>
        <w:t xml:space="preserve"> for CCI</w:t>
      </w:r>
      <w:r w:rsidRPr="00C4036C">
        <w:rPr>
          <w:rFonts w:ascii="Times New Roman" w:hAnsi="Times New Roman" w:cs="Times New Roman"/>
        </w:rPr>
        <w:t>, the adjusted R</w:t>
      </w:r>
      <w:r w:rsidRPr="00C4036C">
        <w:rPr>
          <w:rFonts w:ascii="Times New Roman" w:hAnsi="Times New Roman" w:cs="Times New Roman"/>
          <w:vertAlign w:val="superscript"/>
        </w:rPr>
        <w:t>2</w:t>
      </w:r>
      <w:r w:rsidRPr="00C4036C">
        <w:rPr>
          <w:rFonts w:ascii="Times New Roman" w:hAnsi="Times New Roman" w:cs="Times New Roman"/>
        </w:rPr>
        <w:t xml:space="preserve"> of the model increased to 0.4</w:t>
      </w:r>
      <w:r w:rsidR="000A77E7">
        <w:rPr>
          <w:rFonts w:ascii="Times New Roman" w:hAnsi="Times New Roman" w:cs="Times New Roman"/>
        </w:rPr>
        <w:t>8</w:t>
      </w:r>
      <w:r w:rsidRPr="00C4036C">
        <w:rPr>
          <w:rFonts w:ascii="Times New Roman" w:hAnsi="Times New Roman" w:cs="Times New Roman"/>
        </w:rPr>
        <w:t>. CCI (B=1.</w:t>
      </w:r>
      <w:r w:rsidR="000A77E7">
        <w:rPr>
          <w:rFonts w:ascii="Times New Roman" w:hAnsi="Times New Roman" w:cs="Times New Roman"/>
        </w:rPr>
        <w:t>29</w:t>
      </w:r>
      <w:r w:rsidRPr="00C4036C">
        <w:rPr>
          <w:rFonts w:ascii="Times New Roman" w:hAnsi="Times New Roman" w:cs="Times New Roman"/>
        </w:rPr>
        <w:t xml:space="preserve">, </w:t>
      </w:r>
      <w:r w:rsidRPr="000A77E7">
        <w:rPr>
          <w:rFonts w:ascii="Times New Roman" w:hAnsi="Times New Roman" w:cs="Times New Roman"/>
          <w:i/>
          <w:iCs/>
        </w:rPr>
        <w:t>p</w:t>
      </w:r>
      <w:r w:rsidR="000A77E7">
        <w:rPr>
          <w:rFonts w:ascii="Times New Roman" w:hAnsi="Times New Roman" w:cs="Times New Roman"/>
        </w:rPr>
        <w:t>&lt;0.001</w:t>
      </w:r>
      <w:r w:rsidRPr="00C4036C">
        <w:rPr>
          <w:rFonts w:ascii="Times New Roman" w:hAnsi="Times New Roman" w:cs="Times New Roman"/>
        </w:rPr>
        <w:t>), GDS (B=1.3</w:t>
      </w:r>
      <w:r w:rsidR="000A77E7">
        <w:rPr>
          <w:rFonts w:ascii="Times New Roman" w:hAnsi="Times New Roman" w:cs="Times New Roman"/>
        </w:rPr>
        <w:t>5</w:t>
      </w:r>
      <w:r w:rsidRPr="00C4036C">
        <w:rPr>
          <w:rFonts w:ascii="Times New Roman" w:hAnsi="Times New Roman" w:cs="Times New Roman"/>
        </w:rPr>
        <w:t xml:space="preserve">, </w:t>
      </w:r>
      <w:r w:rsidRPr="00C4036C">
        <w:rPr>
          <w:rFonts w:ascii="Times New Roman" w:hAnsi="Times New Roman" w:cs="Times New Roman"/>
          <w:i/>
          <w:iCs/>
        </w:rPr>
        <w:t>p</w:t>
      </w:r>
      <w:r w:rsidRPr="00C4036C">
        <w:rPr>
          <w:rFonts w:ascii="Times New Roman" w:hAnsi="Times New Roman" w:cs="Times New Roman"/>
        </w:rPr>
        <w:t>&lt;0.001), education (B=-0.</w:t>
      </w:r>
      <w:r w:rsidR="000A77E7">
        <w:rPr>
          <w:rFonts w:ascii="Times New Roman" w:hAnsi="Times New Roman" w:cs="Times New Roman"/>
        </w:rPr>
        <w:t>51</w:t>
      </w:r>
      <w:r w:rsidRPr="00C4036C">
        <w:rPr>
          <w:rFonts w:ascii="Times New Roman" w:hAnsi="Times New Roman" w:cs="Times New Roman"/>
        </w:rPr>
        <w:t xml:space="preserve">, </w:t>
      </w:r>
      <w:r w:rsidRPr="00C4036C">
        <w:rPr>
          <w:rFonts w:ascii="Times New Roman" w:hAnsi="Times New Roman" w:cs="Times New Roman"/>
          <w:i/>
          <w:iCs/>
        </w:rPr>
        <w:t>p</w:t>
      </w:r>
      <w:r w:rsidRPr="00C4036C">
        <w:rPr>
          <w:rFonts w:ascii="Times New Roman" w:hAnsi="Times New Roman" w:cs="Times New Roman"/>
        </w:rPr>
        <w:t>=0.0</w:t>
      </w:r>
      <w:r w:rsidR="000A77E7">
        <w:rPr>
          <w:rFonts w:ascii="Times New Roman" w:hAnsi="Times New Roman" w:cs="Times New Roman"/>
        </w:rPr>
        <w:t>06</w:t>
      </w:r>
      <w:r w:rsidRPr="00C4036C">
        <w:rPr>
          <w:rFonts w:ascii="Times New Roman" w:hAnsi="Times New Roman" w:cs="Times New Roman"/>
        </w:rPr>
        <w:t>), and race (B=</w:t>
      </w:r>
      <w:r w:rsidR="000A77E7">
        <w:rPr>
          <w:rFonts w:ascii="Times New Roman" w:hAnsi="Times New Roman" w:cs="Times New Roman"/>
        </w:rPr>
        <w:t>2.37</w:t>
      </w:r>
      <w:r w:rsidRPr="00C4036C">
        <w:rPr>
          <w:rFonts w:ascii="Times New Roman" w:hAnsi="Times New Roman" w:cs="Times New Roman"/>
        </w:rPr>
        <w:t xml:space="preserve">, </w:t>
      </w:r>
      <w:r w:rsidRPr="00C4036C">
        <w:rPr>
          <w:rFonts w:ascii="Times New Roman" w:hAnsi="Times New Roman" w:cs="Times New Roman"/>
          <w:i/>
          <w:iCs/>
        </w:rPr>
        <w:t>p</w:t>
      </w:r>
      <w:r w:rsidRPr="00C4036C">
        <w:rPr>
          <w:rFonts w:ascii="Times New Roman" w:hAnsi="Times New Roman" w:cs="Times New Roman"/>
        </w:rPr>
        <w:t>=0.0</w:t>
      </w:r>
      <w:r w:rsidR="000A77E7">
        <w:rPr>
          <w:rFonts w:ascii="Times New Roman" w:hAnsi="Times New Roman" w:cs="Times New Roman"/>
        </w:rPr>
        <w:t>02</w:t>
      </w:r>
      <w:r w:rsidRPr="00C4036C">
        <w:rPr>
          <w:rFonts w:ascii="Times New Roman" w:hAnsi="Times New Roman" w:cs="Times New Roman"/>
        </w:rPr>
        <w:t>) were all predictors of WHODAS. GDS showed a partial mediation effect, with an Indirect effect of 30</w:t>
      </w:r>
      <w:r w:rsidR="000A77E7">
        <w:rPr>
          <w:rFonts w:ascii="Times New Roman" w:hAnsi="Times New Roman" w:cs="Times New Roman"/>
        </w:rPr>
        <w:t>.1</w:t>
      </w:r>
      <w:r w:rsidRPr="00C4036C">
        <w:rPr>
          <w:rFonts w:ascii="Times New Roman" w:hAnsi="Times New Roman" w:cs="Times New Roman"/>
        </w:rPr>
        <w:t>% of the Total (Table S1).</w:t>
      </w:r>
    </w:p>
    <w:p w14:paraId="01E6B1A0" w14:textId="589E31E6" w:rsidR="00BB6C26" w:rsidRPr="00F61E0D" w:rsidRDefault="00BB6C26" w:rsidP="00BB6C26">
      <w:pPr>
        <w:spacing w:line="480" w:lineRule="auto"/>
        <w:rPr>
          <w:rFonts w:ascii="Times New Roman" w:hAnsi="Times New Roman" w:cs="Times New Roman"/>
        </w:rPr>
      </w:pPr>
      <w:r w:rsidRPr="00C4036C">
        <w:rPr>
          <w:rFonts w:ascii="Times New Roman" w:hAnsi="Times New Roman" w:cs="Times New Roman"/>
          <w:b/>
          <w:sz w:val="32"/>
          <w:szCs w:val="32"/>
        </w:rPr>
        <w:lastRenderedPageBreak/>
        <w:t>Post-hoc T2DM Subgroup Analysis</w:t>
      </w:r>
    </w:p>
    <w:p w14:paraId="0AB3A72E" w14:textId="089760B5" w:rsidR="00BB6C26" w:rsidRPr="00C4036C" w:rsidRDefault="00BB6C26" w:rsidP="00BB6C26">
      <w:pPr>
        <w:spacing w:line="480" w:lineRule="auto"/>
        <w:rPr>
          <w:rFonts w:ascii="Times New Roman" w:hAnsi="Times New Roman" w:cs="Times New Roman"/>
          <w:b/>
          <w:sz w:val="28"/>
          <w:szCs w:val="28"/>
        </w:rPr>
      </w:pPr>
      <w:r w:rsidRPr="00C4036C">
        <w:rPr>
          <w:rFonts w:ascii="Times New Roman" w:hAnsi="Times New Roman" w:cs="Times New Roman"/>
          <w:b/>
          <w:sz w:val="28"/>
          <w:szCs w:val="28"/>
        </w:rPr>
        <w:t>Methods</w:t>
      </w:r>
    </w:p>
    <w:p w14:paraId="0A38F655" w14:textId="0D151ADB" w:rsidR="00BB6C26" w:rsidRPr="00C4036C" w:rsidRDefault="00BB6C26" w:rsidP="00BB6C26">
      <w:pPr>
        <w:spacing w:line="480" w:lineRule="auto"/>
        <w:ind w:firstLine="720"/>
        <w:rPr>
          <w:rFonts w:ascii="Times New Roman" w:hAnsi="Times New Roman" w:cs="Times New Roman"/>
        </w:rPr>
      </w:pPr>
      <w:r w:rsidRPr="00C4036C">
        <w:rPr>
          <w:rFonts w:ascii="Times New Roman" w:hAnsi="Times New Roman" w:cs="Times New Roman"/>
        </w:rPr>
        <w:t>We compared all variables of interest (GDS, medication for depression, WHODAS) between T2DM and control participants using 2-tailed t-tests for continuous variables and a Fisher’s exact test for categorical variables.</w:t>
      </w:r>
    </w:p>
    <w:p w14:paraId="464EDEFE" w14:textId="71A876BA" w:rsidR="00BB6C26" w:rsidRPr="00C4036C" w:rsidRDefault="00BB6C26" w:rsidP="00BB6C26">
      <w:pPr>
        <w:spacing w:line="480" w:lineRule="auto"/>
        <w:ind w:firstLine="720"/>
        <w:rPr>
          <w:rFonts w:ascii="Times New Roman" w:hAnsi="Times New Roman" w:cs="Times New Roman"/>
        </w:rPr>
      </w:pPr>
      <w:r w:rsidRPr="00C4036C">
        <w:rPr>
          <w:rFonts w:ascii="Times New Roman" w:hAnsi="Times New Roman" w:cs="Times New Roman"/>
        </w:rPr>
        <w:t>Then, we investigated if T2DM severity</w:t>
      </w:r>
      <w:r w:rsidR="00810003">
        <w:rPr>
          <w:rFonts w:ascii="Times New Roman" w:hAnsi="Times New Roman" w:cs="Times New Roman"/>
        </w:rPr>
        <w:t xml:space="preserve"> or treatment </w:t>
      </w:r>
      <w:r w:rsidRPr="00C4036C">
        <w:rPr>
          <w:rFonts w:ascii="Times New Roman" w:hAnsi="Times New Roman" w:cs="Times New Roman"/>
        </w:rPr>
        <w:t>were related to longitudinal disability outcomes. In T2DM participants, a mixed-effects linear model tested the effects of hemoglobin A1c (HbA1</w:t>
      </w:r>
      <w:r w:rsidRPr="00C4036C">
        <w:rPr>
          <w:rFonts w:ascii="Times New Roman" w:hAnsi="Times New Roman" w:cs="Times New Roman"/>
          <w:vertAlign w:val="subscript"/>
        </w:rPr>
        <w:t>C</w:t>
      </w:r>
      <w:r w:rsidRPr="00C4036C">
        <w:rPr>
          <w:rFonts w:ascii="Times New Roman" w:hAnsi="Times New Roman" w:cs="Times New Roman"/>
        </w:rPr>
        <w:t>), oral medications for diabetes, and insulin use (independent variables) on WHODAS longitudinally (dependent variable). The model included a main fixed effect of time, defined as average days from baseline of each visit, crossed-random effects for subject and subject and time interaction to account for repeated measures, and covariates of GDS, use of medications for depression, age, sex, treatment group, education, and race.</w:t>
      </w:r>
    </w:p>
    <w:p w14:paraId="7B4401AA" w14:textId="77777777" w:rsidR="00BB6C26" w:rsidRPr="00C4036C" w:rsidRDefault="00BB6C26" w:rsidP="00BB6C26">
      <w:pPr>
        <w:spacing w:line="480" w:lineRule="auto"/>
        <w:ind w:firstLine="720"/>
        <w:rPr>
          <w:rFonts w:ascii="Times New Roman" w:hAnsi="Times New Roman" w:cs="Times New Roman"/>
        </w:rPr>
      </w:pPr>
    </w:p>
    <w:p w14:paraId="7526945E" w14:textId="2EDA4AB4" w:rsidR="00BB6C26" w:rsidRPr="00C4036C" w:rsidRDefault="00BB6C26" w:rsidP="00BB6C26">
      <w:pPr>
        <w:spacing w:line="480" w:lineRule="auto"/>
        <w:rPr>
          <w:rFonts w:ascii="Times New Roman" w:hAnsi="Times New Roman" w:cs="Times New Roman"/>
          <w:b/>
          <w:sz w:val="28"/>
          <w:szCs w:val="28"/>
        </w:rPr>
      </w:pPr>
      <w:r w:rsidRPr="00C4036C">
        <w:rPr>
          <w:rFonts w:ascii="Times New Roman" w:hAnsi="Times New Roman" w:cs="Times New Roman"/>
          <w:b/>
          <w:sz w:val="28"/>
          <w:szCs w:val="28"/>
        </w:rPr>
        <w:t>Results</w:t>
      </w:r>
    </w:p>
    <w:p w14:paraId="32BCB726" w14:textId="564B3EA5" w:rsidR="00BB6C26" w:rsidRPr="00C4036C" w:rsidRDefault="00BB6C26" w:rsidP="00BB6C26">
      <w:pPr>
        <w:spacing w:line="480" w:lineRule="auto"/>
        <w:rPr>
          <w:rFonts w:ascii="Times New Roman" w:hAnsi="Times New Roman" w:cs="Times New Roman"/>
        </w:rPr>
      </w:pPr>
      <w:r w:rsidRPr="00C4036C">
        <w:rPr>
          <w:rFonts w:ascii="Times New Roman" w:hAnsi="Times New Roman" w:cs="Times New Roman"/>
        </w:rPr>
        <w:tab/>
        <w:t>At baseline, T2DM participants had worse disability than controls (</w:t>
      </w:r>
      <w:r w:rsidRPr="00C4036C">
        <w:rPr>
          <w:rFonts w:ascii="Times New Roman" w:hAnsi="Times New Roman" w:cs="Times New Roman"/>
          <w:i/>
          <w:iCs/>
        </w:rPr>
        <w:t>p</w:t>
      </w:r>
      <w:r w:rsidRPr="00C4036C">
        <w:rPr>
          <w:rFonts w:ascii="Times New Roman" w:hAnsi="Times New Roman" w:cs="Times New Roman"/>
        </w:rPr>
        <w:t>&lt;0.001, mean WHODAS: T2DM 16.6, controls 7.8) and more depressive symptoms (</w:t>
      </w:r>
      <w:r w:rsidRPr="00C4036C">
        <w:rPr>
          <w:rFonts w:ascii="Times New Roman" w:hAnsi="Times New Roman" w:cs="Times New Roman"/>
          <w:i/>
          <w:iCs/>
        </w:rPr>
        <w:t>p</w:t>
      </w:r>
      <w:r w:rsidR="00FC6199">
        <w:rPr>
          <w:rFonts w:ascii="Times New Roman" w:hAnsi="Times New Roman" w:cs="Times New Roman"/>
        </w:rPr>
        <w:t>&lt;</w:t>
      </w:r>
      <w:r w:rsidRPr="00C4036C">
        <w:rPr>
          <w:rFonts w:ascii="Times New Roman" w:hAnsi="Times New Roman" w:cs="Times New Roman"/>
        </w:rPr>
        <w:t>0.001, mean GDS: T2DM 6.9, controls 4.5). Antidepressant usage was not different between groups.</w:t>
      </w:r>
    </w:p>
    <w:p w14:paraId="0124A04E" w14:textId="5E44AC4F" w:rsidR="00BB6C26" w:rsidRPr="00C4036C" w:rsidRDefault="00BB6C26" w:rsidP="000D3145">
      <w:pPr>
        <w:spacing w:line="480" w:lineRule="auto"/>
        <w:ind w:firstLine="720"/>
        <w:rPr>
          <w:rFonts w:ascii="Times New Roman" w:hAnsi="Times New Roman" w:cs="Times New Roman"/>
        </w:rPr>
      </w:pPr>
      <w:r w:rsidRPr="00C4036C">
        <w:rPr>
          <w:rFonts w:ascii="Times New Roman" w:hAnsi="Times New Roman" w:cs="Times New Roman"/>
        </w:rPr>
        <w:t>In the T2DM mixed effects model, greater disability was associated with GDS (B=</w:t>
      </w:r>
      <w:r w:rsidR="00A168F7">
        <w:rPr>
          <w:rFonts w:ascii="Times New Roman" w:hAnsi="Times New Roman" w:cs="Times New Roman"/>
        </w:rPr>
        <w:t>1.27</w:t>
      </w:r>
      <w:r w:rsidRPr="00C4036C">
        <w:rPr>
          <w:rFonts w:ascii="Times New Roman" w:hAnsi="Times New Roman" w:cs="Times New Roman"/>
        </w:rPr>
        <w:t xml:space="preserve">, </w:t>
      </w:r>
      <w:r w:rsidRPr="00C4036C">
        <w:rPr>
          <w:rFonts w:ascii="Times New Roman" w:hAnsi="Times New Roman" w:cs="Times New Roman"/>
          <w:i/>
          <w:iCs/>
        </w:rPr>
        <w:t>p</w:t>
      </w:r>
      <w:r w:rsidRPr="00C4036C">
        <w:rPr>
          <w:rFonts w:ascii="Times New Roman" w:hAnsi="Times New Roman" w:cs="Times New Roman"/>
        </w:rPr>
        <w:t xml:space="preserve">&lt;0.001) and </w:t>
      </w:r>
      <w:r w:rsidR="00A168F7">
        <w:rPr>
          <w:rFonts w:ascii="Times New Roman" w:hAnsi="Times New Roman" w:cs="Times New Roman"/>
        </w:rPr>
        <w:t>race</w:t>
      </w:r>
      <w:r w:rsidRPr="00C4036C">
        <w:rPr>
          <w:rFonts w:ascii="Times New Roman" w:hAnsi="Times New Roman" w:cs="Times New Roman"/>
        </w:rPr>
        <w:t xml:space="preserve"> (B=</w:t>
      </w:r>
      <w:r w:rsidR="00A168F7">
        <w:rPr>
          <w:rFonts w:ascii="Times New Roman" w:hAnsi="Times New Roman" w:cs="Times New Roman"/>
        </w:rPr>
        <w:t>1.69</w:t>
      </w:r>
      <w:r w:rsidRPr="00C4036C">
        <w:rPr>
          <w:rFonts w:ascii="Times New Roman" w:hAnsi="Times New Roman" w:cs="Times New Roman"/>
        </w:rPr>
        <w:t xml:space="preserve">, </w:t>
      </w:r>
      <w:r w:rsidRPr="00C4036C">
        <w:rPr>
          <w:rFonts w:ascii="Times New Roman" w:hAnsi="Times New Roman" w:cs="Times New Roman"/>
          <w:i/>
          <w:iCs/>
        </w:rPr>
        <w:t>p</w:t>
      </w:r>
      <w:r w:rsidRPr="00C4036C">
        <w:rPr>
          <w:rFonts w:ascii="Times New Roman" w:hAnsi="Times New Roman" w:cs="Times New Roman"/>
        </w:rPr>
        <w:t>=0.0</w:t>
      </w:r>
      <w:r w:rsidR="00A168F7">
        <w:rPr>
          <w:rFonts w:ascii="Times New Roman" w:hAnsi="Times New Roman" w:cs="Times New Roman"/>
        </w:rPr>
        <w:t>46</w:t>
      </w:r>
      <w:r w:rsidRPr="00C4036C">
        <w:rPr>
          <w:rFonts w:ascii="Times New Roman" w:hAnsi="Times New Roman" w:cs="Times New Roman"/>
        </w:rPr>
        <w:t>). There was no significant effect of HbA1</w:t>
      </w:r>
      <w:r w:rsidRPr="00C4036C">
        <w:rPr>
          <w:rFonts w:ascii="Times New Roman" w:hAnsi="Times New Roman" w:cs="Times New Roman"/>
          <w:vertAlign w:val="subscript"/>
        </w:rPr>
        <w:t>C</w:t>
      </w:r>
      <w:r w:rsidR="007D79F6">
        <w:rPr>
          <w:rFonts w:ascii="Times New Roman" w:hAnsi="Times New Roman" w:cs="Times New Roman"/>
        </w:rPr>
        <w:t xml:space="preserve"> or</w:t>
      </w:r>
      <w:r w:rsidRPr="00C4036C">
        <w:rPr>
          <w:rFonts w:ascii="Times New Roman" w:hAnsi="Times New Roman" w:cs="Times New Roman"/>
        </w:rPr>
        <w:t xml:space="preserve"> use of oral medications for diabetes or insulin.</w:t>
      </w:r>
    </w:p>
    <w:p w14:paraId="21101AF3" w14:textId="77777777" w:rsidR="00BB6C26" w:rsidRPr="00C4036C" w:rsidRDefault="00BB6C26">
      <w:pPr>
        <w:rPr>
          <w:rFonts w:ascii="Times New Roman" w:hAnsi="Times New Roman" w:cs="Times New Roman"/>
        </w:rPr>
      </w:pPr>
    </w:p>
    <w:sectPr w:rsidR="00BB6C26" w:rsidRPr="00C4036C" w:rsidSect="00C4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2D3"/>
    <w:multiLevelType w:val="multilevel"/>
    <w:tmpl w:val="25B4BF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49A1CB9"/>
    <w:multiLevelType w:val="multilevel"/>
    <w:tmpl w:val="1D465F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33825836">
    <w:abstractNumId w:val="0"/>
  </w:num>
  <w:num w:numId="2" w16cid:durableId="1086344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2E"/>
    <w:rsid w:val="00044A05"/>
    <w:rsid w:val="00044F65"/>
    <w:rsid w:val="00060D75"/>
    <w:rsid w:val="00065A1D"/>
    <w:rsid w:val="000A77E7"/>
    <w:rsid w:val="000B6E02"/>
    <w:rsid w:val="000D1B72"/>
    <w:rsid w:val="000D3145"/>
    <w:rsid w:val="00113762"/>
    <w:rsid w:val="001223CA"/>
    <w:rsid w:val="00124D35"/>
    <w:rsid w:val="00164363"/>
    <w:rsid w:val="002A65F6"/>
    <w:rsid w:val="002B7D87"/>
    <w:rsid w:val="003516AC"/>
    <w:rsid w:val="00372FDC"/>
    <w:rsid w:val="00374D5A"/>
    <w:rsid w:val="0038692D"/>
    <w:rsid w:val="003C3D42"/>
    <w:rsid w:val="003D713B"/>
    <w:rsid w:val="003F02ED"/>
    <w:rsid w:val="004B417B"/>
    <w:rsid w:val="00513103"/>
    <w:rsid w:val="005C0202"/>
    <w:rsid w:val="005E2FE3"/>
    <w:rsid w:val="005F28C1"/>
    <w:rsid w:val="006D265A"/>
    <w:rsid w:val="006D70EF"/>
    <w:rsid w:val="00725916"/>
    <w:rsid w:val="00756FA9"/>
    <w:rsid w:val="007D79F6"/>
    <w:rsid w:val="00810003"/>
    <w:rsid w:val="008B78F6"/>
    <w:rsid w:val="00992BF9"/>
    <w:rsid w:val="009C4B2E"/>
    <w:rsid w:val="00A168F7"/>
    <w:rsid w:val="00A64BFE"/>
    <w:rsid w:val="00AC40F9"/>
    <w:rsid w:val="00AF0BBD"/>
    <w:rsid w:val="00BB6C26"/>
    <w:rsid w:val="00BE20A5"/>
    <w:rsid w:val="00C4036C"/>
    <w:rsid w:val="00C43F41"/>
    <w:rsid w:val="00C62666"/>
    <w:rsid w:val="00D36CE5"/>
    <w:rsid w:val="00D7405F"/>
    <w:rsid w:val="00E44B59"/>
    <w:rsid w:val="00ED644E"/>
    <w:rsid w:val="00F073F1"/>
    <w:rsid w:val="00F25CE1"/>
    <w:rsid w:val="00F61E0D"/>
    <w:rsid w:val="00F96525"/>
    <w:rsid w:val="00FC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745F4"/>
  <w15:chartTrackingRefBased/>
  <w15:docId w15:val="{B153035F-94DC-0A43-8C97-8E979F4E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E20A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0A5"/>
    <w:rPr>
      <w:sz w:val="16"/>
      <w:szCs w:val="16"/>
    </w:rPr>
  </w:style>
  <w:style w:type="paragraph" w:styleId="CommentText">
    <w:name w:val="annotation text"/>
    <w:basedOn w:val="Normal"/>
    <w:link w:val="CommentTextChar"/>
    <w:uiPriority w:val="99"/>
    <w:unhideWhenUsed/>
    <w:rsid w:val="00BE20A5"/>
    <w:rPr>
      <w:sz w:val="20"/>
      <w:szCs w:val="20"/>
    </w:rPr>
  </w:style>
  <w:style w:type="character" w:customStyle="1" w:styleId="CommentTextChar">
    <w:name w:val="Comment Text Char"/>
    <w:basedOn w:val="DefaultParagraphFont"/>
    <w:link w:val="CommentText"/>
    <w:uiPriority w:val="99"/>
    <w:rsid w:val="00BE20A5"/>
    <w:rPr>
      <w:sz w:val="20"/>
      <w:szCs w:val="20"/>
    </w:rPr>
  </w:style>
  <w:style w:type="paragraph" w:styleId="CommentSubject">
    <w:name w:val="annotation subject"/>
    <w:basedOn w:val="CommentText"/>
    <w:next w:val="CommentText"/>
    <w:link w:val="CommentSubjectChar"/>
    <w:uiPriority w:val="99"/>
    <w:semiHidden/>
    <w:unhideWhenUsed/>
    <w:rsid w:val="00BE20A5"/>
    <w:rPr>
      <w:b/>
      <w:bCs/>
    </w:rPr>
  </w:style>
  <w:style w:type="character" w:customStyle="1" w:styleId="CommentSubjectChar">
    <w:name w:val="Comment Subject Char"/>
    <w:basedOn w:val="CommentTextChar"/>
    <w:link w:val="CommentSubject"/>
    <w:uiPriority w:val="99"/>
    <w:semiHidden/>
    <w:rsid w:val="00BE20A5"/>
    <w:rPr>
      <w:b/>
      <w:bCs/>
      <w:sz w:val="20"/>
      <w:szCs w:val="20"/>
    </w:rPr>
  </w:style>
  <w:style w:type="character" w:customStyle="1" w:styleId="Heading4Char">
    <w:name w:val="Heading 4 Char"/>
    <w:basedOn w:val="DefaultParagraphFont"/>
    <w:link w:val="Heading4"/>
    <w:uiPriority w:val="9"/>
    <w:rsid w:val="00BE20A5"/>
    <w:rPr>
      <w:rFonts w:ascii="Times New Roman" w:eastAsia="Times New Roman" w:hAnsi="Times New Roman" w:cs="Times New Roman"/>
      <w:b/>
      <w:bCs/>
    </w:rPr>
  </w:style>
  <w:style w:type="paragraph" w:styleId="NormalWeb">
    <w:name w:val="Normal (Web)"/>
    <w:basedOn w:val="Normal"/>
    <w:uiPriority w:val="99"/>
    <w:unhideWhenUsed/>
    <w:rsid w:val="00BE20A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E20A5"/>
    <w:rPr>
      <w:b/>
      <w:bCs/>
    </w:rPr>
  </w:style>
  <w:style w:type="table" w:styleId="TableGrid">
    <w:name w:val="Table Grid"/>
    <w:basedOn w:val="TableNormal"/>
    <w:uiPriority w:val="39"/>
    <w:rsid w:val="00164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rsid w:val="00C4036C"/>
    <w:pPr>
      <w:tabs>
        <w:tab w:val="left" w:pos="360"/>
        <w:tab w:val="left" w:pos="720"/>
        <w:tab w:val="left" w:pos="1080"/>
      </w:tabs>
      <w:ind w:firstLine="397"/>
      <w:jc w:val="both"/>
    </w:pPr>
    <w:rPr>
      <w:rFonts w:ascii="Times New Roman" w:eastAsia="Times New Roman" w:hAnsi="Times New Roman" w:cs="Times New Roman"/>
      <w:snapToGrid w:val="0"/>
      <w:sz w:val="20"/>
      <w:szCs w:val="20"/>
    </w:rPr>
  </w:style>
  <w:style w:type="character" w:customStyle="1" w:styleId="NormalIndentChar">
    <w:name w:val="Normal Indent Char"/>
    <w:link w:val="NormalIndent"/>
    <w:rsid w:val="00C4036C"/>
    <w:rPr>
      <w:rFonts w:ascii="Times New Roman" w:eastAsia="Times New Roman" w:hAnsi="Times New Roman" w:cs="Times New Roman"/>
      <w:snapToGrid w:val="0"/>
      <w:sz w:val="20"/>
      <w:szCs w:val="20"/>
    </w:rPr>
  </w:style>
  <w:style w:type="paragraph" w:styleId="Revision">
    <w:name w:val="Revision"/>
    <w:hidden/>
    <w:uiPriority w:val="99"/>
    <w:semiHidden/>
    <w:rsid w:val="0012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9866">
      <w:bodyDiv w:val="1"/>
      <w:marLeft w:val="0"/>
      <w:marRight w:val="0"/>
      <w:marTop w:val="0"/>
      <w:marBottom w:val="0"/>
      <w:divBdr>
        <w:top w:val="none" w:sz="0" w:space="0" w:color="auto"/>
        <w:left w:val="none" w:sz="0" w:space="0" w:color="auto"/>
        <w:bottom w:val="none" w:sz="0" w:space="0" w:color="auto"/>
        <w:right w:val="none" w:sz="0" w:space="0" w:color="auto"/>
      </w:divBdr>
    </w:div>
    <w:div w:id="1757553510">
      <w:bodyDiv w:val="1"/>
      <w:marLeft w:val="0"/>
      <w:marRight w:val="0"/>
      <w:marTop w:val="0"/>
      <w:marBottom w:val="0"/>
      <w:divBdr>
        <w:top w:val="none" w:sz="0" w:space="0" w:color="auto"/>
        <w:left w:val="none" w:sz="0" w:space="0" w:color="auto"/>
        <w:bottom w:val="none" w:sz="0" w:space="0" w:color="auto"/>
        <w:right w:val="none" w:sz="0" w:space="0" w:color="auto"/>
      </w:divBdr>
      <w:divsChild>
        <w:div w:id="912468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Buss,Stephanie S  (HMFP - Neurology )</dc:creator>
  <cp:keywords/>
  <dc:description/>
  <cp:lastModifiedBy>StephB</cp:lastModifiedBy>
  <cp:revision>12</cp:revision>
  <dcterms:created xsi:type="dcterms:W3CDTF">2022-09-21T14:38:00Z</dcterms:created>
  <dcterms:modified xsi:type="dcterms:W3CDTF">2022-11-16T20:26:00Z</dcterms:modified>
</cp:coreProperties>
</file>