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80CB" w14:textId="32359C05" w:rsidR="00110391" w:rsidRPr="00695C30" w:rsidRDefault="00DB164F" w:rsidP="00110391">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S3 Table</w:t>
      </w:r>
      <w:r w:rsidR="00110391" w:rsidRPr="00695C30">
        <w:rPr>
          <w:rFonts w:ascii="Times New Roman" w:hAnsi="Times New Roman" w:cs="Times New Roman"/>
          <w:b/>
          <w:bCs/>
          <w:sz w:val="24"/>
          <w:szCs w:val="24"/>
          <w:lang w:val="en-US"/>
        </w:rPr>
        <w:t xml:space="preserve">. </w:t>
      </w:r>
      <w:r w:rsidR="00110391" w:rsidRPr="00695C30">
        <w:rPr>
          <w:rFonts w:ascii="Times New Roman" w:hAnsi="Times New Roman" w:cs="Times New Roman"/>
          <w:sz w:val="24"/>
          <w:szCs w:val="24"/>
          <w:lang w:val="en-US"/>
        </w:rPr>
        <w:t xml:space="preserve">Incidence </w:t>
      </w:r>
      <w:r w:rsidR="00110391">
        <w:rPr>
          <w:rFonts w:ascii="Times New Roman" w:hAnsi="Times New Roman" w:cs="Times New Roman"/>
          <w:sz w:val="24"/>
          <w:szCs w:val="24"/>
          <w:lang w:val="en-US"/>
        </w:rPr>
        <w:t xml:space="preserve">rate ratios and adjusted rate difference </w:t>
      </w:r>
      <w:r w:rsidR="00110391" w:rsidRPr="00695C30">
        <w:rPr>
          <w:rFonts w:ascii="Times New Roman" w:hAnsi="Times New Roman" w:cs="Times New Roman"/>
          <w:sz w:val="24"/>
          <w:szCs w:val="24"/>
          <w:lang w:val="en-US"/>
        </w:rPr>
        <w:t xml:space="preserve">of OAC initiation during follow-up </w:t>
      </w:r>
      <w:r w:rsidR="00110391">
        <w:rPr>
          <w:rFonts w:ascii="Times New Roman" w:hAnsi="Times New Roman" w:cs="Times New Roman"/>
          <w:sz w:val="24"/>
          <w:szCs w:val="24"/>
          <w:lang w:val="en-US"/>
        </w:rPr>
        <w:t>estimated with Poisson regression</w:t>
      </w:r>
    </w:p>
    <w:tbl>
      <w:tblPr>
        <w:tblStyle w:val="TaulukkoRuudukko"/>
        <w:tblpPr w:leftFromText="141" w:rightFromText="141" w:vertAnchor="text" w:horzAnchor="margin" w:tblpY="139"/>
        <w:tblW w:w="836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3119"/>
        <w:gridCol w:w="1984"/>
        <w:gridCol w:w="2127"/>
      </w:tblGrid>
      <w:tr w:rsidR="00110391" w:rsidRPr="003D568F" w14:paraId="72CFB2DC" w14:textId="77777777" w:rsidTr="00DB2F3E">
        <w:tc>
          <w:tcPr>
            <w:tcW w:w="1134" w:type="dxa"/>
            <w:tcBorders>
              <w:top w:val="single" w:sz="4" w:space="0" w:color="auto"/>
              <w:left w:val="nil"/>
              <w:bottom w:val="single" w:sz="4" w:space="0" w:color="auto"/>
              <w:right w:val="nil"/>
            </w:tcBorders>
            <w:hideMark/>
          </w:tcPr>
          <w:p w14:paraId="11D9C178" w14:textId="77777777" w:rsidR="00110391" w:rsidRPr="003D568F" w:rsidRDefault="00110391" w:rsidP="00110391">
            <w:pPr>
              <w:rPr>
                <w:rFonts w:ascii="Times New Roman" w:hAnsi="Times New Roman" w:cs="Times New Roman"/>
                <w:sz w:val="18"/>
                <w:szCs w:val="18"/>
                <w:lang w:val="en-US"/>
              </w:rPr>
            </w:pPr>
          </w:p>
        </w:tc>
        <w:tc>
          <w:tcPr>
            <w:tcW w:w="3119" w:type="dxa"/>
            <w:tcBorders>
              <w:top w:val="single" w:sz="4" w:space="0" w:color="auto"/>
              <w:left w:val="nil"/>
              <w:bottom w:val="single" w:sz="4" w:space="0" w:color="auto"/>
              <w:right w:val="nil"/>
            </w:tcBorders>
          </w:tcPr>
          <w:p w14:paraId="69DFC446" w14:textId="77777777" w:rsidR="00110391" w:rsidRPr="003D568F" w:rsidRDefault="00110391" w:rsidP="00110391">
            <w:pPr>
              <w:jc w:val="right"/>
              <w:rPr>
                <w:rFonts w:ascii="Times New Roman" w:hAnsi="Times New Roman" w:cs="Times New Roman"/>
                <w:b/>
                <w:bCs/>
                <w:sz w:val="18"/>
                <w:szCs w:val="18"/>
                <w:lang w:val="en-US"/>
              </w:rPr>
            </w:pPr>
            <w:r w:rsidRPr="003D568F">
              <w:rPr>
                <w:rFonts w:ascii="Times New Roman" w:hAnsi="Times New Roman" w:cs="Times New Roman"/>
                <w:b/>
                <w:bCs/>
                <w:sz w:val="18"/>
                <w:szCs w:val="18"/>
                <w:lang w:val="en-US"/>
              </w:rPr>
              <w:t>Unadjusted IRR</w:t>
            </w:r>
          </w:p>
        </w:tc>
        <w:tc>
          <w:tcPr>
            <w:tcW w:w="1984" w:type="dxa"/>
            <w:tcBorders>
              <w:top w:val="single" w:sz="4" w:space="0" w:color="auto"/>
              <w:left w:val="nil"/>
              <w:bottom w:val="single" w:sz="4" w:space="0" w:color="auto"/>
              <w:right w:val="nil"/>
            </w:tcBorders>
          </w:tcPr>
          <w:p w14:paraId="4879ADA9" w14:textId="77777777" w:rsidR="00110391" w:rsidRPr="003D568F" w:rsidRDefault="00110391" w:rsidP="00110391">
            <w:pPr>
              <w:jc w:val="right"/>
              <w:rPr>
                <w:rFonts w:ascii="Times New Roman" w:hAnsi="Times New Roman" w:cs="Times New Roman"/>
                <w:b/>
                <w:bCs/>
                <w:sz w:val="18"/>
                <w:szCs w:val="18"/>
                <w:lang w:val="en-US"/>
              </w:rPr>
            </w:pPr>
            <w:r w:rsidRPr="003D568F">
              <w:rPr>
                <w:rFonts w:ascii="Times New Roman" w:hAnsi="Times New Roman" w:cs="Times New Roman"/>
                <w:b/>
                <w:bCs/>
                <w:sz w:val="18"/>
                <w:szCs w:val="18"/>
                <w:lang w:val="en-US"/>
              </w:rPr>
              <w:t>Adjusted IRR</w:t>
            </w:r>
          </w:p>
        </w:tc>
        <w:tc>
          <w:tcPr>
            <w:tcW w:w="2127" w:type="dxa"/>
            <w:tcBorders>
              <w:top w:val="single" w:sz="4" w:space="0" w:color="auto"/>
              <w:left w:val="nil"/>
              <w:bottom w:val="single" w:sz="4" w:space="0" w:color="auto"/>
              <w:right w:val="nil"/>
            </w:tcBorders>
          </w:tcPr>
          <w:p w14:paraId="7F080C60" w14:textId="77777777" w:rsidR="00110391" w:rsidRPr="003D568F" w:rsidRDefault="00110391" w:rsidP="00110391">
            <w:pPr>
              <w:jc w:val="right"/>
              <w:rPr>
                <w:rFonts w:ascii="Times New Roman" w:hAnsi="Times New Roman" w:cs="Times New Roman"/>
                <w:b/>
                <w:bCs/>
                <w:sz w:val="18"/>
                <w:szCs w:val="18"/>
                <w:lang w:val="en-US"/>
              </w:rPr>
            </w:pPr>
            <w:r w:rsidRPr="003D568F">
              <w:rPr>
                <w:rFonts w:ascii="Times New Roman" w:hAnsi="Times New Roman" w:cs="Times New Roman"/>
                <w:b/>
                <w:bCs/>
                <w:sz w:val="18"/>
                <w:szCs w:val="18"/>
                <w:lang w:val="en-US"/>
              </w:rPr>
              <w:t>Adjusted rate difference (event/100 patient years)</w:t>
            </w:r>
          </w:p>
        </w:tc>
      </w:tr>
      <w:tr w:rsidR="00110391" w:rsidRPr="003D568F" w14:paraId="356B65D0" w14:textId="77777777" w:rsidTr="00DB2F3E">
        <w:tc>
          <w:tcPr>
            <w:tcW w:w="6237" w:type="dxa"/>
            <w:gridSpan w:val="3"/>
            <w:tcBorders>
              <w:top w:val="single" w:sz="4" w:space="0" w:color="auto"/>
              <w:left w:val="nil"/>
              <w:bottom w:val="single" w:sz="4" w:space="0" w:color="auto"/>
            </w:tcBorders>
          </w:tcPr>
          <w:p w14:paraId="250DA905" w14:textId="77777777" w:rsidR="00110391" w:rsidRPr="003D568F" w:rsidRDefault="00110391" w:rsidP="00110391">
            <w:pPr>
              <w:rPr>
                <w:rFonts w:ascii="Times New Roman" w:hAnsi="Times New Roman" w:cs="Times New Roman"/>
                <w:sz w:val="18"/>
                <w:szCs w:val="18"/>
                <w:lang w:val="en-US"/>
              </w:rPr>
            </w:pPr>
            <w:r w:rsidRPr="003D568F">
              <w:rPr>
                <w:rFonts w:ascii="Times New Roman" w:hAnsi="Times New Roman" w:cs="Times New Roman"/>
                <w:b/>
                <w:bCs/>
                <w:sz w:val="18"/>
                <w:szCs w:val="18"/>
                <w:lang w:val="en-US"/>
              </w:rPr>
              <w:t>Residence</w:t>
            </w:r>
          </w:p>
        </w:tc>
        <w:tc>
          <w:tcPr>
            <w:tcW w:w="2127" w:type="dxa"/>
            <w:tcBorders>
              <w:top w:val="single" w:sz="4" w:space="0" w:color="auto"/>
              <w:left w:val="nil"/>
              <w:bottom w:val="single" w:sz="4" w:space="0" w:color="auto"/>
            </w:tcBorders>
          </w:tcPr>
          <w:p w14:paraId="1819EB7A" w14:textId="77777777" w:rsidR="00110391" w:rsidRPr="003D568F" w:rsidRDefault="00110391" w:rsidP="00110391">
            <w:pPr>
              <w:rPr>
                <w:rFonts w:ascii="Times New Roman" w:hAnsi="Times New Roman" w:cs="Times New Roman"/>
                <w:b/>
                <w:bCs/>
                <w:sz w:val="18"/>
                <w:szCs w:val="18"/>
                <w:lang w:val="en-US"/>
              </w:rPr>
            </w:pPr>
          </w:p>
        </w:tc>
      </w:tr>
      <w:tr w:rsidR="00110391" w:rsidRPr="003D568F" w14:paraId="3DCD3F1C" w14:textId="77777777" w:rsidTr="00DB2F3E">
        <w:tc>
          <w:tcPr>
            <w:tcW w:w="1134" w:type="dxa"/>
            <w:tcBorders>
              <w:top w:val="single" w:sz="4" w:space="0" w:color="auto"/>
              <w:left w:val="nil"/>
              <w:bottom w:val="nil"/>
              <w:right w:val="nil"/>
            </w:tcBorders>
            <w:hideMark/>
          </w:tcPr>
          <w:p w14:paraId="742DA2C4" w14:textId="77777777" w:rsidR="00110391" w:rsidRPr="003D568F" w:rsidRDefault="00110391" w:rsidP="00110391">
            <w:pPr>
              <w:rPr>
                <w:rFonts w:ascii="Times New Roman" w:hAnsi="Times New Roman" w:cs="Times New Roman"/>
                <w:sz w:val="18"/>
                <w:szCs w:val="18"/>
                <w:lang w:val="en-US"/>
              </w:rPr>
            </w:pPr>
            <w:r w:rsidRPr="003D568F">
              <w:rPr>
                <w:rFonts w:ascii="Times New Roman" w:hAnsi="Times New Roman" w:cs="Times New Roman"/>
                <w:sz w:val="18"/>
                <w:szCs w:val="18"/>
                <w:lang w:val="en-US"/>
              </w:rPr>
              <w:t>Rural</w:t>
            </w:r>
          </w:p>
        </w:tc>
        <w:tc>
          <w:tcPr>
            <w:tcW w:w="3119" w:type="dxa"/>
            <w:tcBorders>
              <w:top w:val="single" w:sz="4" w:space="0" w:color="auto"/>
              <w:left w:val="nil"/>
              <w:bottom w:val="nil"/>
              <w:right w:val="nil"/>
            </w:tcBorders>
          </w:tcPr>
          <w:p w14:paraId="15CA40FA"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(Reference)</w:t>
            </w:r>
          </w:p>
        </w:tc>
        <w:tc>
          <w:tcPr>
            <w:tcW w:w="1984" w:type="dxa"/>
            <w:tcBorders>
              <w:top w:val="single" w:sz="4" w:space="0" w:color="auto"/>
              <w:left w:val="nil"/>
              <w:bottom w:val="nil"/>
              <w:right w:val="nil"/>
            </w:tcBorders>
          </w:tcPr>
          <w:p w14:paraId="0B2B6F65"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(Reference)</w:t>
            </w:r>
          </w:p>
        </w:tc>
        <w:tc>
          <w:tcPr>
            <w:tcW w:w="2127" w:type="dxa"/>
            <w:tcBorders>
              <w:top w:val="single" w:sz="4" w:space="0" w:color="auto"/>
              <w:left w:val="nil"/>
              <w:bottom w:val="nil"/>
              <w:right w:val="nil"/>
            </w:tcBorders>
          </w:tcPr>
          <w:p w14:paraId="1C5D2E7D"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(Reference)</w:t>
            </w:r>
          </w:p>
        </w:tc>
      </w:tr>
      <w:tr w:rsidR="00110391" w:rsidRPr="003D568F" w14:paraId="6C774869" w14:textId="77777777" w:rsidTr="00DB2F3E">
        <w:tc>
          <w:tcPr>
            <w:tcW w:w="1134" w:type="dxa"/>
            <w:tcBorders>
              <w:top w:val="nil"/>
              <w:left w:val="nil"/>
              <w:bottom w:val="nil"/>
              <w:right w:val="nil"/>
            </w:tcBorders>
            <w:hideMark/>
          </w:tcPr>
          <w:p w14:paraId="05FAFCE0" w14:textId="77777777" w:rsidR="00110391" w:rsidRPr="003D568F" w:rsidRDefault="00110391" w:rsidP="00110391">
            <w:pPr>
              <w:rPr>
                <w:rFonts w:ascii="Times New Roman" w:hAnsi="Times New Roman" w:cs="Times New Roman"/>
                <w:sz w:val="18"/>
                <w:szCs w:val="18"/>
                <w:lang w:val="en-US"/>
              </w:rPr>
            </w:pPr>
            <w:r w:rsidRPr="003D568F">
              <w:rPr>
                <w:rFonts w:ascii="Times New Roman" w:hAnsi="Times New Roman" w:cs="Times New Roman"/>
                <w:sz w:val="18"/>
                <w:szCs w:val="18"/>
                <w:lang w:val="en-US"/>
              </w:rPr>
              <w:t>Urban</w:t>
            </w:r>
          </w:p>
        </w:tc>
        <w:tc>
          <w:tcPr>
            <w:tcW w:w="3119" w:type="dxa"/>
            <w:tcBorders>
              <w:top w:val="nil"/>
              <w:left w:val="nil"/>
              <w:bottom w:val="nil"/>
              <w:right w:val="nil"/>
            </w:tcBorders>
          </w:tcPr>
          <w:p w14:paraId="08C3DFD7"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0.89 (0.88-0.90)</w:t>
            </w:r>
          </w:p>
        </w:tc>
        <w:tc>
          <w:tcPr>
            <w:tcW w:w="1984" w:type="dxa"/>
            <w:tcBorders>
              <w:top w:val="nil"/>
              <w:left w:val="nil"/>
              <w:bottom w:val="nil"/>
              <w:right w:val="nil"/>
            </w:tcBorders>
          </w:tcPr>
          <w:p w14:paraId="5D6EF300"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0.94 (0.93-0.95)</w:t>
            </w:r>
          </w:p>
        </w:tc>
        <w:tc>
          <w:tcPr>
            <w:tcW w:w="2127" w:type="dxa"/>
            <w:tcBorders>
              <w:top w:val="nil"/>
              <w:left w:val="nil"/>
              <w:bottom w:val="nil"/>
              <w:right w:val="nil"/>
            </w:tcBorders>
          </w:tcPr>
          <w:p w14:paraId="046D342D"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-3.4 (-3.9 - -2.8)</w:t>
            </w:r>
          </w:p>
        </w:tc>
      </w:tr>
      <w:tr w:rsidR="00110391" w:rsidRPr="003D568F" w14:paraId="021E8C4D" w14:textId="77777777" w:rsidTr="00DB2F3E">
        <w:tblPrEx>
          <w:tblBorders>
            <w:left w:val="single" w:sz="4" w:space="0" w:color="auto"/>
            <w:right w:val="single" w:sz="4" w:space="0" w:color="auto"/>
            <w:insideV w:val="single" w:sz="4" w:space="0" w:color="auto"/>
          </w:tblBorders>
        </w:tblPrEx>
        <w:tc>
          <w:tcPr>
            <w:tcW w:w="6237" w:type="dxa"/>
            <w:gridSpan w:val="3"/>
            <w:tcBorders>
              <w:left w:val="nil"/>
              <w:right w:val="nil"/>
            </w:tcBorders>
          </w:tcPr>
          <w:p w14:paraId="3721C879" w14:textId="77777777" w:rsidR="00110391" w:rsidRPr="003D568F" w:rsidRDefault="00110391" w:rsidP="00110391">
            <w:pPr>
              <w:rPr>
                <w:rFonts w:ascii="Times New Roman" w:hAnsi="Times New Roman" w:cs="Times New Roman"/>
                <w:b/>
                <w:bCs/>
                <w:sz w:val="18"/>
                <w:szCs w:val="18"/>
                <w:lang w:val="en-US"/>
              </w:rPr>
            </w:pPr>
            <w:r w:rsidRPr="003D568F">
              <w:rPr>
                <w:rFonts w:ascii="Times New Roman" w:hAnsi="Times New Roman" w:cs="Times New Roman"/>
                <w:b/>
                <w:bCs/>
                <w:sz w:val="18"/>
                <w:szCs w:val="18"/>
                <w:lang w:val="en-US"/>
              </w:rPr>
              <w:t xml:space="preserve">Urbanization degree </w:t>
            </w:r>
            <w:proofErr w:type="spellStart"/>
            <w:r w:rsidRPr="003D568F">
              <w:rPr>
                <w:rFonts w:ascii="Times New Roman" w:hAnsi="Times New Roman" w:cs="Times New Roman"/>
                <w:b/>
                <w:bCs/>
                <w:sz w:val="18"/>
                <w:szCs w:val="18"/>
                <w:lang w:val="en-US"/>
              </w:rPr>
              <w:t>tertiles</w:t>
            </w:r>
            <w:proofErr w:type="spellEnd"/>
          </w:p>
        </w:tc>
        <w:tc>
          <w:tcPr>
            <w:tcW w:w="2127" w:type="dxa"/>
            <w:tcBorders>
              <w:left w:val="nil"/>
              <w:right w:val="nil"/>
            </w:tcBorders>
          </w:tcPr>
          <w:p w14:paraId="2614AC31" w14:textId="77777777" w:rsidR="00110391" w:rsidRPr="003D568F" w:rsidRDefault="00110391" w:rsidP="00110391">
            <w:pPr>
              <w:rPr>
                <w:rFonts w:ascii="Times New Roman" w:hAnsi="Times New Roman" w:cs="Times New Roman"/>
                <w:b/>
                <w:bCs/>
                <w:sz w:val="18"/>
                <w:szCs w:val="18"/>
                <w:lang w:val="en-US"/>
              </w:rPr>
            </w:pPr>
          </w:p>
        </w:tc>
      </w:tr>
      <w:tr w:rsidR="00110391" w:rsidRPr="003D568F" w14:paraId="696DD4F9" w14:textId="77777777" w:rsidTr="00DB2F3E">
        <w:tc>
          <w:tcPr>
            <w:tcW w:w="1134" w:type="dxa"/>
            <w:tcBorders>
              <w:top w:val="nil"/>
              <w:left w:val="nil"/>
              <w:bottom w:val="nil"/>
              <w:right w:val="nil"/>
            </w:tcBorders>
          </w:tcPr>
          <w:p w14:paraId="68F917CC" w14:textId="77777777" w:rsidR="00110391" w:rsidRPr="003D568F" w:rsidRDefault="00110391" w:rsidP="00110391">
            <w:pPr>
              <w:rPr>
                <w:rFonts w:ascii="Times New Roman" w:hAnsi="Times New Roman" w:cs="Times New Roman"/>
                <w:sz w:val="18"/>
                <w:szCs w:val="18"/>
                <w:lang w:val="en-US"/>
              </w:rPr>
            </w:pPr>
            <w:r w:rsidRPr="003D568F">
              <w:rPr>
                <w:rFonts w:ascii="Times New Roman" w:hAnsi="Times New Roman" w:cs="Times New Roman"/>
                <w:sz w:val="18"/>
                <w:szCs w:val="18"/>
                <w:lang w:val="en-US"/>
              </w:rPr>
              <w:t>1</w:t>
            </w:r>
            <w:r w:rsidRPr="003D568F">
              <w:rPr>
                <w:rFonts w:ascii="Times New Roman" w:hAnsi="Times New Roman" w:cs="Times New Roman"/>
                <w:sz w:val="18"/>
                <w:szCs w:val="18"/>
                <w:vertAlign w:val="superscript"/>
                <w:lang w:val="en-US"/>
              </w:rPr>
              <w:t>st</w:t>
            </w:r>
            <w:r w:rsidRPr="003D568F">
              <w:rPr>
                <w:rFonts w:ascii="Times New Roman" w:hAnsi="Times New Roman" w:cs="Times New Roman"/>
                <w:sz w:val="18"/>
                <w:szCs w:val="18"/>
                <w:lang w:val="en-US"/>
              </w:rPr>
              <w:t xml:space="preserve"> (lowest)</w:t>
            </w:r>
          </w:p>
        </w:tc>
        <w:tc>
          <w:tcPr>
            <w:tcW w:w="3119" w:type="dxa"/>
            <w:tcBorders>
              <w:top w:val="nil"/>
              <w:left w:val="nil"/>
              <w:bottom w:val="nil"/>
              <w:right w:val="nil"/>
            </w:tcBorders>
          </w:tcPr>
          <w:p w14:paraId="3712E54C"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(Reference)</w:t>
            </w:r>
          </w:p>
        </w:tc>
        <w:tc>
          <w:tcPr>
            <w:tcW w:w="1984" w:type="dxa"/>
            <w:tcBorders>
              <w:top w:val="nil"/>
              <w:left w:val="nil"/>
              <w:bottom w:val="nil"/>
              <w:right w:val="nil"/>
            </w:tcBorders>
          </w:tcPr>
          <w:p w14:paraId="6AF36C93"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(Reference)</w:t>
            </w:r>
          </w:p>
        </w:tc>
        <w:tc>
          <w:tcPr>
            <w:tcW w:w="2127" w:type="dxa"/>
            <w:tcBorders>
              <w:top w:val="nil"/>
              <w:left w:val="nil"/>
              <w:bottom w:val="nil"/>
              <w:right w:val="nil"/>
            </w:tcBorders>
          </w:tcPr>
          <w:p w14:paraId="179926AF"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(Reference)</w:t>
            </w:r>
          </w:p>
        </w:tc>
      </w:tr>
      <w:tr w:rsidR="00110391" w:rsidRPr="003D568F" w14:paraId="5761D969" w14:textId="77777777" w:rsidTr="00DB2F3E">
        <w:tc>
          <w:tcPr>
            <w:tcW w:w="1134" w:type="dxa"/>
            <w:tcBorders>
              <w:top w:val="nil"/>
              <w:left w:val="nil"/>
              <w:bottom w:val="nil"/>
              <w:right w:val="nil"/>
            </w:tcBorders>
          </w:tcPr>
          <w:p w14:paraId="359046A6" w14:textId="77777777" w:rsidR="00110391" w:rsidRPr="003D568F" w:rsidRDefault="00110391" w:rsidP="00110391">
            <w:pPr>
              <w:rPr>
                <w:rFonts w:ascii="Times New Roman" w:hAnsi="Times New Roman" w:cs="Times New Roman"/>
                <w:sz w:val="18"/>
                <w:szCs w:val="18"/>
                <w:lang w:val="en-US"/>
              </w:rPr>
            </w:pPr>
            <w:r w:rsidRPr="003D568F">
              <w:rPr>
                <w:rFonts w:ascii="Times New Roman" w:hAnsi="Times New Roman" w:cs="Times New Roman"/>
                <w:sz w:val="18"/>
                <w:szCs w:val="18"/>
                <w:lang w:val="en-US"/>
              </w:rPr>
              <w:t>2</w:t>
            </w:r>
            <w:r w:rsidRPr="003D568F">
              <w:rPr>
                <w:rFonts w:ascii="Times New Roman" w:hAnsi="Times New Roman" w:cs="Times New Roman"/>
                <w:sz w:val="18"/>
                <w:szCs w:val="18"/>
                <w:vertAlign w:val="superscript"/>
                <w:lang w:val="en-US"/>
              </w:rPr>
              <w:t>nd</w:t>
            </w:r>
            <w:r w:rsidRPr="003D568F">
              <w:rPr>
                <w:rFonts w:ascii="Times New Roman" w:hAnsi="Times New Roman" w:cs="Times New Roman"/>
                <w:sz w:val="18"/>
                <w:szCs w:val="18"/>
                <w:lang w:val="en-US"/>
              </w:rPr>
              <w:t xml:space="preserve"> </w:t>
            </w:r>
          </w:p>
        </w:tc>
        <w:tc>
          <w:tcPr>
            <w:tcW w:w="3119" w:type="dxa"/>
            <w:tcBorders>
              <w:top w:val="nil"/>
              <w:left w:val="nil"/>
              <w:bottom w:val="nil"/>
              <w:right w:val="nil"/>
            </w:tcBorders>
          </w:tcPr>
          <w:p w14:paraId="7AF3213F"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0.90 (0.89-0.91)</w:t>
            </w:r>
          </w:p>
        </w:tc>
        <w:tc>
          <w:tcPr>
            <w:tcW w:w="1984" w:type="dxa"/>
            <w:tcBorders>
              <w:top w:val="nil"/>
              <w:left w:val="nil"/>
              <w:bottom w:val="nil"/>
              <w:right w:val="nil"/>
            </w:tcBorders>
          </w:tcPr>
          <w:p w14:paraId="5C4F7103"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0.96 (0.95-0.97)</w:t>
            </w:r>
          </w:p>
        </w:tc>
        <w:tc>
          <w:tcPr>
            <w:tcW w:w="2127" w:type="dxa"/>
            <w:tcBorders>
              <w:top w:val="nil"/>
              <w:left w:val="nil"/>
              <w:bottom w:val="nil"/>
              <w:right w:val="nil"/>
            </w:tcBorders>
          </w:tcPr>
          <w:p w14:paraId="6EAF5522"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-2.2 (-2.8 - -1.7)</w:t>
            </w:r>
          </w:p>
        </w:tc>
      </w:tr>
      <w:tr w:rsidR="00110391" w:rsidRPr="003D568F" w14:paraId="1CBEB537" w14:textId="77777777" w:rsidTr="00DB2F3E">
        <w:tc>
          <w:tcPr>
            <w:tcW w:w="1134" w:type="dxa"/>
            <w:tcBorders>
              <w:top w:val="nil"/>
              <w:left w:val="nil"/>
              <w:bottom w:val="nil"/>
              <w:right w:val="nil"/>
            </w:tcBorders>
          </w:tcPr>
          <w:p w14:paraId="5FDE65E3" w14:textId="77777777" w:rsidR="00110391" w:rsidRPr="003D568F" w:rsidRDefault="00110391" w:rsidP="00110391">
            <w:pPr>
              <w:rPr>
                <w:rFonts w:ascii="Times New Roman" w:hAnsi="Times New Roman" w:cs="Times New Roman"/>
                <w:sz w:val="18"/>
                <w:szCs w:val="18"/>
                <w:lang w:val="en-US"/>
              </w:rPr>
            </w:pPr>
            <w:r w:rsidRPr="003D568F">
              <w:rPr>
                <w:rFonts w:ascii="Times New Roman" w:hAnsi="Times New Roman" w:cs="Times New Roman"/>
                <w:sz w:val="18"/>
                <w:szCs w:val="18"/>
                <w:lang w:val="en-US"/>
              </w:rPr>
              <w:t>3</w:t>
            </w:r>
            <w:r w:rsidRPr="003D568F">
              <w:rPr>
                <w:rFonts w:ascii="Times New Roman" w:hAnsi="Times New Roman" w:cs="Times New Roman"/>
                <w:sz w:val="18"/>
                <w:szCs w:val="18"/>
                <w:vertAlign w:val="superscript"/>
                <w:lang w:val="en-US"/>
              </w:rPr>
              <w:t>rd</w:t>
            </w:r>
            <w:r w:rsidRPr="003D568F">
              <w:rPr>
                <w:rFonts w:ascii="Times New Roman" w:hAnsi="Times New Roman" w:cs="Times New Roman"/>
                <w:sz w:val="18"/>
                <w:szCs w:val="18"/>
                <w:lang w:val="en-US"/>
              </w:rPr>
              <w:t xml:space="preserve"> (highest)</w:t>
            </w:r>
          </w:p>
        </w:tc>
        <w:tc>
          <w:tcPr>
            <w:tcW w:w="3119" w:type="dxa"/>
            <w:tcBorders>
              <w:top w:val="nil"/>
              <w:left w:val="nil"/>
              <w:bottom w:val="nil"/>
              <w:right w:val="nil"/>
            </w:tcBorders>
          </w:tcPr>
          <w:p w14:paraId="71F7A003"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0.83 (0.82-0.84)</w:t>
            </w:r>
          </w:p>
        </w:tc>
        <w:tc>
          <w:tcPr>
            <w:tcW w:w="1984" w:type="dxa"/>
            <w:tcBorders>
              <w:top w:val="nil"/>
              <w:left w:val="nil"/>
              <w:bottom w:val="nil"/>
              <w:right w:val="nil"/>
            </w:tcBorders>
          </w:tcPr>
          <w:p w14:paraId="43C2782B"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0.91 (0.90-0.93)</w:t>
            </w:r>
          </w:p>
        </w:tc>
        <w:tc>
          <w:tcPr>
            <w:tcW w:w="2127" w:type="dxa"/>
            <w:tcBorders>
              <w:top w:val="nil"/>
              <w:left w:val="nil"/>
              <w:bottom w:val="nil"/>
              <w:right w:val="nil"/>
            </w:tcBorders>
          </w:tcPr>
          <w:p w14:paraId="1688E4D0" w14:textId="77777777" w:rsidR="00110391" w:rsidRPr="003D568F" w:rsidRDefault="00110391" w:rsidP="00110391">
            <w:pPr>
              <w:jc w:val="right"/>
              <w:rPr>
                <w:rFonts w:ascii="Times New Roman" w:hAnsi="Times New Roman" w:cs="Times New Roman"/>
                <w:sz w:val="18"/>
                <w:szCs w:val="18"/>
                <w:lang w:val="en-US"/>
              </w:rPr>
            </w:pPr>
            <w:r w:rsidRPr="003D568F">
              <w:rPr>
                <w:rFonts w:ascii="Times New Roman" w:hAnsi="Times New Roman" w:cs="Times New Roman"/>
                <w:sz w:val="18"/>
                <w:szCs w:val="18"/>
                <w:lang w:val="en-US"/>
              </w:rPr>
              <w:t>-5.0 (-5.6 - -3.9)</w:t>
            </w:r>
          </w:p>
        </w:tc>
      </w:tr>
      <w:tr w:rsidR="00110391" w:rsidRPr="003D568F" w14:paraId="762D808D" w14:textId="77777777" w:rsidTr="00DB2F3E">
        <w:tc>
          <w:tcPr>
            <w:tcW w:w="8364" w:type="dxa"/>
            <w:gridSpan w:val="4"/>
            <w:tcBorders>
              <w:top w:val="single" w:sz="4" w:space="0" w:color="auto"/>
              <w:left w:val="nil"/>
              <w:bottom w:val="nil"/>
              <w:right w:val="nil"/>
            </w:tcBorders>
          </w:tcPr>
          <w:p w14:paraId="5B3AB48E" w14:textId="77777777" w:rsidR="00110391" w:rsidRPr="003D568F" w:rsidRDefault="00110391" w:rsidP="00110391">
            <w:pPr>
              <w:rPr>
                <w:rFonts w:ascii="Times New Roman" w:hAnsi="Times New Roman" w:cs="Times New Roman"/>
                <w:sz w:val="16"/>
                <w:szCs w:val="16"/>
                <w:lang w:val="en-US"/>
              </w:rPr>
            </w:pPr>
            <w:r w:rsidRPr="003D568F">
              <w:rPr>
                <w:rFonts w:ascii="Times New Roman" w:hAnsi="Times New Roman" w:cs="Times New Roman"/>
                <w:sz w:val="16"/>
                <w:szCs w:val="16"/>
                <w:lang w:val="en-US"/>
              </w:rPr>
              <w:t xml:space="preserve">Abbreviations: IRR, incidence rate ratio. 95% confidence intervals in parenthesis. IRRs and rate differences estimated by Poisson regression. Adjusted analyses included the following variables: age, gender, calendar year of AF diagnosis, stroke, and bleeding risk factors (hypertension, heart failure, coronary artery disease, diabetes, prior stroke or transient ischemic attack, abnormal liver function, abnormal kidney function, prior bleeding episodes, concomitant use of nonsteroidal anti-inflammatory drugs or antiplatelets), dementia, cancer, alcohol use disorder, psychiatric disorders, income, and educational attainment. </w:t>
            </w:r>
          </w:p>
        </w:tc>
      </w:tr>
    </w:tbl>
    <w:p w14:paraId="4AA9A0AD" w14:textId="77777777" w:rsidR="00110391" w:rsidRPr="00695C30" w:rsidRDefault="00110391" w:rsidP="00110391">
      <w:pPr>
        <w:rPr>
          <w:rFonts w:ascii="Times New Roman" w:hAnsi="Times New Roman" w:cs="Times New Roman"/>
          <w:b/>
          <w:bCs/>
          <w:sz w:val="24"/>
          <w:szCs w:val="24"/>
          <w:lang w:val="en-US"/>
        </w:rPr>
      </w:pPr>
    </w:p>
    <w:p w14:paraId="6885E5A3" w14:textId="77777777" w:rsidR="00110391" w:rsidRPr="00695C30" w:rsidRDefault="00110391" w:rsidP="00110391">
      <w:pPr>
        <w:rPr>
          <w:rFonts w:ascii="Times New Roman" w:hAnsi="Times New Roman" w:cs="Times New Roman"/>
          <w:b/>
          <w:bCs/>
          <w:sz w:val="24"/>
          <w:szCs w:val="24"/>
          <w:lang w:val="en-US"/>
        </w:rPr>
      </w:pPr>
    </w:p>
    <w:p w14:paraId="73C7816B" w14:textId="77777777" w:rsidR="00110391" w:rsidRPr="00695C30" w:rsidRDefault="00110391" w:rsidP="00110391">
      <w:pPr>
        <w:rPr>
          <w:rFonts w:ascii="Times New Roman" w:hAnsi="Times New Roman" w:cs="Times New Roman"/>
          <w:b/>
          <w:bCs/>
          <w:sz w:val="24"/>
          <w:szCs w:val="24"/>
          <w:lang w:val="en-US"/>
        </w:rPr>
      </w:pPr>
    </w:p>
    <w:p w14:paraId="47BCD298" w14:textId="77777777" w:rsidR="00110391" w:rsidRPr="00695C30" w:rsidRDefault="00110391" w:rsidP="00110391">
      <w:pPr>
        <w:rPr>
          <w:rFonts w:ascii="Times New Roman" w:hAnsi="Times New Roman" w:cs="Times New Roman"/>
          <w:b/>
          <w:bCs/>
          <w:sz w:val="24"/>
          <w:szCs w:val="24"/>
          <w:lang w:val="en-US"/>
        </w:rPr>
      </w:pPr>
    </w:p>
    <w:p w14:paraId="31E7DA46" w14:textId="77777777" w:rsidR="00110391" w:rsidRPr="00695C30" w:rsidRDefault="00110391" w:rsidP="00110391">
      <w:pPr>
        <w:rPr>
          <w:rFonts w:ascii="Times New Roman" w:hAnsi="Times New Roman" w:cs="Times New Roman"/>
          <w:b/>
          <w:bCs/>
          <w:sz w:val="24"/>
          <w:szCs w:val="24"/>
          <w:lang w:val="en-US"/>
        </w:rPr>
      </w:pPr>
    </w:p>
    <w:p w14:paraId="26AD8D18" w14:textId="77777777" w:rsidR="00110391" w:rsidRPr="00695C30" w:rsidRDefault="00110391" w:rsidP="00110391">
      <w:pPr>
        <w:rPr>
          <w:rFonts w:ascii="Times New Roman" w:hAnsi="Times New Roman" w:cs="Times New Roman"/>
          <w:b/>
          <w:bCs/>
          <w:sz w:val="24"/>
          <w:szCs w:val="24"/>
          <w:lang w:val="en-US"/>
        </w:rPr>
      </w:pPr>
    </w:p>
    <w:p w14:paraId="6B0A8724" w14:textId="77777777" w:rsidR="00110391" w:rsidRPr="00695C30" w:rsidRDefault="00110391" w:rsidP="00110391">
      <w:pPr>
        <w:rPr>
          <w:rFonts w:ascii="Times New Roman" w:hAnsi="Times New Roman" w:cs="Times New Roman"/>
          <w:b/>
          <w:bCs/>
          <w:sz w:val="24"/>
          <w:szCs w:val="24"/>
          <w:lang w:val="en-US"/>
        </w:rPr>
      </w:pPr>
    </w:p>
    <w:p w14:paraId="0DEF5D7A" w14:textId="77777777" w:rsidR="00110391" w:rsidRPr="00695C30" w:rsidRDefault="00110391" w:rsidP="00110391">
      <w:pPr>
        <w:rPr>
          <w:rFonts w:ascii="Times New Roman" w:hAnsi="Times New Roman" w:cs="Times New Roman"/>
          <w:b/>
          <w:bCs/>
          <w:sz w:val="24"/>
          <w:szCs w:val="24"/>
          <w:lang w:val="en-US"/>
        </w:rPr>
      </w:pPr>
    </w:p>
    <w:p w14:paraId="32E1CC4A" w14:textId="77777777" w:rsidR="00110391" w:rsidRPr="00695C30" w:rsidRDefault="00110391" w:rsidP="00110391">
      <w:pPr>
        <w:rPr>
          <w:rFonts w:ascii="Times New Roman" w:hAnsi="Times New Roman" w:cs="Times New Roman"/>
          <w:b/>
          <w:bCs/>
          <w:sz w:val="24"/>
          <w:szCs w:val="24"/>
          <w:lang w:val="en-US"/>
        </w:rPr>
      </w:pPr>
    </w:p>
    <w:p w14:paraId="1B670ADA" w14:textId="77777777" w:rsidR="00110391" w:rsidRPr="00695C30" w:rsidRDefault="00110391" w:rsidP="00110391">
      <w:pPr>
        <w:rPr>
          <w:rFonts w:ascii="Times New Roman" w:hAnsi="Times New Roman" w:cs="Times New Roman"/>
          <w:b/>
          <w:bCs/>
          <w:sz w:val="24"/>
          <w:szCs w:val="24"/>
          <w:lang w:val="en-US"/>
        </w:rPr>
      </w:pPr>
    </w:p>
    <w:p w14:paraId="5B180A1C" w14:textId="77777777" w:rsidR="00110391" w:rsidRPr="00695C30" w:rsidRDefault="00110391" w:rsidP="00110391">
      <w:pPr>
        <w:rPr>
          <w:rFonts w:ascii="Times New Roman" w:hAnsi="Times New Roman" w:cs="Times New Roman"/>
          <w:b/>
          <w:bCs/>
          <w:sz w:val="24"/>
          <w:szCs w:val="24"/>
          <w:lang w:val="en-US"/>
        </w:rPr>
      </w:pPr>
    </w:p>
    <w:p w14:paraId="4448C7DC" w14:textId="77777777" w:rsidR="00110391" w:rsidRPr="00695C30" w:rsidRDefault="00110391" w:rsidP="00110391">
      <w:pPr>
        <w:rPr>
          <w:rFonts w:ascii="Times New Roman" w:hAnsi="Times New Roman" w:cs="Times New Roman"/>
          <w:b/>
          <w:bCs/>
          <w:sz w:val="24"/>
          <w:szCs w:val="24"/>
          <w:lang w:val="en-US"/>
        </w:rPr>
      </w:pPr>
    </w:p>
    <w:p w14:paraId="076AAFF3" w14:textId="77777777" w:rsidR="008535AD" w:rsidRPr="00110391" w:rsidRDefault="008535AD">
      <w:pPr>
        <w:rPr>
          <w:lang w:val="en-US"/>
        </w:rPr>
      </w:pPr>
    </w:p>
    <w:sectPr w:rsidR="008535AD" w:rsidRPr="0011039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91"/>
    <w:rsid w:val="00066796"/>
    <w:rsid w:val="00110391"/>
    <w:rsid w:val="008535AD"/>
    <w:rsid w:val="00A807C1"/>
    <w:rsid w:val="00DB164F"/>
    <w:rsid w:val="00F13F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B654765"/>
  <w15:chartTrackingRefBased/>
  <w15:docId w15:val="{2FDB95E5-A6EC-6447-8F50-16E4A21C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10391"/>
    <w:pPr>
      <w:spacing w:after="200" w:line="276" w:lineRule="auto"/>
    </w:pPr>
    <w:rPr>
      <w:sz w:val="22"/>
      <w:szCs w:val="22"/>
      <w:lang w:val="it-I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10391"/>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1050</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 Teppo</dc:creator>
  <cp:keywords/>
  <dc:description/>
  <cp:lastModifiedBy>Konsta Teppo</cp:lastModifiedBy>
  <cp:revision>2</cp:revision>
  <dcterms:created xsi:type="dcterms:W3CDTF">2022-10-21T06:23:00Z</dcterms:created>
  <dcterms:modified xsi:type="dcterms:W3CDTF">2022-10-21T06:24:00Z</dcterms:modified>
</cp:coreProperties>
</file>