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62CE2" w14:textId="097A2552" w:rsidR="00596D02" w:rsidRPr="00540CA8" w:rsidRDefault="00540CA8">
      <w:pPr>
        <w:rPr>
          <w:b/>
          <w:bCs/>
        </w:rPr>
      </w:pPr>
      <w:bookmarkStart w:id="0" w:name="_GoBack"/>
      <w:bookmarkEnd w:id="0"/>
      <w:r w:rsidRPr="00540CA8">
        <w:rPr>
          <w:b/>
          <w:bCs/>
        </w:rPr>
        <w:t>S1 Data Validation Protocol</w:t>
      </w:r>
    </w:p>
    <w:p w14:paraId="6C62330E" w14:textId="0E4D8E4F" w:rsidR="00540CA8" w:rsidRDefault="00540CA8"/>
    <w:p w14:paraId="2EA46646" w14:textId="77777777" w:rsidR="00540CA8" w:rsidRPr="00E5518E" w:rsidRDefault="00540CA8" w:rsidP="00540CA8">
      <w:pPr>
        <w:pStyle w:val="Default"/>
        <w:jc w:val="both"/>
        <w:rPr>
          <w:rFonts w:ascii="Arial" w:hAnsi="Arial" w:cs="Arial"/>
          <w:b/>
          <w:bCs/>
          <w:color w:val="171717"/>
          <w:sz w:val="22"/>
          <w:szCs w:val="22"/>
        </w:rPr>
      </w:pPr>
      <w:r w:rsidRPr="00E5518E">
        <w:rPr>
          <w:rFonts w:ascii="Arial" w:hAnsi="Arial" w:cs="Arial"/>
          <w:b/>
          <w:bCs/>
          <w:color w:val="171717"/>
          <w:sz w:val="22"/>
          <w:szCs w:val="22"/>
        </w:rPr>
        <w:t xml:space="preserve">Ensuring </w:t>
      </w:r>
      <w:r>
        <w:rPr>
          <w:rFonts w:ascii="Arial" w:hAnsi="Arial" w:cs="Arial"/>
          <w:b/>
          <w:bCs/>
          <w:color w:val="171717"/>
          <w:sz w:val="22"/>
          <w:szCs w:val="22"/>
        </w:rPr>
        <w:t xml:space="preserve">Quality and </w:t>
      </w:r>
      <w:r w:rsidRPr="00E5518E">
        <w:rPr>
          <w:rFonts w:ascii="Arial" w:hAnsi="Arial" w:cs="Arial"/>
          <w:b/>
          <w:bCs/>
          <w:color w:val="171717"/>
          <w:sz w:val="22"/>
          <w:szCs w:val="22"/>
        </w:rPr>
        <w:t>Validity of Survey Responses</w:t>
      </w:r>
    </w:p>
    <w:p w14:paraId="73F458C1" w14:textId="77777777" w:rsidR="00540CA8" w:rsidRPr="008A66BD" w:rsidRDefault="00540CA8" w:rsidP="00540CA8">
      <w:pPr>
        <w:pStyle w:val="Default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The following items will be reviewed for each survey submission to ensure validity:</w:t>
      </w:r>
    </w:p>
    <w:p w14:paraId="7FFDCF55" w14:textId="77777777" w:rsidR="00540CA8" w:rsidRPr="008A66BD" w:rsidRDefault="00540CA8" w:rsidP="00540CA8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Proper response to attention check screener items;</w:t>
      </w:r>
    </w:p>
    <w:p w14:paraId="4707ED62" w14:textId="77777777" w:rsidR="00540CA8" w:rsidRPr="008A66BD" w:rsidRDefault="00540CA8" w:rsidP="00540CA8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Total of 4 items embedded in two question grids throughout the survey</w:t>
      </w:r>
    </w:p>
    <w:p w14:paraId="162AAC09" w14:textId="77777777" w:rsidR="00540CA8" w:rsidRPr="008A66BD" w:rsidRDefault="00540CA8" w:rsidP="00540CA8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Time to take survey; should be at least 10 minutes</w:t>
      </w:r>
    </w:p>
    <w:p w14:paraId="7E168A2A" w14:textId="77777777" w:rsidR="00540CA8" w:rsidRPr="008A66BD" w:rsidRDefault="00540CA8" w:rsidP="00540CA8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Review of email submitted for compensation</w:t>
      </w:r>
    </w:p>
    <w:p w14:paraId="41BF769A" w14:textId="77777777" w:rsidR="00540CA8" w:rsidRPr="008A66BD" w:rsidRDefault="00540CA8" w:rsidP="00540CA8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Referral I</w:t>
      </w:r>
      <w:r>
        <w:rPr>
          <w:rFonts w:ascii="Arial" w:hAnsi="Arial" w:cs="Arial"/>
          <w:color w:val="171717"/>
          <w:sz w:val="22"/>
          <w:szCs w:val="22"/>
        </w:rPr>
        <w:t>dentification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validation for referred participants</w:t>
      </w:r>
    </w:p>
    <w:p w14:paraId="6935C9D6" w14:textId="77777777" w:rsidR="00540CA8" w:rsidRPr="008A66BD" w:rsidRDefault="00540CA8" w:rsidP="00540CA8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 xml:space="preserve">Participants who are referred to the survey by seed participants will receive an email containing a customized link. The link </w:t>
      </w:r>
      <w:r>
        <w:rPr>
          <w:rFonts w:ascii="Arial" w:hAnsi="Arial" w:cs="Arial"/>
          <w:color w:val="171717"/>
          <w:sz w:val="22"/>
          <w:szCs w:val="22"/>
        </w:rPr>
        <w:t>will be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embedded with a unique referral </w:t>
      </w:r>
      <w:r>
        <w:rPr>
          <w:rFonts w:ascii="Arial" w:hAnsi="Arial" w:cs="Arial"/>
          <w:color w:val="171717"/>
          <w:sz w:val="22"/>
          <w:szCs w:val="22"/>
        </w:rPr>
        <w:t>identification code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linking their survey response to the seed participant by whom they were referred. These referral </w:t>
      </w:r>
      <w:r>
        <w:rPr>
          <w:rFonts w:ascii="Arial" w:hAnsi="Arial" w:cs="Arial"/>
          <w:color w:val="171717"/>
          <w:sz w:val="22"/>
          <w:szCs w:val="22"/>
        </w:rPr>
        <w:t>identification codes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are captured in REDCap and invisible to participants to maintain anonymity. Compensation will be issued</w:t>
      </w:r>
      <w:r>
        <w:rPr>
          <w:rFonts w:ascii="Arial" w:hAnsi="Arial" w:cs="Arial"/>
          <w:color w:val="171717"/>
          <w:sz w:val="22"/>
          <w:szCs w:val="22"/>
        </w:rPr>
        <w:t xml:space="preserve"> to referred participants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only if</w:t>
      </w:r>
      <w:r>
        <w:rPr>
          <w:rFonts w:ascii="Arial" w:hAnsi="Arial" w:cs="Arial"/>
          <w:color w:val="171717"/>
          <w:sz w:val="22"/>
          <w:szCs w:val="22"/>
        </w:rPr>
        <w:t xml:space="preserve"> the unique referral code matches that of the seed participant who referred them into the study.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  </w:t>
      </w:r>
    </w:p>
    <w:p w14:paraId="4F8CF30E" w14:textId="77777777" w:rsidR="00540CA8" w:rsidRPr="008A66BD" w:rsidRDefault="00540CA8" w:rsidP="00540CA8">
      <w:pPr>
        <w:pStyle w:val="Default"/>
        <w:numPr>
          <w:ilvl w:val="0"/>
          <w:numId w:val="1"/>
        </w:numPr>
        <w:ind w:left="36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I</w:t>
      </w:r>
      <w:r>
        <w:rPr>
          <w:rFonts w:ascii="Arial" w:hAnsi="Arial" w:cs="Arial"/>
          <w:color w:val="171717"/>
          <w:sz w:val="22"/>
          <w:szCs w:val="22"/>
        </w:rPr>
        <w:t>nternet Protocol (IP)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address review</w:t>
      </w:r>
    </w:p>
    <w:p w14:paraId="6D553188" w14:textId="77777777" w:rsidR="00540CA8" w:rsidRPr="008A66BD" w:rsidRDefault="00540CA8" w:rsidP="00540CA8">
      <w:pPr>
        <w:pStyle w:val="Default"/>
        <w:numPr>
          <w:ilvl w:val="1"/>
          <w:numId w:val="1"/>
        </w:numPr>
        <w:ind w:left="72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 xml:space="preserve">Duplicate or multiple IP addresses </w:t>
      </w:r>
    </w:p>
    <w:p w14:paraId="785A1940" w14:textId="77777777" w:rsidR="00540CA8" w:rsidRPr="008A66BD" w:rsidRDefault="00540CA8" w:rsidP="00540CA8">
      <w:pPr>
        <w:pStyle w:val="Default"/>
        <w:numPr>
          <w:ilvl w:val="2"/>
          <w:numId w:val="1"/>
        </w:numPr>
        <w:ind w:left="108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IP addresses from recruitment spaces will be captured with a ‘sample’ survey taken by the co-principal investigator prior to targeted recruitment. This IP address will be documented to prevent unjust removal of responses.</w:t>
      </w:r>
    </w:p>
    <w:p w14:paraId="3387AD5A" w14:textId="77777777" w:rsidR="00540CA8" w:rsidRPr="008A66BD" w:rsidRDefault="00540CA8" w:rsidP="00540CA8">
      <w:pPr>
        <w:pStyle w:val="Default"/>
        <w:numPr>
          <w:ilvl w:val="1"/>
          <w:numId w:val="1"/>
        </w:numPr>
        <w:ind w:left="810"/>
        <w:jc w:val="both"/>
        <w:rPr>
          <w:rFonts w:ascii="Arial" w:hAnsi="Arial" w:cs="Arial"/>
          <w:color w:val="171717"/>
          <w:sz w:val="22"/>
          <w:szCs w:val="22"/>
        </w:rPr>
      </w:pPr>
      <w:r w:rsidRPr="008A66BD">
        <w:rPr>
          <w:rFonts w:ascii="Arial" w:hAnsi="Arial" w:cs="Arial"/>
          <w:color w:val="171717"/>
          <w:sz w:val="22"/>
          <w:szCs w:val="22"/>
        </w:rPr>
        <w:t>IP address location is outside of United States</w:t>
      </w:r>
    </w:p>
    <w:p w14:paraId="77122E55" w14:textId="77777777" w:rsidR="00540CA8" w:rsidRPr="008A66BD" w:rsidRDefault="00540CA8" w:rsidP="00540CA8">
      <w:pPr>
        <w:pStyle w:val="Default"/>
        <w:ind w:left="360"/>
        <w:jc w:val="both"/>
        <w:rPr>
          <w:rFonts w:ascii="Arial" w:hAnsi="Arial" w:cs="Arial"/>
          <w:color w:val="171717"/>
          <w:sz w:val="22"/>
          <w:szCs w:val="22"/>
        </w:rPr>
      </w:pPr>
    </w:p>
    <w:p w14:paraId="0F886E84" w14:textId="77777777" w:rsidR="00540CA8" w:rsidRPr="008A66BD" w:rsidRDefault="00540CA8" w:rsidP="00540CA8">
      <w:pPr>
        <w:pStyle w:val="Default"/>
        <w:ind w:left="360"/>
        <w:jc w:val="both"/>
        <w:rPr>
          <w:rFonts w:ascii="Arial" w:hAnsi="Arial" w:cs="Arial"/>
          <w:color w:val="171717"/>
          <w:sz w:val="22"/>
          <w:szCs w:val="22"/>
        </w:rPr>
      </w:pPr>
      <w:r>
        <w:rPr>
          <w:rFonts w:ascii="Arial" w:hAnsi="Arial" w:cs="Arial"/>
          <w:color w:val="171717"/>
          <w:sz w:val="22"/>
          <w:szCs w:val="22"/>
        </w:rPr>
        <w:t>T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he chart below </w:t>
      </w:r>
      <w:r>
        <w:rPr>
          <w:rFonts w:ascii="Arial" w:hAnsi="Arial" w:cs="Arial"/>
          <w:color w:val="171717"/>
          <w:sz w:val="22"/>
          <w:szCs w:val="22"/>
        </w:rPr>
        <w:t xml:space="preserve">will be used 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to document and take appropriate action based on the number and severity of validity flags for each </w:t>
      </w:r>
      <w:r>
        <w:rPr>
          <w:rFonts w:ascii="Arial" w:hAnsi="Arial" w:cs="Arial"/>
          <w:color w:val="171717"/>
          <w:sz w:val="22"/>
          <w:szCs w:val="22"/>
        </w:rPr>
        <w:t xml:space="preserve">completed survey.  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If a </w:t>
      </w:r>
      <w:r>
        <w:rPr>
          <w:rFonts w:ascii="Arial" w:hAnsi="Arial" w:cs="Arial"/>
          <w:color w:val="171717"/>
          <w:sz w:val="22"/>
          <w:szCs w:val="22"/>
        </w:rPr>
        <w:t>survey</w:t>
      </w:r>
      <w:r w:rsidRPr="008A66BD">
        <w:rPr>
          <w:rFonts w:ascii="Arial" w:hAnsi="Arial" w:cs="Arial"/>
          <w:color w:val="171717"/>
          <w:sz w:val="22"/>
          <w:szCs w:val="22"/>
        </w:rPr>
        <w:t xml:space="preserve"> is assigned 6 or more points, it will be flagged for removal and a subsequent email will be sent notifying the participant.</w:t>
      </w:r>
    </w:p>
    <w:p w14:paraId="00046658" w14:textId="77777777" w:rsidR="00540CA8" w:rsidRPr="008A66BD" w:rsidRDefault="00540CA8" w:rsidP="00540CA8">
      <w:pPr>
        <w:pStyle w:val="Default"/>
        <w:ind w:left="360"/>
        <w:jc w:val="both"/>
        <w:rPr>
          <w:rFonts w:ascii="Arial" w:hAnsi="Arial" w:cs="Arial"/>
          <w:color w:val="171717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2980"/>
        <w:gridCol w:w="2912"/>
      </w:tblGrid>
      <w:tr w:rsidR="00540CA8" w:rsidRPr="008A66BD" w14:paraId="4F6F70F7" w14:textId="77777777" w:rsidTr="008021D7">
        <w:tc>
          <w:tcPr>
            <w:tcW w:w="2978" w:type="dxa"/>
            <w:shd w:val="clear" w:color="auto" w:fill="E7E6E6"/>
          </w:tcPr>
          <w:p w14:paraId="43D6EDC6" w14:textId="77777777" w:rsidR="00540CA8" w:rsidRPr="008A66BD" w:rsidRDefault="00540CA8" w:rsidP="008021D7">
            <w:pPr>
              <w:pStyle w:val="Default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8A66BD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Validity Item</w:t>
            </w:r>
          </w:p>
        </w:tc>
        <w:tc>
          <w:tcPr>
            <w:tcW w:w="2980" w:type="dxa"/>
            <w:shd w:val="clear" w:color="auto" w:fill="E7E6E6"/>
          </w:tcPr>
          <w:p w14:paraId="276C9A6D" w14:textId="77777777" w:rsidR="00540CA8" w:rsidRPr="008A66BD" w:rsidRDefault="00540CA8" w:rsidP="008021D7">
            <w:pPr>
              <w:pStyle w:val="Default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8A66BD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Validation Flag</w:t>
            </w:r>
          </w:p>
        </w:tc>
        <w:tc>
          <w:tcPr>
            <w:tcW w:w="2912" w:type="dxa"/>
            <w:shd w:val="clear" w:color="auto" w:fill="E7E6E6"/>
          </w:tcPr>
          <w:p w14:paraId="0C6D129B" w14:textId="77777777" w:rsidR="00540CA8" w:rsidRPr="008A66BD" w:rsidRDefault="00540CA8" w:rsidP="008021D7">
            <w:pPr>
              <w:pStyle w:val="Default"/>
              <w:jc w:val="center"/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</w:pPr>
            <w:r w:rsidRPr="008A66BD">
              <w:rPr>
                <w:rFonts w:ascii="Arial" w:hAnsi="Arial" w:cs="Arial"/>
                <w:b/>
                <w:bCs/>
                <w:color w:val="0D0D0D"/>
                <w:sz w:val="22"/>
                <w:szCs w:val="22"/>
              </w:rPr>
              <w:t>Action</w:t>
            </w:r>
          </w:p>
        </w:tc>
      </w:tr>
      <w:tr w:rsidR="00540CA8" w:rsidRPr="008A66BD" w14:paraId="2DFA75B8" w14:textId="77777777" w:rsidTr="008021D7">
        <w:tc>
          <w:tcPr>
            <w:tcW w:w="2978" w:type="dxa"/>
            <w:shd w:val="clear" w:color="auto" w:fill="auto"/>
          </w:tcPr>
          <w:p w14:paraId="014D9777" w14:textId="77777777" w:rsidR="00540CA8" w:rsidRPr="008A469A" w:rsidRDefault="00540CA8" w:rsidP="00540CA8">
            <w:pPr>
              <w:pStyle w:val="Default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Proper response to attention check screener items</w:t>
            </w:r>
          </w:p>
        </w:tc>
        <w:tc>
          <w:tcPr>
            <w:tcW w:w="2980" w:type="dxa"/>
            <w:shd w:val="clear" w:color="auto" w:fill="auto"/>
          </w:tcPr>
          <w:p w14:paraId="18B85AA5" w14:textId="77777777" w:rsidR="00540CA8" w:rsidRPr="008A469A" w:rsidRDefault="00540CA8" w:rsidP="00540CA8">
            <w:pPr>
              <w:pStyle w:val="Default"/>
              <w:numPr>
                <w:ilvl w:val="0"/>
                <w:numId w:val="5"/>
              </w:numPr>
              <w:ind w:left="87" w:hanging="87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Incorrect response to 1 or more items</w:t>
            </w:r>
          </w:p>
        </w:tc>
        <w:tc>
          <w:tcPr>
            <w:tcW w:w="2912" w:type="dxa"/>
            <w:shd w:val="clear" w:color="auto" w:fill="auto"/>
          </w:tcPr>
          <w:p w14:paraId="737A1813" w14:textId="77777777" w:rsidR="00540CA8" w:rsidRPr="008A469A" w:rsidRDefault="00540CA8" w:rsidP="008021D7">
            <w:pPr>
              <w:pStyle w:val="Default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 xml:space="preserve">1 point issued for each incorrect response (up to 4 points total) </w:t>
            </w:r>
          </w:p>
        </w:tc>
      </w:tr>
      <w:tr w:rsidR="00540CA8" w:rsidRPr="008A66BD" w14:paraId="7E2F0D36" w14:textId="77777777" w:rsidTr="008021D7">
        <w:tc>
          <w:tcPr>
            <w:tcW w:w="2978" w:type="dxa"/>
            <w:shd w:val="clear" w:color="auto" w:fill="auto"/>
          </w:tcPr>
          <w:p w14:paraId="7C82E9C8" w14:textId="77777777" w:rsidR="00540CA8" w:rsidRPr="008A469A" w:rsidRDefault="00540CA8" w:rsidP="00540CA8">
            <w:pPr>
              <w:pStyle w:val="Default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Survey response time</w:t>
            </w:r>
          </w:p>
        </w:tc>
        <w:tc>
          <w:tcPr>
            <w:tcW w:w="2980" w:type="dxa"/>
            <w:shd w:val="clear" w:color="auto" w:fill="auto"/>
          </w:tcPr>
          <w:p w14:paraId="454FAAF9" w14:textId="77777777" w:rsidR="00540CA8" w:rsidRPr="008A469A" w:rsidRDefault="00540CA8" w:rsidP="00540CA8">
            <w:pPr>
              <w:pStyle w:val="Default"/>
              <w:numPr>
                <w:ilvl w:val="0"/>
                <w:numId w:val="4"/>
              </w:numPr>
              <w:ind w:left="87" w:hanging="87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Less than 10 minutes</w:t>
            </w:r>
          </w:p>
        </w:tc>
        <w:tc>
          <w:tcPr>
            <w:tcW w:w="2912" w:type="dxa"/>
            <w:shd w:val="clear" w:color="auto" w:fill="auto"/>
          </w:tcPr>
          <w:p w14:paraId="1C5EDC1D" w14:textId="77777777" w:rsidR="00540CA8" w:rsidRPr="008A469A" w:rsidRDefault="00540CA8" w:rsidP="008021D7">
            <w:pPr>
              <w:pStyle w:val="Default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1 point issued</w:t>
            </w:r>
          </w:p>
        </w:tc>
      </w:tr>
      <w:tr w:rsidR="00540CA8" w:rsidRPr="008A66BD" w14:paraId="7F5843D1" w14:textId="77777777" w:rsidTr="008021D7">
        <w:tc>
          <w:tcPr>
            <w:tcW w:w="2978" w:type="dxa"/>
            <w:shd w:val="clear" w:color="auto" w:fill="auto"/>
          </w:tcPr>
          <w:p w14:paraId="6E1AD829" w14:textId="77777777" w:rsidR="00540CA8" w:rsidRPr="008A469A" w:rsidRDefault="00540CA8" w:rsidP="00540CA8">
            <w:pPr>
              <w:pStyle w:val="Default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Compensation email address</w:t>
            </w:r>
          </w:p>
        </w:tc>
        <w:tc>
          <w:tcPr>
            <w:tcW w:w="2980" w:type="dxa"/>
            <w:shd w:val="clear" w:color="auto" w:fill="auto"/>
          </w:tcPr>
          <w:p w14:paraId="16E38D5D" w14:textId="77777777" w:rsidR="00540CA8" w:rsidRPr="008A469A" w:rsidRDefault="00540CA8" w:rsidP="00540CA8">
            <w:pPr>
              <w:pStyle w:val="Default"/>
              <w:numPr>
                <w:ilvl w:val="0"/>
                <w:numId w:val="3"/>
              </w:numPr>
              <w:ind w:left="87" w:hanging="87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Repeat emails</w:t>
            </w:r>
          </w:p>
          <w:p w14:paraId="32B2F4FD" w14:textId="77777777" w:rsidR="00540CA8" w:rsidRPr="008A469A" w:rsidRDefault="00540CA8" w:rsidP="00540CA8">
            <w:pPr>
              <w:pStyle w:val="Default"/>
              <w:numPr>
                <w:ilvl w:val="0"/>
                <w:numId w:val="3"/>
              </w:numPr>
              <w:ind w:left="87" w:hanging="87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Same email with different domains</w:t>
            </w:r>
          </w:p>
        </w:tc>
        <w:tc>
          <w:tcPr>
            <w:tcW w:w="2912" w:type="dxa"/>
            <w:shd w:val="clear" w:color="auto" w:fill="auto"/>
          </w:tcPr>
          <w:p w14:paraId="166D5D56" w14:textId="77777777" w:rsidR="00540CA8" w:rsidRPr="008A469A" w:rsidRDefault="00540CA8" w:rsidP="00540CA8">
            <w:pPr>
              <w:pStyle w:val="Default"/>
              <w:numPr>
                <w:ilvl w:val="0"/>
                <w:numId w:val="3"/>
              </w:numPr>
              <w:ind w:left="103" w:hanging="103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First valid response accepted</w:t>
            </w:r>
          </w:p>
          <w:p w14:paraId="7CA27465" w14:textId="77777777" w:rsidR="00540CA8" w:rsidRPr="008A469A" w:rsidRDefault="00540CA8" w:rsidP="00540CA8">
            <w:pPr>
              <w:pStyle w:val="Default"/>
              <w:numPr>
                <w:ilvl w:val="0"/>
                <w:numId w:val="3"/>
              </w:numPr>
              <w:ind w:left="103" w:hanging="103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Remaining responses discarded; email notification sent to email listed in compensation field of response set.</w:t>
            </w:r>
          </w:p>
        </w:tc>
      </w:tr>
      <w:tr w:rsidR="00540CA8" w:rsidRPr="008A66BD" w14:paraId="482BBEB1" w14:textId="77777777" w:rsidTr="008021D7">
        <w:tc>
          <w:tcPr>
            <w:tcW w:w="2978" w:type="dxa"/>
            <w:shd w:val="clear" w:color="auto" w:fill="auto"/>
          </w:tcPr>
          <w:p w14:paraId="782EB650" w14:textId="77777777" w:rsidR="00540CA8" w:rsidRPr="008A469A" w:rsidRDefault="00540CA8" w:rsidP="00540CA8">
            <w:pPr>
              <w:pStyle w:val="Default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Referral ID validation</w:t>
            </w:r>
          </w:p>
        </w:tc>
        <w:tc>
          <w:tcPr>
            <w:tcW w:w="2980" w:type="dxa"/>
            <w:shd w:val="clear" w:color="auto" w:fill="auto"/>
          </w:tcPr>
          <w:p w14:paraId="331511FA" w14:textId="77777777" w:rsidR="00540CA8" w:rsidRPr="008A469A" w:rsidRDefault="00540CA8" w:rsidP="00540CA8">
            <w:pPr>
              <w:pStyle w:val="Default"/>
              <w:numPr>
                <w:ilvl w:val="0"/>
                <w:numId w:val="3"/>
              </w:numPr>
              <w:ind w:left="87" w:hanging="87"/>
              <w:rPr>
                <w:rFonts w:ascii="Arial" w:hAnsi="Arial" w:cs="Arial"/>
                <w:color w:val="0D0D0D"/>
                <w:sz w:val="22"/>
                <w:szCs w:val="22"/>
              </w:rPr>
            </w:pPr>
            <w:r>
              <w:rPr>
                <w:rFonts w:ascii="Arial" w:hAnsi="Arial" w:cs="Arial"/>
                <w:color w:val="0D0D0D"/>
                <w:sz w:val="22"/>
                <w:szCs w:val="22"/>
              </w:rPr>
              <w:t>Referral code unavailable or untraceable to a seed participant</w:t>
            </w:r>
          </w:p>
        </w:tc>
        <w:tc>
          <w:tcPr>
            <w:tcW w:w="2912" w:type="dxa"/>
            <w:shd w:val="clear" w:color="auto" w:fill="auto"/>
          </w:tcPr>
          <w:p w14:paraId="4A5F617C" w14:textId="77777777" w:rsidR="00540CA8" w:rsidRPr="008A469A" w:rsidRDefault="00540CA8" w:rsidP="00540CA8">
            <w:pPr>
              <w:pStyle w:val="Default"/>
              <w:numPr>
                <w:ilvl w:val="0"/>
                <w:numId w:val="3"/>
              </w:numPr>
              <w:ind w:left="103" w:hanging="103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 xml:space="preserve">1 point issued for </w:t>
            </w:r>
            <w:r>
              <w:rPr>
                <w:rFonts w:ascii="Arial" w:hAnsi="Arial" w:cs="Arial"/>
                <w:color w:val="0D0D0D"/>
                <w:sz w:val="22"/>
                <w:szCs w:val="22"/>
              </w:rPr>
              <w:t>unavailable or untraceable referral code</w:t>
            </w:r>
          </w:p>
        </w:tc>
      </w:tr>
      <w:tr w:rsidR="00540CA8" w:rsidRPr="008A66BD" w14:paraId="53B721A4" w14:textId="77777777" w:rsidTr="008021D7">
        <w:tc>
          <w:tcPr>
            <w:tcW w:w="2978" w:type="dxa"/>
            <w:shd w:val="clear" w:color="auto" w:fill="auto"/>
          </w:tcPr>
          <w:p w14:paraId="513F74AD" w14:textId="77777777" w:rsidR="00540CA8" w:rsidRPr="008A469A" w:rsidRDefault="00540CA8" w:rsidP="00540CA8">
            <w:pPr>
              <w:pStyle w:val="Default"/>
              <w:numPr>
                <w:ilvl w:val="0"/>
                <w:numId w:val="2"/>
              </w:numPr>
              <w:ind w:left="264" w:hanging="264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IP address review</w:t>
            </w:r>
          </w:p>
        </w:tc>
        <w:tc>
          <w:tcPr>
            <w:tcW w:w="2980" w:type="dxa"/>
            <w:shd w:val="clear" w:color="auto" w:fill="auto"/>
          </w:tcPr>
          <w:p w14:paraId="0A6BEBAA" w14:textId="77777777" w:rsidR="00540CA8" w:rsidRPr="008A469A" w:rsidRDefault="00540CA8" w:rsidP="00540CA8">
            <w:pPr>
              <w:pStyle w:val="Default"/>
              <w:numPr>
                <w:ilvl w:val="0"/>
                <w:numId w:val="3"/>
              </w:numPr>
              <w:ind w:left="87" w:hanging="87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IP address located outside of the United States</w:t>
            </w:r>
          </w:p>
        </w:tc>
        <w:tc>
          <w:tcPr>
            <w:tcW w:w="2912" w:type="dxa"/>
            <w:shd w:val="clear" w:color="auto" w:fill="auto"/>
          </w:tcPr>
          <w:p w14:paraId="693C91ED" w14:textId="77777777" w:rsidR="00540CA8" w:rsidRPr="008A469A" w:rsidRDefault="00540CA8" w:rsidP="008021D7">
            <w:pPr>
              <w:pStyle w:val="Default"/>
              <w:rPr>
                <w:rFonts w:ascii="Arial" w:hAnsi="Arial" w:cs="Arial"/>
                <w:color w:val="0D0D0D"/>
                <w:sz w:val="22"/>
                <w:szCs w:val="22"/>
              </w:rPr>
            </w:pPr>
            <w:r w:rsidRPr="008A469A">
              <w:rPr>
                <w:rFonts w:ascii="Arial" w:hAnsi="Arial" w:cs="Arial"/>
                <w:color w:val="0D0D0D"/>
                <w:sz w:val="22"/>
                <w:szCs w:val="22"/>
              </w:rPr>
              <w:t>Participant and associated data removed from database; participant notified via email</w:t>
            </w:r>
          </w:p>
        </w:tc>
      </w:tr>
    </w:tbl>
    <w:p w14:paraId="505927AB" w14:textId="77777777" w:rsidR="00540CA8" w:rsidRDefault="00540CA8"/>
    <w:sectPr w:rsidR="00540CA8" w:rsidSect="00FD5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A57"/>
    <w:multiLevelType w:val="hybridMultilevel"/>
    <w:tmpl w:val="BAACCA82"/>
    <w:lvl w:ilvl="0" w:tplc="AD843F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90086"/>
    <w:multiLevelType w:val="hybridMultilevel"/>
    <w:tmpl w:val="1296677E"/>
    <w:lvl w:ilvl="0" w:tplc="E1FE6F6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C1F12"/>
    <w:multiLevelType w:val="hybridMultilevel"/>
    <w:tmpl w:val="6D6C38A0"/>
    <w:lvl w:ilvl="0" w:tplc="A82ACB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C71"/>
    <w:multiLevelType w:val="hybridMultilevel"/>
    <w:tmpl w:val="2A460F9C"/>
    <w:lvl w:ilvl="0" w:tplc="AF2E107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07E43"/>
    <w:multiLevelType w:val="hybridMultilevel"/>
    <w:tmpl w:val="8260219C"/>
    <w:lvl w:ilvl="0" w:tplc="834EA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0026709">
    <w:abstractNumId w:val="2"/>
  </w:num>
  <w:num w:numId="2" w16cid:durableId="1944074438">
    <w:abstractNumId w:val="4"/>
  </w:num>
  <w:num w:numId="3" w16cid:durableId="1249076835">
    <w:abstractNumId w:val="1"/>
  </w:num>
  <w:num w:numId="4" w16cid:durableId="1069231100">
    <w:abstractNumId w:val="3"/>
  </w:num>
  <w:num w:numId="5" w16cid:durableId="6024231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B34"/>
    <w:rsid w:val="000160C8"/>
    <w:rsid w:val="00030BD1"/>
    <w:rsid w:val="00060D9F"/>
    <w:rsid w:val="00075124"/>
    <w:rsid w:val="0009588E"/>
    <w:rsid w:val="000B7E2A"/>
    <w:rsid w:val="000C559C"/>
    <w:rsid w:val="000E7A08"/>
    <w:rsid w:val="000F0481"/>
    <w:rsid w:val="00114490"/>
    <w:rsid w:val="00122408"/>
    <w:rsid w:val="00126D37"/>
    <w:rsid w:val="0013683C"/>
    <w:rsid w:val="00140F46"/>
    <w:rsid w:val="0014215B"/>
    <w:rsid w:val="00142E55"/>
    <w:rsid w:val="001761D2"/>
    <w:rsid w:val="001A751B"/>
    <w:rsid w:val="001E14AB"/>
    <w:rsid w:val="00200BDD"/>
    <w:rsid w:val="00201095"/>
    <w:rsid w:val="00207139"/>
    <w:rsid w:val="0021360D"/>
    <w:rsid w:val="00214FB4"/>
    <w:rsid w:val="00254D38"/>
    <w:rsid w:val="002604E1"/>
    <w:rsid w:val="002906DF"/>
    <w:rsid w:val="002C4FA5"/>
    <w:rsid w:val="00304B73"/>
    <w:rsid w:val="00322B34"/>
    <w:rsid w:val="003337AF"/>
    <w:rsid w:val="00333E9A"/>
    <w:rsid w:val="00342FAD"/>
    <w:rsid w:val="00361271"/>
    <w:rsid w:val="0037592C"/>
    <w:rsid w:val="00414C86"/>
    <w:rsid w:val="00455524"/>
    <w:rsid w:val="004564A1"/>
    <w:rsid w:val="00464B1A"/>
    <w:rsid w:val="0049050B"/>
    <w:rsid w:val="004D0C23"/>
    <w:rsid w:val="004F396E"/>
    <w:rsid w:val="00540CA8"/>
    <w:rsid w:val="00596D02"/>
    <w:rsid w:val="005C2288"/>
    <w:rsid w:val="005E3E1A"/>
    <w:rsid w:val="00643080"/>
    <w:rsid w:val="006727C8"/>
    <w:rsid w:val="006A5CEC"/>
    <w:rsid w:val="006A6F8D"/>
    <w:rsid w:val="006B0BBF"/>
    <w:rsid w:val="006C763B"/>
    <w:rsid w:val="006F42F7"/>
    <w:rsid w:val="00723769"/>
    <w:rsid w:val="00764FDA"/>
    <w:rsid w:val="00774CA9"/>
    <w:rsid w:val="0078414D"/>
    <w:rsid w:val="007A4F3A"/>
    <w:rsid w:val="007B1FC6"/>
    <w:rsid w:val="007B2DB4"/>
    <w:rsid w:val="007B5358"/>
    <w:rsid w:val="007E3C3B"/>
    <w:rsid w:val="007F1C65"/>
    <w:rsid w:val="00802DB8"/>
    <w:rsid w:val="00812542"/>
    <w:rsid w:val="00823C31"/>
    <w:rsid w:val="008378BF"/>
    <w:rsid w:val="00844A77"/>
    <w:rsid w:val="00891FFB"/>
    <w:rsid w:val="00893392"/>
    <w:rsid w:val="008A0D37"/>
    <w:rsid w:val="008B149D"/>
    <w:rsid w:val="008B19D3"/>
    <w:rsid w:val="008E21C8"/>
    <w:rsid w:val="008E775F"/>
    <w:rsid w:val="00912A6D"/>
    <w:rsid w:val="009325AE"/>
    <w:rsid w:val="009566B3"/>
    <w:rsid w:val="009B1585"/>
    <w:rsid w:val="009D03AB"/>
    <w:rsid w:val="009F1AD2"/>
    <w:rsid w:val="00A069C3"/>
    <w:rsid w:val="00A429E7"/>
    <w:rsid w:val="00A43DE2"/>
    <w:rsid w:val="00A6707C"/>
    <w:rsid w:val="00A94CDF"/>
    <w:rsid w:val="00AA65FF"/>
    <w:rsid w:val="00AB258F"/>
    <w:rsid w:val="00AB4BD2"/>
    <w:rsid w:val="00AE4C16"/>
    <w:rsid w:val="00B30DEE"/>
    <w:rsid w:val="00B401EA"/>
    <w:rsid w:val="00B60764"/>
    <w:rsid w:val="00B75179"/>
    <w:rsid w:val="00B84D74"/>
    <w:rsid w:val="00BE7148"/>
    <w:rsid w:val="00BE792C"/>
    <w:rsid w:val="00C00C2F"/>
    <w:rsid w:val="00C26A2D"/>
    <w:rsid w:val="00C30CB6"/>
    <w:rsid w:val="00C6201A"/>
    <w:rsid w:val="00C71480"/>
    <w:rsid w:val="00C76C4A"/>
    <w:rsid w:val="00C87B99"/>
    <w:rsid w:val="00CA5617"/>
    <w:rsid w:val="00CA7365"/>
    <w:rsid w:val="00CC1B08"/>
    <w:rsid w:val="00CD3FE0"/>
    <w:rsid w:val="00CF5471"/>
    <w:rsid w:val="00D24D39"/>
    <w:rsid w:val="00D46CFA"/>
    <w:rsid w:val="00D678D7"/>
    <w:rsid w:val="00D749E9"/>
    <w:rsid w:val="00D81E72"/>
    <w:rsid w:val="00D95642"/>
    <w:rsid w:val="00DB46E6"/>
    <w:rsid w:val="00DD3BCB"/>
    <w:rsid w:val="00DD5F90"/>
    <w:rsid w:val="00E00A68"/>
    <w:rsid w:val="00E50DBD"/>
    <w:rsid w:val="00E517F6"/>
    <w:rsid w:val="00E548C9"/>
    <w:rsid w:val="00E93525"/>
    <w:rsid w:val="00EA067E"/>
    <w:rsid w:val="00EC014B"/>
    <w:rsid w:val="00ED4145"/>
    <w:rsid w:val="00EE5921"/>
    <w:rsid w:val="00EE70BD"/>
    <w:rsid w:val="00EF5CAF"/>
    <w:rsid w:val="00F0402B"/>
    <w:rsid w:val="00F22805"/>
    <w:rsid w:val="00F379E6"/>
    <w:rsid w:val="00F50FD8"/>
    <w:rsid w:val="00F76A52"/>
    <w:rsid w:val="00F86C09"/>
    <w:rsid w:val="00FA3785"/>
    <w:rsid w:val="00FA3B90"/>
    <w:rsid w:val="00FB38AC"/>
    <w:rsid w:val="00FC166A"/>
    <w:rsid w:val="00FD5683"/>
    <w:rsid w:val="00FE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65594"/>
  <w15:chartTrackingRefBased/>
  <w15:docId w15:val="{C3A6D531-CED1-934F-9CC8-627DEC4D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540CA8"/>
    <w:rPr>
      <w:sz w:val="16"/>
      <w:szCs w:val="16"/>
    </w:rPr>
  </w:style>
  <w:style w:type="paragraph" w:customStyle="1" w:styleId="Default">
    <w:name w:val="Default"/>
    <w:link w:val="DefaultChar"/>
    <w:rsid w:val="00540CA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character" w:customStyle="1" w:styleId="DefaultChar">
    <w:name w:val="Default Char"/>
    <w:link w:val="Default"/>
    <w:rsid w:val="00540CA8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Martez Smith</dc:creator>
  <cp:keywords/>
  <dc:description/>
  <cp:lastModifiedBy>Martez Smith</cp:lastModifiedBy>
  <cp:revision>3</cp:revision>
  <dcterms:created xsi:type="dcterms:W3CDTF">2022-09-28T13:05:00Z</dcterms:created>
  <dcterms:modified xsi:type="dcterms:W3CDTF">2022-09-28T13:15:00Z</dcterms:modified>
</cp:coreProperties>
</file>