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CA118" w14:textId="21B043F0" w:rsidR="00B74B4F" w:rsidRDefault="00A10FFE" w:rsidP="00B74B4F">
      <w:pPr>
        <w:pStyle w:val="Heading1"/>
      </w:pPr>
      <w:r w:rsidRPr="009F1832">
        <w:t xml:space="preserve">Supporting information 3 </w:t>
      </w:r>
    </w:p>
    <w:p w14:paraId="022B0138" w14:textId="5D6423D2" w:rsidR="00B74B4F" w:rsidRPr="00B74B4F" w:rsidRDefault="00B74B4F" w:rsidP="00B74B4F">
      <w:pPr>
        <w:pStyle w:val="Title"/>
      </w:pPr>
      <w:r w:rsidRPr="00B74B4F">
        <w:t>Additional data and figures</w:t>
      </w:r>
    </w:p>
    <w:p w14:paraId="7873B698" w14:textId="69A397F1" w:rsidR="00807340" w:rsidRPr="009F1832" w:rsidRDefault="00807340" w:rsidP="00807340">
      <w:pPr>
        <w:pStyle w:val="Heading1"/>
      </w:pPr>
    </w:p>
    <w:p w14:paraId="2ED028E8" w14:textId="6AE5F873" w:rsidR="0010618A" w:rsidRPr="009F1832" w:rsidRDefault="004B3549" w:rsidP="004B3549">
      <w:pPr>
        <w:pStyle w:val="Caption"/>
        <w:rPr>
          <w:rFonts w:eastAsiaTheme="minorEastAsia"/>
          <w:b/>
        </w:rPr>
      </w:pPr>
      <w:r w:rsidRPr="004B3549">
        <w:rPr>
          <w:b/>
          <w:bCs/>
        </w:rPr>
        <w:t xml:space="preserve">S3 Table </w:t>
      </w:r>
      <w:r w:rsidRPr="004B3549">
        <w:rPr>
          <w:b/>
          <w:bCs/>
        </w:rPr>
        <w:fldChar w:fldCharType="begin"/>
      </w:r>
      <w:r w:rsidRPr="004B3549">
        <w:rPr>
          <w:b/>
          <w:bCs/>
        </w:rPr>
        <w:instrText xml:space="preserve"> SEQ Table \* ARABIC </w:instrText>
      </w:r>
      <w:r w:rsidRPr="004B3549">
        <w:rPr>
          <w:b/>
          <w:bCs/>
        </w:rPr>
        <w:fldChar w:fldCharType="separate"/>
      </w:r>
      <w:r w:rsidRPr="004B3549">
        <w:rPr>
          <w:b/>
          <w:bCs/>
          <w:noProof/>
        </w:rPr>
        <w:t>1</w:t>
      </w:r>
      <w:r w:rsidRPr="004B3549">
        <w:rPr>
          <w:b/>
          <w:bCs/>
        </w:rPr>
        <w:fldChar w:fldCharType="end"/>
      </w:r>
      <w:r w:rsidRPr="004B3549">
        <w:rPr>
          <w:b/>
          <w:bCs/>
        </w:rPr>
        <w:t xml:space="preserve">: </w:t>
      </w:r>
      <w:r w:rsidRPr="009F1832">
        <w:rPr>
          <w:b/>
          <w:bCs/>
        </w:rPr>
        <w:t xml:space="preserve">Observed ABC target summary statistics. </w:t>
      </w:r>
    </w:p>
    <w:tbl>
      <w:tblPr>
        <w:tblStyle w:val="TableGrid"/>
        <w:tblW w:w="5280" w:type="dxa"/>
        <w:tblLayout w:type="fixed"/>
        <w:tblLook w:val="04A0" w:firstRow="1" w:lastRow="0" w:firstColumn="1" w:lastColumn="0" w:noHBand="0" w:noVBand="1"/>
      </w:tblPr>
      <w:tblGrid>
        <w:gridCol w:w="846"/>
        <w:gridCol w:w="709"/>
        <w:gridCol w:w="1134"/>
        <w:gridCol w:w="2591"/>
      </w:tblGrid>
      <w:tr w:rsidR="0010618A" w:rsidRPr="009F1832" w14:paraId="0C58A8AA" w14:textId="77777777" w:rsidTr="004F6607">
        <w:trPr>
          <w:trHeight w:val="242"/>
        </w:trPr>
        <w:tc>
          <w:tcPr>
            <w:tcW w:w="846" w:type="dxa"/>
          </w:tcPr>
          <w:p w14:paraId="02BE28D2" w14:textId="77777777" w:rsidR="0010618A" w:rsidRPr="009F1832" w:rsidRDefault="0010618A" w:rsidP="004F6607">
            <w:pPr>
              <w:rPr>
                <w:b/>
                <w:sz w:val="18"/>
                <w:szCs w:val="18"/>
              </w:rPr>
            </w:pPr>
            <w:r w:rsidRPr="009F1832">
              <w:rPr>
                <w:b/>
                <w:sz w:val="18"/>
                <w:szCs w:val="18"/>
              </w:rPr>
              <w:t>village</w:t>
            </w:r>
          </w:p>
        </w:tc>
        <w:tc>
          <w:tcPr>
            <w:tcW w:w="709" w:type="dxa"/>
          </w:tcPr>
          <w:p w14:paraId="5430C047" w14:textId="77777777" w:rsidR="0010618A" w:rsidRPr="009F1832" w:rsidRDefault="0010618A" w:rsidP="004F6607">
            <w:pPr>
              <w:rPr>
                <w:b/>
                <w:sz w:val="18"/>
                <w:szCs w:val="18"/>
              </w:rPr>
            </w:pPr>
            <w:r w:rsidRPr="009F1832">
              <w:rPr>
                <w:b/>
                <w:sz w:val="18"/>
                <w:szCs w:val="18"/>
              </w:rPr>
              <w:t>HT</w:t>
            </w:r>
          </w:p>
        </w:tc>
        <w:tc>
          <w:tcPr>
            <w:tcW w:w="1134" w:type="dxa"/>
          </w:tcPr>
          <w:p w14:paraId="6D4D4247" w14:textId="77777777" w:rsidR="0010618A" w:rsidRPr="009F1832" w:rsidRDefault="0010618A" w:rsidP="004F6607">
            <w:pPr>
              <w:rPr>
                <w:b/>
                <w:sz w:val="18"/>
                <w:szCs w:val="18"/>
              </w:rPr>
            </w:pPr>
            <w:r w:rsidRPr="009F1832">
              <w:rPr>
                <w:b/>
                <w:sz w:val="18"/>
                <w:szCs w:val="18"/>
              </w:rPr>
              <w:t>PC</w:t>
            </w:r>
          </w:p>
        </w:tc>
        <w:tc>
          <w:tcPr>
            <w:tcW w:w="2591" w:type="dxa"/>
          </w:tcPr>
          <w:p w14:paraId="47F49082" w14:textId="77777777" w:rsidR="0010618A" w:rsidRPr="009F1832" w:rsidRDefault="0010618A" w:rsidP="004F6607">
            <w:pPr>
              <w:rPr>
                <w:b/>
                <w:sz w:val="18"/>
                <w:szCs w:val="18"/>
              </w:rPr>
            </w:pPr>
            <w:r w:rsidRPr="009F1832">
              <w:rPr>
                <w:b/>
                <w:sz w:val="18"/>
                <w:szCs w:val="18"/>
              </w:rPr>
              <w:t>Number of necropsied pigs</w:t>
            </w:r>
          </w:p>
        </w:tc>
      </w:tr>
      <w:tr w:rsidR="0010618A" w:rsidRPr="009F1832" w14:paraId="7A5FCD40" w14:textId="77777777" w:rsidTr="004F6607">
        <w:trPr>
          <w:trHeight w:val="255"/>
        </w:trPr>
        <w:tc>
          <w:tcPr>
            <w:tcW w:w="846" w:type="dxa"/>
          </w:tcPr>
          <w:p w14:paraId="404B48A4" w14:textId="77777777" w:rsidR="0010618A" w:rsidRPr="009F1832" w:rsidRDefault="0010618A" w:rsidP="004F6607">
            <w:pPr>
              <w:rPr>
                <w:sz w:val="18"/>
                <w:szCs w:val="18"/>
              </w:rPr>
            </w:pPr>
            <w:r w:rsidRPr="009F1832">
              <w:rPr>
                <w:sz w:val="18"/>
                <w:szCs w:val="18"/>
              </w:rPr>
              <w:t>515</w:t>
            </w:r>
          </w:p>
        </w:tc>
        <w:tc>
          <w:tcPr>
            <w:tcW w:w="709" w:type="dxa"/>
          </w:tcPr>
          <w:p w14:paraId="232E8EFA" w14:textId="77777777" w:rsidR="0010618A" w:rsidRPr="009F1832" w:rsidRDefault="0010618A" w:rsidP="004F6607">
            <w:pPr>
              <w:rPr>
                <w:sz w:val="18"/>
                <w:szCs w:val="18"/>
              </w:rPr>
            </w:pPr>
            <w:r w:rsidRPr="009F1832">
              <w:rPr>
                <w:sz w:val="18"/>
                <w:szCs w:val="18"/>
              </w:rPr>
              <w:t>0.024</w:t>
            </w:r>
          </w:p>
        </w:tc>
        <w:tc>
          <w:tcPr>
            <w:tcW w:w="1134" w:type="dxa"/>
          </w:tcPr>
          <w:p w14:paraId="4C2FC6AA" w14:textId="77777777" w:rsidR="0010618A" w:rsidRPr="009F1832" w:rsidRDefault="0010618A" w:rsidP="004F6607">
            <w:pPr>
              <w:rPr>
                <w:sz w:val="18"/>
                <w:szCs w:val="18"/>
              </w:rPr>
            </w:pPr>
            <w:r w:rsidRPr="009F1832">
              <w:rPr>
                <w:sz w:val="18"/>
                <w:szCs w:val="18"/>
              </w:rPr>
              <w:t>0.33</w:t>
            </w:r>
          </w:p>
        </w:tc>
        <w:tc>
          <w:tcPr>
            <w:tcW w:w="2591" w:type="dxa"/>
          </w:tcPr>
          <w:p w14:paraId="5FE54A49" w14:textId="77777777" w:rsidR="0010618A" w:rsidRPr="009F1832" w:rsidRDefault="0010618A" w:rsidP="004F6607">
            <w:pPr>
              <w:rPr>
                <w:sz w:val="18"/>
                <w:szCs w:val="18"/>
              </w:rPr>
            </w:pPr>
            <w:r w:rsidRPr="009F1832">
              <w:rPr>
                <w:sz w:val="18"/>
                <w:szCs w:val="18"/>
              </w:rPr>
              <w:t>17</w:t>
            </w:r>
          </w:p>
        </w:tc>
      </w:tr>
      <w:tr w:rsidR="0010618A" w:rsidRPr="009F1832" w14:paraId="17B32250" w14:textId="77777777" w:rsidTr="004F6607">
        <w:trPr>
          <w:trHeight w:val="242"/>
        </w:trPr>
        <w:tc>
          <w:tcPr>
            <w:tcW w:w="846" w:type="dxa"/>
          </w:tcPr>
          <w:p w14:paraId="4851FE52" w14:textId="77777777" w:rsidR="0010618A" w:rsidRPr="009F1832" w:rsidRDefault="0010618A" w:rsidP="004F6607">
            <w:pPr>
              <w:rPr>
                <w:sz w:val="18"/>
                <w:szCs w:val="18"/>
              </w:rPr>
            </w:pPr>
            <w:r w:rsidRPr="009F1832">
              <w:rPr>
                <w:sz w:val="18"/>
                <w:szCs w:val="18"/>
              </w:rPr>
              <w:t>566</w:t>
            </w:r>
          </w:p>
        </w:tc>
        <w:tc>
          <w:tcPr>
            <w:tcW w:w="709" w:type="dxa"/>
          </w:tcPr>
          <w:p w14:paraId="0C966330" w14:textId="77777777" w:rsidR="0010618A" w:rsidRPr="009F1832" w:rsidRDefault="0010618A" w:rsidP="004F6607">
            <w:pPr>
              <w:rPr>
                <w:sz w:val="18"/>
                <w:szCs w:val="18"/>
              </w:rPr>
            </w:pPr>
            <w:r w:rsidRPr="009F1832">
              <w:rPr>
                <w:sz w:val="18"/>
                <w:szCs w:val="18"/>
              </w:rPr>
              <w:t>0.010</w:t>
            </w:r>
          </w:p>
        </w:tc>
        <w:tc>
          <w:tcPr>
            <w:tcW w:w="1134" w:type="dxa"/>
          </w:tcPr>
          <w:p w14:paraId="0067E249" w14:textId="77777777" w:rsidR="0010618A" w:rsidRPr="009F1832" w:rsidRDefault="0010618A" w:rsidP="004F6607">
            <w:pPr>
              <w:rPr>
                <w:sz w:val="18"/>
                <w:szCs w:val="18"/>
              </w:rPr>
            </w:pPr>
            <w:r w:rsidRPr="009F1832">
              <w:rPr>
                <w:sz w:val="18"/>
                <w:szCs w:val="18"/>
              </w:rPr>
              <w:t>0.15</w:t>
            </w:r>
          </w:p>
        </w:tc>
        <w:tc>
          <w:tcPr>
            <w:tcW w:w="2591" w:type="dxa"/>
          </w:tcPr>
          <w:p w14:paraId="2C60C6B0" w14:textId="77777777" w:rsidR="0010618A" w:rsidRPr="009F1832" w:rsidRDefault="0010618A" w:rsidP="004F6607">
            <w:pPr>
              <w:rPr>
                <w:sz w:val="18"/>
                <w:szCs w:val="18"/>
              </w:rPr>
            </w:pPr>
            <w:r w:rsidRPr="009F1832">
              <w:rPr>
                <w:sz w:val="18"/>
                <w:szCs w:val="18"/>
              </w:rPr>
              <w:t>16</w:t>
            </w:r>
          </w:p>
        </w:tc>
      </w:tr>
      <w:tr w:rsidR="0010618A" w:rsidRPr="009F1832" w14:paraId="43285EEA" w14:textId="77777777" w:rsidTr="004F6607">
        <w:trPr>
          <w:trHeight w:val="255"/>
        </w:trPr>
        <w:tc>
          <w:tcPr>
            <w:tcW w:w="846" w:type="dxa"/>
          </w:tcPr>
          <w:p w14:paraId="4E3806CB" w14:textId="77777777" w:rsidR="0010618A" w:rsidRPr="009F1832" w:rsidRDefault="0010618A" w:rsidP="004F6607">
            <w:pPr>
              <w:rPr>
                <w:sz w:val="18"/>
                <w:szCs w:val="18"/>
              </w:rPr>
            </w:pPr>
            <w:r w:rsidRPr="009F1832">
              <w:rPr>
                <w:sz w:val="18"/>
                <w:szCs w:val="18"/>
              </w:rPr>
              <w:t>567</w:t>
            </w:r>
          </w:p>
        </w:tc>
        <w:tc>
          <w:tcPr>
            <w:tcW w:w="709" w:type="dxa"/>
          </w:tcPr>
          <w:p w14:paraId="56696845" w14:textId="77777777" w:rsidR="0010618A" w:rsidRPr="009F1832" w:rsidRDefault="0010618A" w:rsidP="004F6607">
            <w:pPr>
              <w:rPr>
                <w:sz w:val="18"/>
                <w:szCs w:val="18"/>
              </w:rPr>
            </w:pPr>
            <w:r w:rsidRPr="009F1832">
              <w:rPr>
                <w:sz w:val="18"/>
                <w:szCs w:val="18"/>
              </w:rPr>
              <w:t>0.020</w:t>
            </w:r>
          </w:p>
        </w:tc>
        <w:tc>
          <w:tcPr>
            <w:tcW w:w="1134" w:type="dxa"/>
          </w:tcPr>
          <w:p w14:paraId="24D206B2" w14:textId="77777777" w:rsidR="0010618A" w:rsidRPr="009F1832" w:rsidRDefault="0010618A" w:rsidP="004F6607">
            <w:pPr>
              <w:rPr>
                <w:sz w:val="18"/>
                <w:szCs w:val="18"/>
              </w:rPr>
            </w:pPr>
            <w:r w:rsidRPr="009F1832">
              <w:rPr>
                <w:sz w:val="18"/>
                <w:szCs w:val="18"/>
              </w:rPr>
              <w:t>0.16</w:t>
            </w:r>
          </w:p>
        </w:tc>
        <w:tc>
          <w:tcPr>
            <w:tcW w:w="2591" w:type="dxa"/>
          </w:tcPr>
          <w:p w14:paraId="28579629" w14:textId="77777777" w:rsidR="0010618A" w:rsidRPr="009F1832" w:rsidRDefault="0010618A" w:rsidP="004F6607">
            <w:pPr>
              <w:rPr>
                <w:sz w:val="18"/>
                <w:szCs w:val="18"/>
              </w:rPr>
            </w:pPr>
            <w:r w:rsidRPr="009F1832">
              <w:rPr>
                <w:sz w:val="18"/>
                <w:szCs w:val="18"/>
              </w:rPr>
              <w:t>44</w:t>
            </w:r>
          </w:p>
        </w:tc>
      </w:tr>
    </w:tbl>
    <w:p w14:paraId="7ECDFD70" w14:textId="77777777" w:rsidR="0010618A" w:rsidRPr="009F1832" w:rsidRDefault="0010618A" w:rsidP="0010618A">
      <w:pPr>
        <w:rPr>
          <w:rFonts w:eastAsiaTheme="minorEastAsia"/>
        </w:rPr>
      </w:pPr>
    </w:p>
    <w:tbl>
      <w:tblPr>
        <w:tblStyle w:val="TableGrid"/>
        <w:tblW w:w="5240" w:type="dxa"/>
        <w:tblLayout w:type="fixed"/>
        <w:tblLook w:val="04A0" w:firstRow="1" w:lastRow="0" w:firstColumn="1" w:lastColumn="0" w:noHBand="0" w:noVBand="1"/>
      </w:tblPr>
      <w:tblGrid>
        <w:gridCol w:w="1129"/>
        <w:gridCol w:w="1418"/>
        <w:gridCol w:w="1276"/>
        <w:gridCol w:w="1417"/>
      </w:tblGrid>
      <w:tr w:rsidR="0010618A" w:rsidRPr="009F1832" w14:paraId="0363B76B" w14:textId="77777777" w:rsidTr="004F6607">
        <w:tc>
          <w:tcPr>
            <w:tcW w:w="1129" w:type="dxa"/>
          </w:tcPr>
          <w:p w14:paraId="3F80A800" w14:textId="77777777" w:rsidR="0010618A" w:rsidRPr="009F1832" w:rsidRDefault="0010618A" w:rsidP="004F6607">
            <w:pPr>
              <w:rPr>
                <w:bCs/>
                <w:sz w:val="18"/>
                <w:szCs w:val="18"/>
              </w:rPr>
            </w:pPr>
          </w:p>
        </w:tc>
        <w:tc>
          <w:tcPr>
            <w:tcW w:w="1418" w:type="dxa"/>
          </w:tcPr>
          <w:p w14:paraId="45B9DAA5" w14:textId="77777777" w:rsidR="0010618A" w:rsidRPr="009F1832" w:rsidRDefault="0010618A" w:rsidP="004F6607">
            <w:pPr>
              <w:rPr>
                <w:b/>
                <w:sz w:val="18"/>
                <w:szCs w:val="18"/>
              </w:rPr>
            </w:pPr>
            <w:r w:rsidRPr="009F1832">
              <w:rPr>
                <w:b/>
                <w:sz w:val="18"/>
                <w:szCs w:val="18"/>
              </w:rPr>
              <w:t>village 515</w:t>
            </w:r>
          </w:p>
          <w:p w14:paraId="0605D332" w14:textId="77777777" w:rsidR="0010618A" w:rsidRPr="009F1832" w:rsidRDefault="0010618A" w:rsidP="004F6607">
            <w:pPr>
              <w:rPr>
                <w:bCs/>
                <w:sz w:val="18"/>
                <w:szCs w:val="18"/>
                <w:vertAlign w:val="subscript"/>
              </w:rPr>
            </w:pPr>
            <w:r w:rsidRPr="009F1832">
              <w:rPr>
                <w:bCs/>
                <w:sz w:val="18"/>
                <w:szCs w:val="18"/>
              </w:rPr>
              <w:t>necro</w:t>
            </w:r>
            <w:r w:rsidRPr="009F1832">
              <w:rPr>
                <w:bCs/>
                <w:sz w:val="18"/>
                <w:szCs w:val="18"/>
                <w:vertAlign w:val="subscript"/>
              </w:rPr>
              <w:t>i</w:t>
            </w:r>
          </w:p>
        </w:tc>
        <w:tc>
          <w:tcPr>
            <w:tcW w:w="1276" w:type="dxa"/>
          </w:tcPr>
          <w:p w14:paraId="2883E42E" w14:textId="77777777" w:rsidR="0010618A" w:rsidRPr="009F1832" w:rsidRDefault="0010618A" w:rsidP="004F6607">
            <w:pPr>
              <w:rPr>
                <w:b/>
                <w:sz w:val="18"/>
                <w:szCs w:val="18"/>
              </w:rPr>
            </w:pPr>
            <w:r w:rsidRPr="009F1832">
              <w:rPr>
                <w:b/>
                <w:sz w:val="18"/>
                <w:szCs w:val="18"/>
              </w:rPr>
              <w:t>village 566</w:t>
            </w:r>
          </w:p>
          <w:p w14:paraId="66D58955" w14:textId="77777777" w:rsidR="0010618A" w:rsidRPr="009F1832" w:rsidRDefault="0010618A" w:rsidP="004F6607">
            <w:pPr>
              <w:rPr>
                <w:b/>
                <w:sz w:val="18"/>
                <w:szCs w:val="18"/>
              </w:rPr>
            </w:pPr>
            <w:r w:rsidRPr="009F1832">
              <w:rPr>
                <w:bCs/>
                <w:sz w:val="18"/>
                <w:szCs w:val="18"/>
              </w:rPr>
              <w:t>necro</w:t>
            </w:r>
            <w:r w:rsidRPr="009F1832">
              <w:rPr>
                <w:bCs/>
                <w:sz w:val="18"/>
                <w:szCs w:val="18"/>
                <w:vertAlign w:val="subscript"/>
              </w:rPr>
              <w:t>i</w:t>
            </w:r>
          </w:p>
        </w:tc>
        <w:tc>
          <w:tcPr>
            <w:tcW w:w="1417" w:type="dxa"/>
          </w:tcPr>
          <w:p w14:paraId="29026CCE" w14:textId="77777777" w:rsidR="0010618A" w:rsidRPr="009F1832" w:rsidRDefault="0010618A" w:rsidP="004F6607">
            <w:pPr>
              <w:rPr>
                <w:b/>
                <w:sz w:val="18"/>
                <w:szCs w:val="18"/>
              </w:rPr>
            </w:pPr>
            <w:r w:rsidRPr="009F1832">
              <w:rPr>
                <w:b/>
                <w:sz w:val="18"/>
                <w:szCs w:val="18"/>
              </w:rPr>
              <w:t>village 567</w:t>
            </w:r>
          </w:p>
          <w:p w14:paraId="5D14D607" w14:textId="77777777" w:rsidR="0010618A" w:rsidRPr="009F1832" w:rsidRDefault="0010618A" w:rsidP="004F6607">
            <w:pPr>
              <w:rPr>
                <w:b/>
                <w:sz w:val="18"/>
                <w:szCs w:val="18"/>
              </w:rPr>
            </w:pPr>
            <w:r w:rsidRPr="009F1832">
              <w:rPr>
                <w:bCs/>
                <w:sz w:val="18"/>
                <w:szCs w:val="18"/>
              </w:rPr>
              <w:t>necro</w:t>
            </w:r>
            <w:r w:rsidRPr="009F1832">
              <w:rPr>
                <w:bCs/>
                <w:sz w:val="18"/>
                <w:szCs w:val="18"/>
                <w:vertAlign w:val="subscript"/>
              </w:rPr>
              <w:t>i</w:t>
            </w:r>
          </w:p>
        </w:tc>
      </w:tr>
      <w:tr w:rsidR="0010618A" w:rsidRPr="009F1832" w14:paraId="1F657DF8" w14:textId="77777777" w:rsidTr="004F6607">
        <w:tc>
          <w:tcPr>
            <w:tcW w:w="1129" w:type="dxa"/>
          </w:tcPr>
          <w:p w14:paraId="2380346D" w14:textId="77777777" w:rsidR="0010618A" w:rsidRPr="009F1832" w:rsidRDefault="0010618A" w:rsidP="004F6607">
            <w:pPr>
              <w:rPr>
                <w:sz w:val="18"/>
                <w:szCs w:val="18"/>
              </w:rPr>
            </w:pPr>
            <w:r w:rsidRPr="009F1832">
              <w:rPr>
                <w:sz w:val="18"/>
                <w:szCs w:val="18"/>
              </w:rPr>
              <w:t>0</w:t>
            </w:r>
          </w:p>
        </w:tc>
        <w:tc>
          <w:tcPr>
            <w:tcW w:w="1418" w:type="dxa"/>
            <w:vAlign w:val="bottom"/>
          </w:tcPr>
          <w:p w14:paraId="0868080D" w14:textId="77777777" w:rsidR="0010618A" w:rsidRPr="009F1832" w:rsidRDefault="0010618A" w:rsidP="004F6607">
            <w:pPr>
              <w:rPr>
                <w:sz w:val="18"/>
                <w:szCs w:val="18"/>
              </w:rPr>
            </w:pPr>
            <w:r w:rsidRPr="009F1832">
              <w:rPr>
                <w:sz w:val="18"/>
                <w:szCs w:val="18"/>
              </w:rPr>
              <w:t>0,18</w:t>
            </w:r>
          </w:p>
        </w:tc>
        <w:tc>
          <w:tcPr>
            <w:tcW w:w="1276" w:type="dxa"/>
            <w:vAlign w:val="bottom"/>
          </w:tcPr>
          <w:p w14:paraId="1A099505" w14:textId="77777777" w:rsidR="0010618A" w:rsidRPr="009F1832" w:rsidRDefault="0010618A" w:rsidP="004F6607">
            <w:pPr>
              <w:rPr>
                <w:sz w:val="18"/>
                <w:szCs w:val="18"/>
              </w:rPr>
            </w:pPr>
            <w:r w:rsidRPr="009F1832">
              <w:rPr>
                <w:sz w:val="18"/>
                <w:szCs w:val="18"/>
              </w:rPr>
              <w:t>0,14</w:t>
            </w:r>
          </w:p>
        </w:tc>
        <w:tc>
          <w:tcPr>
            <w:tcW w:w="1417" w:type="dxa"/>
            <w:vAlign w:val="bottom"/>
          </w:tcPr>
          <w:p w14:paraId="7CA6A06D" w14:textId="77777777" w:rsidR="0010618A" w:rsidRPr="009F1832" w:rsidRDefault="0010618A" w:rsidP="004F6607">
            <w:pPr>
              <w:rPr>
                <w:sz w:val="18"/>
                <w:szCs w:val="18"/>
              </w:rPr>
            </w:pPr>
            <w:r w:rsidRPr="009F1832">
              <w:rPr>
                <w:sz w:val="18"/>
                <w:szCs w:val="18"/>
              </w:rPr>
              <w:t>0,11</w:t>
            </w:r>
          </w:p>
        </w:tc>
      </w:tr>
      <w:tr w:rsidR="0010618A" w:rsidRPr="009F1832" w14:paraId="62AD0C97" w14:textId="77777777" w:rsidTr="004F6607">
        <w:tc>
          <w:tcPr>
            <w:tcW w:w="1129" w:type="dxa"/>
          </w:tcPr>
          <w:p w14:paraId="139E5D0D" w14:textId="77777777" w:rsidR="0010618A" w:rsidRPr="009F1832" w:rsidRDefault="0010618A" w:rsidP="004F6607">
            <w:pPr>
              <w:rPr>
                <w:sz w:val="18"/>
                <w:szCs w:val="18"/>
              </w:rPr>
            </w:pPr>
            <w:r w:rsidRPr="009F1832">
              <w:rPr>
                <w:sz w:val="18"/>
                <w:szCs w:val="18"/>
              </w:rPr>
              <w:t>1</w:t>
            </w:r>
          </w:p>
        </w:tc>
        <w:tc>
          <w:tcPr>
            <w:tcW w:w="1418" w:type="dxa"/>
            <w:vAlign w:val="bottom"/>
          </w:tcPr>
          <w:p w14:paraId="3D6479EA" w14:textId="77777777" w:rsidR="0010618A" w:rsidRPr="009F1832" w:rsidRDefault="0010618A" w:rsidP="004F6607">
            <w:pPr>
              <w:rPr>
                <w:sz w:val="18"/>
                <w:szCs w:val="18"/>
              </w:rPr>
            </w:pPr>
            <w:r w:rsidRPr="009F1832">
              <w:rPr>
                <w:sz w:val="18"/>
                <w:szCs w:val="18"/>
              </w:rPr>
              <w:t>0</w:t>
            </w:r>
          </w:p>
        </w:tc>
        <w:tc>
          <w:tcPr>
            <w:tcW w:w="1276" w:type="dxa"/>
            <w:vAlign w:val="bottom"/>
          </w:tcPr>
          <w:p w14:paraId="52A5D6B4" w14:textId="77777777" w:rsidR="0010618A" w:rsidRPr="009F1832" w:rsidRDefault="0010618A" w:rsidP="004F6607">
            <w:pPr>
              <w:rPr>
                <w:sz w:val="18"/>
                <w:szCs w:val="18"/>
              </w:rPr>
            </w:pPr>
            <w:r w:rsidRPr="009F1832">
              <w:rPr>
                <w:sz w:val="18"/>
                <w:szCs w:val="18"/>
              </w:rPr>
              <w:t>0</w:t>
            </w:r>
          </w:p>
        </w:tc>
        <w:tc>
          <w:tcPr>
            <w:tcW w:w="1417" w:type="dxa"/>
            <w:vAlign w:val="bottom"/>
          </w:tcPr>
          <w:p w14:paraId="3F2AA948" w14:textId="77777777" w:rsidR="0010618A" w:rsidRPr="009F1832" w:rsidRDefault="0010618A" w:rsidP="004F6607">
            <w:pPr>
              <w:rPr>
                <w:sz w:val="18"/>
                <w:szCs w:val="18"/>
              </w:rPr>
            </w:pPr>
            <w:r w:rsidRPr="009F1832">
              <w:rPr>
                <w:sz w:val="18"/>
                <w:szCs w:val="18"/>
              </w:rPr>
              <w:t>0,027</w:t>
            </w:r>
          </w:p>
        </w:tc>
      </w:tr>
      <w:tr w:rsidR="0010618A" w:rsidRPr="009F1832" w14:paraId="39A718AA" w14:textId="77777777" w:rsidTr="004F6607">
        <w:tc>
          <w:tcPr>
            <w:tcW w:w="1129" w:type="dxa"/>
          </w:tcPr>
          <w:p w14:paraId="23C8EA1A" w14:textId="77777777" w:rsidR="0010618A" w:rsidRPr="009F1832" w:rsidRDefault="0010618A" w:rsidP="004F6607">
            <w:pPr>
              <w:rPr>
                <w:sz w:val="18"/>
                <w:szCs w:val="18"/>
              </w:rPr>
            </w:pPr>
            <w:r w:rsidRPr="009F1832">
              <w:rPr>
                <w:sz w:val="18"/>
                <w:szCs w:val="18"/>
              </w:rPr>
              <w:t>2</w:t>
            </w:r>
          </w:p>
        </w:tc>
        <w:tc>
          <w:tcPr>
            <w:tcW w:w="1418" w:type="dxa"/>
            <w:vAlign w:val="bottom"/>
          </w:tcPr>
          <w:p w14:paraId="6DC9BAD7" w14:textId="77777777" w:rsidR="0010618A" w:rsidRPr="009F1832" w:rsidRDefault="0010618A" w:rsidP="004F6607">
            <w:pPr>
              <w:rPr>
                <w:sz w:val="18"/>
                <w:szCs w:val="18"/>
              </w:rPr>
            </w:pPr>
            <w:r w:rsidRPr="009F1832">
              <w:rPr>
                <w:sz w:val="18"/>
                <w:szCs w:val="18"/>
              </w:rPr>
              <w:t>0</w:t>
            </w:r>
          </w:p>
        </w:tc>
        <w:tc>
          <w:tcPr>
            <w:tcW w:w="1276" w:type="dxa"/>
            <w:vAlign w:val="bottom"/>
          </w:tcPr>
          <w:p w14:paraId="6F11AA50" w14:textId="77777777" w:rsidR="0010618A" w:rsidRPr="009F1832" w:rsidRDefault="0010618A" w:rsidP="004F6607">
            <w:pPr>
              <w:rPr>
                <w:sz w:val="18"/>
                <w:szCs w:val="18"/>
              </w:rPr>
            </w:pPr>
            <w:r w:rsidRPr="009F1832">
              <w:rPr>
                <w:sz w:val="18"/>
                <w:szCs w:val="18"/>
              </w:rPr>
              <w:t>0</w:t>
            </w:r>
          </w:p>
        </w:tc>
        <w:tc>
          <w:tcPr>
            <w:tcW w:w="1417" w:type="dxa"/>
            <w:vAlign w:val="bottom"/>
          </w:tcPr>
          <w:p w14:paraId="13BFA199" w14:textId="77777777" w:rsidR="0010618A" w:rsidRPr="009F1832" w:rsidRDefault="0010618A" w:rsidP="004F6607">
            <w:pPr>
              <w:rPr>
                <w:sz w:val="18"/>
                <w:szCs w:val="18"/>
              </w:rPr>
            </w:pPr>
            <w:r w:rsidRPr="009F1832">
              <w:rPr>
                <w:sz w:val="18"/>
                <w:szCs w:val="18"/>
              </w:rPr>
              <w:t>0</w:t>
            </w:r>
          </w:p>
        </w:tc>
      </w:tr>
      <w:tr w:rsidR="0010618A" w:rsidRPr="009F1832" w14:paraId="5794FBA0" w14:textId="77777777" w:rsidTr="004F6607">
        <w:tc>
          <w:tcPr>
            <w:tcW w:w="1129" w:type="dxa"/>
          </w:tcPr>
          <w:p w14:paraId="5A6A006E" w14:textId="77777777" w:rsidR="0010618A" w:rsidRPr="009F1832" w:rsidRDefault="0010618A" w:rsidP="004F6607">
            <w:pPr>
              <w:rPr>
                <w:sz w:val="18"/>
                <w:szCs w:val="18"/>
              </w:rPr>
            </w:pPr>
            <w:r w:rsidRPr="009F1832">
              <w:rPr>
                <w:sz w:val="18"/>
                <w:szCs w:val="18"/>
              </w:rPr>
              <w:t>3</w:t>
            </w:r>
          </w:p>
        </w:tc>
        <w:tc>
          <w:tcPr>
            <w:tcW w:w="1418" w:type="dxa"/>
            <w:vAlign w:val="bottom"/>
          </w:tcPr>
          <w:p w14:paraId="2F9F7186" w14:textId="77777777" w:rsidR="0010618A" w:rsidRPr="009F1832" w:rsidRDefault="0010618A" w:rsidP="004F6607">
            <w:pPr>
              <w:rPr>
                <w:sz w:val="18"/>
                <w:szCs w:val="18"/>
              </w:rPr>
            </w:pPr>
            <w:r w:rsidRPr="009F1832">
              <w:rPr>
                <w:sz w:val="18"/>
                <w:szCs w:val="18"/>
              </w:rPr>
              <w:t>0,11</w:t>
            </w:r>
          </w:p>
        </w:tc>
        <w:tc>
          <w:tcPr>
            <w:tcW w:w="1276" w:type="dxa"/>
            <w:vAlign w:val="bottom"/>
          </w:tcPr>
          <w:p w14:paraId="12D2FB4C" w14:textId="77777777" w:rsidR="0010618A" w:rsidRPr="009F1832" w:rsidRDefault="0010618A" w:rsidP="004F6607">
            <w:pPr>
              <w:rPr>
                <w:sz w:val="18"/>
                <w:szCs w:val="18"/>
              </w:rPr>
            </w:pPr>
            <w:r w:rsidRPr="009F1832">
              <w:rPr>
                <w:sz w:val="18"/>
                <w:szCs w:val="18"/>
              </w:rPr>
              <w:t>0</w:t>
            </w:r>
          </w:p>
        </w:tc>
        <w:tc>
          <w:tcPr>
            <w:tcW w:w="1417" w:type="dxa"/>
            <w:vAlign w:val="bottom"/>
          </w:tcPr>
          <w:p w14:paraId="42FF4F60" w14:textId="77777777" w:rsidR="0010618A" w:rsidRPr="009F1832" w:rsidRDefault="0010618A" w:rsidP="004F6607">
            <w:pPr>
              <w:rPr>
                <w:sz w:val="18"/>
                <w:szCs w:val="18"/>
              </w:rPr>
            </w:pPr>
            <w:r w:rsidRPr="009F1832">
              <w:rPr>
                <w:sz w:val="18"/>
                <w:szCs w:val="18"/>
              </w:rPr>
              <w:t>0,018</w:t>
            </w:r>
          </w:p>
        </w:tc>
      </w:tr>
      <w:tr w:rsidR="0010618A" w:rsidRPr="009F1832" w14:paraId="2F30B36B" w14:textId="77777777" w:rsidTr="004F6607">
        <w:tc>
          <w:tcPr>
            <w:tcW w:w="1129" w:type="dxa"/>
          </w:tcPr>
          <w:p w14:paraId="09861C98" w14:textId="77777777" w:rsidR="0010618A" w:rsidRPr="009F1832" w:rsidRDefault="0010618A" w:rsidP="004F6607">
            <w:pPr>
              <w:rPr>
                <w:sz w:val="18"/>
                <w:szCs w:val="18"/>
              </w:rPr>
            </w:pPr>
            <w:r w:rsidRPr="009F1832">
              <w:rPr>
                <w:sz w:val="18"/>
                <w:szCs w:val="18"/>
              </w:rPr>
              <w:t>4</w:t>
            </w:r>
          </w:p>
        </w:tc>
        <w:tc>
          <w:tcPr>
            <w:tcW w:w="1418" w:type="dxa"/>
            <w:vAlign w:val="bottom"/>
          </w:tcPr>
          <w:p w14:paraId="7903A32B" w14:textId="77777777" w:rsidR="0010618A" w:rsidRPr="009F1832" w:rsidRDefault="0010618A" w:rsidP="004F6607">
            <w:pPr>
              <w:rPr>
                <w:sz w:val="18"/>
                <w:szCs w:val="18"/>
              </w:rPr>
            </w:pPr>
            <w:r w:rsidRPr="009F1832">
              <w:rPr>
                <w:sz w:val="18"/>
                <w:szCs w:val="18"/>
              </w:rPr>
              <w:t>0,036</w:t>
            </w:r>
          </w:p>
        </w:tc>
        <w:tc>
          <w:tcPr>
            <w:tcW w:w="1276" w:type="dxa"/>
            <w:vAlign w:val="bottom"/>
          </w:tcPr>
          <w:p w14:paraId="1B97B26B" w14:textId="77777777" w:rsidR="0010618A" w:rsidRPr="009F1832" w:rsidRDefault="0010618A" w:rsidP="004F6607">
            <w:pPr>
              <w:rPr>
                <w:sz w:val="18"/>
                <w:szCs w:val="18"/>
              </w:rPr>
            </w:pPr>
            <w:r w:rsidRPr="009F1832">
              <w:rPr>
                <w:sz w:val="18"/>
                <w:szCs w:val="18"/>
              </w:rPr>
              <w:t>0</w:t>
            </w:r>
          </w:p>
        </w:tc>
        <w:tc>
          <w:tcPr>
            <w:tcW w:w="1417" w:type="dxa"/>
            <w:vAlign w:val="bottom"/>
          </w:tcPr>
          <w:p w14:paraId="25A467D9" w14:textId="77777777" w:rsidR="0010618A" w:rsidRPr="009F1832" w:rsidRDefault="0010618A" w:rsidP="004F6607">
            <w:pPr>
              <w:rPr>
                <w:sz w:val="18"/>
                <w:szCs w:val="18"/>
              </w:rPr>
            </w:pPr>
            <w:r w:rsidRPr="009F1832">
              <w:rPr>
                <w:sz w:val="18"/>
                <w:szCs w:val="18"/>
              </w:rPr>
              <w:t>0</w:t>
            </w:r>
          </w:p>
        </w:tc>
      </w:tr>
      <w:tr w:rsidR="0010618A" w:rsidRPr="009F1832" w14:paraId="21E55A07" w14:textId="77777777" w:rsidTr="004F6607">
        <w:tc>
          <w:tcPr>
            <w:tcW w:w="1129" w:type="dxa"/>
          </w:tcPr>
          <w:p w14:paraId="7A5FE390" w14:textId="77777777" w:rsidR="0010618A" w:rsidRPr="009F1832" w:rsidRDefault="0010618A" w:rsidP="004F6607">
            <w:pPr>
              <w:rPr>
                <w:sz w:val="18"/>
                <w:szCs w:val="18"/>
              </w:rPr>
            </w:pPr>
            <w:r w:rsidRPr="009F1832">
              <w:rPr>
                <w:sz w:val="18"/>
                <w:szCs w:val="18"/>
              </w:rPr>
              <w:t>5</w:t>
            </w:r>
          </w:p>
        </w:tc>
        <w:tc>
          <w:tcPr>
            <w:tcW w:w="1418" w:type="dxa"/>
            <w:vAlign w:val="bottom"/>
          </w:tcPr>
          <w:p w14:paraId="4BAA0765" w14:textId="77777777" w:rsidR="0010618A" w:rsidRPr="009F1832" w:rsidRDefault="0010618A" w:rsidP="004F6607">
            <w:pPr>
              <w:rPr>
                <w:sz w:val="18"/>
                <w:szCs w:val="18"/>
              </w:rPr>
            </w:pPr>
            <w:r w:rsidRPr="009F1832">
              <w:rPr>
                <w:sz w:val="18"/>
                <w:szCs w:val="18"/>
              </w:rPr>
              <w:t>0</w:t>
            </w:r>
          </w:p>
        </w:tc>
        <w:tc>
          <w:tcPr>
            <w:tcW w:w="1276" w:type="dxa"/>
            <w:vAlign w:val="bottom"/>
          </w:tcPr>
          <w:p w14:paraId="54EA7FBD" w14:textId="77777777" w:rsidR="0010618A" w:rsidRPr="009F1832" w:rsidRDefault="0010618A" w:rsidP="004F6607">
            <w:pPr>
              <w:rPr>
                <w:sz w:val="18"/>
                <w:szCs w:val="18"/>
              </w:rPr>
            </w:pPr>
            <w:r w:rsidRPr="009F1832">
              <w:rPr>
                <w:sz w:val="18"/>
                <w:szCs w:val="18"/>
              </w:rPr>
              <w:t>0</w:t>
            </w:r>
          </w:p>
        </w:tc>
        <w:tc>
          <w:tcPr>
            <w:tcW w:w="1417" w:type="dxa"/>
            <w:vAlign w:val="bottom"/>
          </w:tcPr>
          <w:p w14:paraId="43334B87" w14:textId="77777777" w:rsidR="0010618A" w:rsidRPr="009F1832" w:rsidRDefault="0010618A" w:rsidP="004F6607">
            <w:pPr>
              <w:rPr>
                <w:sz w:val="18"/>
                <w:szCs w:val="18"/>
              </w:rPr>
            </w:pPr>
            <w:r w:rsidRPr="009F1832">
              <w:rPr>
                <w:sz w:val="18"/>
                <w:szCs w:val="18"/>
              </w:rPr>
              <w:t>0</w:t>
            </w:r>
          </w:p>
        </w:tc>
      </w:tr>
    </w:tbl>
    <w:p w14:paraId="70DECFA0" w14:textId="51CE5373" w:rsidR="0010618A" w:rsidRDefault="00DF26F9" w:rsidP="0010618A">
      <w:pPr>
        <w:rPr>
          <w:i/>
          <w:iCs/>
          <w:color w:val="44546A" w:themeColor="text2"/>
          <w:sz w:val="18"/>
          <w:szCs w:val="18"/>
        </w:rPr>
      </w:pPr>
      <w:r w:rsidRPr="00DF26F9">
        <w:rPr>
          <w:i/>
          <w:iCs/>
          <w:color w:val="44546A" w:themeColor="text2"/>
          <w:sz w:val="18"/>
          <w:szCs w:val="18"/>
        </w:rPr>
        <w:t xml:space="preserve">The shares of pigs per number of cysts </w:t>
      </w:r>
      <w:proofErr w:type="spellStart"/>
      <w:r w:rsidRPr="00DF26F9">
        <w:rPr>
          <w:i/>
          <w:iCs/>
          <w:color w:val="44546A" w:themeColor="text2"/>
          <w:sz w:val="18"/>
          <w:szCs w:val="18"/>
        </w:rPr>
        <w:t>necro</w:t>
      </w:r>
      <w:r w:rsidR="00B20E80">
        <w:rPr>
          <w:i/>
          <w:iCs/>
          <w:color w:val="44546A" w:themeColor="text2"/>
          <w:sz w:val="18"/>
          <w:szCs w:val="18"/>
          <w:vertAlign w:val="subscript"/>
        </w:rPr>
        <w:t>i</w:t>
      </w:r>
      <w:proofErr w:type="spellEnd"/>
      <w:r w:rsidRPr="00DF26F9">
        <w:rPr>
          <w:i/>
          <w:iCs/>
          <w:color w:val="44546A" w:themeColor="text2"/>
          <w:sz w:val="18"/>
          <w:szCs w:val="18"/>
        </w:rPr>
        <w:t>, are normalized using the total number of pigs including non-infected pigs (zero cysts).</w:t>
      </w:r>
    </w:p>
    <w:p w14:paraId="4484CA19" w14:textId="77777777" w:rsidR="00DF26F9" w:rsidRPr="00DF26F9" w:rsidRDefault="00DF26F9" w:rsidP="0010618A">
      <w:pPr>
        <w:rPr>
          <w:i/>
          <w:iCs/>
          <w:color w:val="44546A" w:themeColor="text2"/>
          <w:sz w:val="18"/>
          <w:szCs w:val="18"/>
        </w:rPr>
      </w:pPr>
    </w:p>
    <w:p w14:paraId="1FA40B3E" w14:textId="19CD8DAA" w:rsidR="00BF7F1E" w:rsidRPr="009F1832" w:rsidRDefault="000F5330" w:rsidP="00BF7F1E">
      <w:pPr>
        <w:pStyle w:val="Caption"/>
        <w:rPr>
          <w:b/>
          <w:bCs/>
        </w:rPr>
      </w:pPr>
      <w:bookmarkStart w:id="0" w:name="_Ref54865436"/>
      <w:r w:rsidRPr="009F1832">
        <w:rPr>
          <w:b/>
          <w:bCs/>
        </w:rPr>
        <w:t xml:space="preserve">S3 </w:t>
      </w:r>
      <w:r w:rsidR="004B3549">
        <w:rPr>
          <w:b/>
          <w:bCs/>
        </w:rPr>
        <w:t>Table</w:t>
      </w:r>
      <w:r w:rsidR="004B3549">
        <w:rPr>
          <w:b/>
          <w:bCs/>
        </w:rPr>
        <w:fldChar w:fldCharType="begin"/>
      </w:r>
      <w:r w:rsidR="004B3549">
        <w:rPr>
          <w:b/>
          <w:bCs/>
        </w:rPr>
        <w:instrText xml:space="preserve"> SEQ Table \* ARABIC </w:instrText>
      </w:r>
      <w:r w:rsidR="004B3549">
        <w:rPr>
          <w:b/>
          <w:bCs/>
        </w:rPr>
        <w:fldChar w:fldCharType="separate"/>
      </w:r>
      <w:r w:rsidR="004B3549">
        <w:rPr>
          <w:b/>
          <w:bCs/>
          <w:noProof/>
        </w:rPr>
        <w:t>2</w:t>
      </w:r>
      <w:r w:rsidR="004B3549">
        <w:rPr>
          <w:b/>
          <w:bCs/>
        </w:rPr>
        <w:fldChar w:fldCharType="end"/>
      </w:r>
      <w:r w:rsidR="00BF7F1E" w:rsidRPr="009F1832">
        <w:rPr>
          <w:b/>
          <w:bCs/>
        </w:rPr>
        <w:t xml:space="preserve">: variation ranges for calibration parameters that define the prior marginal distributions for the first ABC-SMC stage </w:t>
      </w:r>
      <w:bookmarkEnd w:id="0"/>
    </w:p>
    <w:tbl>
      <w:tblPr>
        <w:tblStyle w:val="TableGrid"/>
        <w:tblW w:w="0" w:type="auto"/>
        <w:tblLook w:val="04A0" w:firstRow="1" w:lastRow="0" w:firstColumn="1" w:lastColumn="0" w:noHBand="0" w:noVBand="1"/>
      </w:tblPr>
      <w:tblGrid>
        <w:gridCol w:w="3116"/>
        <w:gridCol w:w="3117"/>
        <w:gridCol w:w="3117"/>
      </w:tblGrid>
      <w:tr w:rsidR="00BF7F1E" w:rsidRPr="009F1832" w14:paraId="01086AB9" w14:textId="77777777" w:rsidTr="004F6607">
        <w:tc>
          <w:tcPr>
            <w:tcW w:w="3116" w:type="dxa"/>
          </w:tcPr>
          <w:p w14:paraId="734FFC66" w14:textId="77777777" w:rsidR="00BF7F1E" w:rsidRPr="009F1832" w:rsidRDefault="00BF7F1E" w:rsidP="004F6607">
            <w:pPr>
              <w:rPr>
                <w:b/>
                <w:sz w:val="18"/>
                <w:szCs w:val="18"/>
              </w:rPr>
            </w:pPr>
            <w:r w:rsidRPr="009F1832">
              <w:rPr>
                <w:b/>
                <w:sz w:val="18"/>
                <w:szCs w:val="18"/>
              </w:rPr>
              <w:t>Calibration parameter</w:t>
            </w:r>
          </w:p>
        </w:tc>
        <w:tc>
          <w:tcPr>
            <w:tcW w:w="3117" w:type="dxa"/>
          </w:tcPr>
          <w:p w14:paraId="5E92BBB4" w14:textId="77777777" w:rsidR="00BF7F1E" w:rsidRPr="009F1832" w:rsidRDefault="00BF7F1E" w:rsidP="004F6607">
            <w:pPr>
              <w:rPr>
                <w:b/>
                <w:sz w:val="18"/>
                <w:szCs w:val="18"/>
              </w:rPr>
            </w:pPr>
            <w:r w:rsidRPr="009F1832">
              <w:rPr>
                <w:b/>
                <w:sz w:val="18"/>
                <w:szCs w:val="18"/>
              </w:rPr>
              <w:t>Lower limit</w:t>
            </w:r>
          </w:p>
        </w:tc>
        <w:tc>
          <w:tcPr>
            <w:tcW w:w="3117" w:type="dxa"/>
          </w:tcPr>
          <w:p w14:paraId="3E37E2E6" w14:textId="77777777" w:rsidR="00BF7F1E" w:rsidRPr="009F1832" w:rsidRDefault="00BF7F1E" w:rsidP="004F6607">
            <w:pPr>
              <w:rPr>
                <w:b/>
                <w:sz w:val="18"/>
                <w:szCs w:val="18"/>
              </w:rPr>
            </w:pPr>
            <w:r w:rsidRPr="009F1832">
              <w:rPr>
                <w:b/>
                <w:sz w:val="18"/>
                <w:szCs w:val="18"/>
              </w:rPr>
              <w:t>Upper limit</w:t>
            </w:r>
          </w:p>
        </w:tc>
      </w:tr>
      <w:tr w:rsidR="00BF7F1E" w:rsidRPr="009F1832" w14:paraId="3899D90C" w14:textId="77777777" w:rsidTr="004F6607">
        <w:tc>
          <w:tcPr>
            <w:tcW w:w="3116" w:type="dxa"/>
          </w:tcPr>
          <w:p w14:paraId="3AF2F487" w14:textId="77777777" w:rsidR="00BF7F1E" w:rsidRPr="009F1832" w:rsidRDefault="00BF7F1E" w:rsidP="004F6607">
            <w:pPr>
              <w:rPr>
                <w:sz w:val="18"/>
                <w:szCs w:val="18"/>
              </w:rPr>
            </w:pPr>
            <w:r w:rsidRPr="009F1832">
              <w:rPr>
                <w:sz w:val="18"/>
                <w:szCs w:val="18"/>
              </w:rPr>
              <w:t>pHumanCyst</w:t>
            </w:r>
          </w:p>
        </w:tc>
        <w:tc>
          <w:tcPr>
            <w:tcW w:w="3117" w:type="dxa"/>
          </w:tcPr>
          <w:p w14:paraId="159BB72A" w14:textId="77777777" w:rsidR="00BF7F1E" w:rsidRPr="009F1832" w:rsidRDefault="00BF7F1E" w:rsidP="004F6607">
            <w:pPr>
              <w:rPr>
                <w:sz w:val="18"/>
                <w:szCs w:val="18"/>
              </w:rPr>
            </w:pPr>
            <w:r w:rsidRPr="009F1832">
              <w:rPr>
                <w:sz w:val="18"/>
                <w:szCs w:val="18"/>
              </w:rPr>
              <w:t>0.0</w:t>
            </w:r>
          </w:p>
        </w:tc>
        <w:tc>
          <w:tcPr>
            <w:tcW w:w="3117" w:type="dxa"/>
          </w:tcPr>
          <w:p w14:paraId="11CE7637" w14:textId="77777777" w:rsidR="00BF7F1E" w:rsidRPr="009F1832" w:rsidRDefault="00BF7F1E" w:rsidP="004F6607">
            <w:pPr>
              <w:rPr>
                <w:sz w:val="18"/>
                <w:szCs w:val="18"/>
                <w:vertAlign w:val="superscript"/>
              </w:rPr>
            </w:pPr>
            <w:r w:rsidRPr="009F1832">
              <w:rPr>
                <w:sz w:val="18"/>
                <w:szCs w:val="18"/>
              </w:rPr>
              <w:t>5 10</w:t>
            </w:r>
            <w:r w:rsidRPr="009F1832">
              <w:rPr>
                <w:sz w:val="18"/>
                <w:szCs w:val="18"/>
                <w:vertAlign w:val="superscript"/>
              </w:rPr>
              <w:t>-3</w:t>
            </w:r>
          </w:p>
        </w:tc>
      </w:tr>
      <w:tr w:rsidR="00BF7F1E" w:rsidRPr="009F1832" w14:paraId="29EA7AF4" w14:textId="77777777" w:rsidTr="004F6607">
        <w:tc>
          <w:tcPr>
            <w:tcW w:w="3116" w:type="dxa"/>
          </w:tcPr>
          <w:p w14:paraId="01287CA0" w14:textId="77777777" w:rsidR="00BF7F1E" w:rsidRPr="009F1832" w:rsidRDefault="00BF7F1E" w:rsidP="004F6607">
            <w:pPr>
              <w:rPr>
                <w:sz w:val="18"/>
                <w:szCs w:val="18"/>
              </w:rPr>
            </w:pPr>
            <w:r w:rsidRPr="009F1832">
              <w:rPr>
                <w:sz w:val="18"/>
                <w:szCs w:val="18"/>
              </w:rPr>
              <w:t>pigProglotInf (cysts)</w:t>
            </w:r>
          </w:p>
        </w:tc>
        <w:tc>
          <w:tcPr>
            <w:tcW w:w="3117" w:type="dxa"/>
          </w:tcPr>
          <w:p w14:paraId="0941C2BF" w14:textId="77777777" w:rsidR="00BF7F1E" w:rsidRPr="009F1832" w:rsidRDefault="00BF7F1E" w:rsidP="004F6607">
            <w:pPr>
              <w:rPr>
                <w:sz w:val="18"/>
                <w:szCs w:val="18"/>
              </w:rPr>
            </w:pPr>
            <w:r w:rsidRPr="009F1832">
              <w:rPr>
                <w:sz w:val="18"/>
                <w:szCs w:val="18"/>
              </w:rPr>
              <w:t>10</w:t>
            </w:r>
          </w:p>
        </w:tc>
        <w:tc>
          <w:tcPr>
            <w:tcW w:w="3117" w:type="dxa"/>
          </w:tcPr>
          <w:p w14:paraId="3AD8CAD7" w14:textId="77777777" w:rsidR="00BF7F1E" w:rsidRPr="009F1832" w:rsidRDefault="00BF7F1E" w:rsidP="004F6607">
            <w:pPr>
              <w:rPr>
                <w:sz w:val="18"/>
                <w:szCs w:val="18"/>
              </w:rPr>
            </w:pPr>
            <w:r w:rsidRPr="009F1832">
              <w:rPr>
                <w:sz w:val="18"/>
                <w:szCs w:val="18"/>
              </w:rPr>
              <w:t>5000</w:t>
            </w:r>
          </w:p>
        </w:tc>
      </w:tr>
      <w:tr w:rsidR="00BF7F1E" w:rsidRPr="009F1832" w14:paraId="02082660" w14:textId="77777777" w:rsidTr="004F6607">
        <w:tc>
          <w:tcPr>
            <w:tcW w:w="3116" w:type="dxa"/>
          </w:tcPr>
          <w:p w14:paraId="237BA089" w14:textId="77777777" w:rsidR="00BF7F1E" w:rsidRPr="009F1832" w:rsidRDefault="00BF7F1E" w:rsidP="004F6607">
            <w:pPr>
              <w:rPr>
                <w:sz w:val="18"/>
                <w:szCs w:val="18"/>
              </w:rPr>
            </w:pPr>
            <w:r w:rsidRPr="009F1832">
              <w:rPr>
                <w:sz w:val="18"/>
                <w:szCs w:val="18"/>
              </w:rPr>
              <w:t xml:space="preserve">pigEggsInf (cysts) </w:t>
            </w:r>
          </w:p>
        </w:tc>
        <w:tc>
          <w:tcPr>
            <w:tcW w:w="3117" w:type="dxa"/>
          </w:tcPr>
          <w:p w14:paraId="58CA5C98" w14:textId="77777777" w:rsidR="00BF7F1E" w:rsidRPr="009F1832" w:rsidRDefault="00BF7F1E" w:rsidP="004F6607">
            <w:pPr>
              <w:rPr>
                <w:sz w:val="18"/>
                <w:szCs w:val="18"/>
              </w:rPr>
            </w:pPr>
            <w:r w:rsidRPr="009F1832">
              <w:rPr>
                <w:sz w:val="18"/>
                <w:szCs w:val="18"/>
              </w:rPr>
              <w:t>0</w:t>
            </w:r>
          </w:p>
        </w:tc>
        <w:tc>
          <w:tcPr>
            <w:tcW w:w="3117" w:type="dxa"/>
          </w:tcPr>
          <w:p w14:paraId="664F0F3B" w14:textId="77777777" w:rsidR="00BF7F1E" w:rsidRPr="009F1832" w:rsidRDefault="00BF7F1E" w:rsidP="004F6607">
            <w:pPr>
              <w:rPr>
                <w:sz w:val="18"/>
                <w:szCs w:val="18"/>
              </w:rPr>
            </w:pPr>
            <w:r w:rsidRPr="009F1832">
              <w:rPr>
                <w:sz w:val="18"/>
                <w:szCs w:val="18"/>
              </w:rPr>
              <w:t>5000</w:t>
            </w:r>
          </w:p>
        </w:tc>
      </w:tr>
      <w:tr w:rsidR="00BF7F1E" w:rsidRPr="009F1832" w14:paraId="085C1C8E" w14:textId="77777777" w:rsidTr="004F6607">
        <w:tc>
          <w:tcPr>
            <w:tcW w:w="3116" w:type="dxa"/>
          </w:tcPr>
          <w:p w14:paraId="0DB4DF7C" w14:textId="77777777" w:rsidR="00BF7F1E" w:rsidRPr="009F1832" w:rsidRDefault="00BF7F1E" w:rsidP="004F6607">
            <w:pPr>
              <w:rPr>
                <w:sz w:val="18"/>
                <w:szCs w:val="18"/>
              </w:rPr>
            </w:pPr>
            <w:r w:rsidRPr="009F1832">
              <w:rPr>
                <w:sz w:val="18"/>
                <w:szCs w:val="18"/>
              </w:rPr>
              <w:t>adherenceToLatrine</w:t>
            </w:r>
          </w:p>
        </w:tc>
        <w:tc>
          <w:tcPr>
            <w:tcW w:w="3117" w:type="dxa"/>
          </w:tcPr>
          <w:p w14:paraId="6EEE4AC6" w14:textId="77777777" w:rsidR="00BF7F1E" w:rsidRPr="009F1832" w:rsidRDefault="00BF7F1E" w:rsidP="004F6607">
            <w:pPr>
              <w:rPr>
                <w:sz w:val="18"/>
                <w:szCs w:val="18"/>
              </w:rPr>
            </w:pPr>
            <w:r w:rsidRPr="009F1832">
              <w:rPr>
                <w:sz w:val="18"/>
                <w:szCs w:val="18"/>
              </w:rPr>
              <w:t>0.1</w:t>
            </w:r>
          </w:p>
        </w:tc>
        <w:tc>
          <w:tcPr>
            <w:tcW w:w="3117" w:type="dxa"/>
          </w:tcPr>
          <w:p w14:paraId="46B77DA6" w14:textId="77777777" w:rsidR="00BF7F1E" w:rsidRPr="009F1832" w:rsidRDefault="00BF7F1E" w:rsidP="004F6607">
            <w:pPr>
              <w:rPr>
                <w:sz w:val="18"/>
                <w:szCs w:val="18"/>
              </w:rPr>
            </w:pPr>
            <w:r w:rsidRPr="009F1832">
              <w:rPr>
                <w:sz w:val="18"/>
                <w:szCs w:val="18"/>
              </w:rPr>
              <w:t>0.95</w:t>
            </w:r>
          </w:p>
        </w:tc>
      </w:tr>
    </w:tbl>
    <w:p w14:paraId="50C01F7E" w14:textId="77777777" w:rsidR="00BF7F1E" w:rsidRPr="009F1832" w:rsidRDefault="00BF7F1E" w:rsidP="00BF7F1E"/>
    <w:p w14:paraId="1577C287" w14:textId="77777777" w:rsidR="00061E81" w:rsidRPr="009F1832" w:rsidRDefault="00061E81" w:rsidP="0010618A"/>
    <w:p w14:paraId="228B6423" w14:textId="0E820621" w:rsidR="00907ECE" w:rsidRPr="009F1832" w:rsidRDefault="00907ECE" w:rsidP="00907ECE">
      <w:r w:rsidRPr="009F1832">
        <w:rPr>
          <w:noProof/>
        </w:rPr>
        <w:drawing>
          <wp:inline distT="0" distB="0" distL="0" distR="0" wp14:anchorId="2ADD05BC" wp14:editId="1FFCBBEC">
            <wp:extent cx="6120130" cy="32562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3256280"/>
                    </a:xfrm>
                    <a:prstGeom prst="rect">
                      <a:avLst/>
                    </a:prstGeom>
                    <a:noFill/>
                    <a:ln>
                      <a:noFill/>
                    </a:ln>
                  </pic:spPr>
                </pic:pic>
              </a:graphicData>
            </a:graphic>
          </wp:inline>
        </w:drawing>
      </w:r>
    </w:p>
    <w:p w14:paraId="588D668F" w14:textId="0FEAD3D3" w:rsidR="00907ECE" w:rsidRPr="009F1832" w:rsidRDefault="004B3549" w:rsidP="004B3549">
      <w:pPr>
        <w:pStyle w:val="Caption"/>
      </w:pPr>
      <w:r w:rsidRPr="004B3549">
        <w:rPr>
          <w:b/>
          <w:bCs/>
        </w:rPr>
        <w:lastRenderedPageBreak/>
        <w:t xml:space="preserve">S3 Fig </w:t>
      </w:r>
      <w:r w:rsidRPr="004B3549">
        <w:rPr>
          <w:b/>
          <w:bCs/>
        </w:rPr>
        <w:fldChar w:fldCharType="begin"/>
      </w:r>
      <w:r w:rsidRPr="004B3549">
        <w:rPr>
          <w:b/>
          <w:bCs/>
        </w:rPr>
        <w:instrText xml:space="preserve"> SEQ Fig \* ARABIC </w:instrText>
      </w:r>
      <w:r w:rsidRPr="004B3549">
        <w:rPr>
          <w:b/>
          <w:bCs/>
        </w:rPr>
        <w:fldChar w:fldCharType="separate"/>
      </w:r>
      <w:r>
        <w:rPr>
          <w:b/>
          <w:bCs/>
          <w:noProof/>
        </w:rPr>
        <w:t>1</w:t>
      </w:r>
      <w:r w:rsidRPr="004B3549">
        <w:rPr>
          <w:b/>
          <w:bCs/>
        </w:rPr>
        <w:fldChar w:fldCharType="end"/>
      </w:r>
      <w:r w:rsidRPr="004B3549">
        <w:rPr>
          <w:b/>
          <w:bCs/>
        </w:rPr>
        <w:t xml:space="preserve">: </w:t>
      </w:r>
      <w:r w:rsidR="000F5330" w:rsidRPr="004B3549">
        <w:rPr>
          <w:b/>
          <w:bCs/>
        </w:rPr>
        <w:t>Cross</w:t>
      </w:r>
      <w:r w:rsidR="000F5330" w:rsidRPr="009F1832">
        <w:rPr>
          <w:b/>
          <w:bCs/>
        </w:rPr>
        <w:t xml:space="preserve"> validation necro setup.</w:t>
      </w:r>
      <w:r w:rsidR="00907ECE" w:rsidRPr="009F1832">
        <w:t xml:space="preserve"> Cross-validation for 100 randomly selected simulations from the necro calibration setup, third stage. Estimated parameter values are compared to true values for the 6 calibration parameters with the identity line plotted as reference. The correlation coefficient between estimated and true parameter values is shown for each parameter together with the corresponding p value.</w:t>
      </w:r>
    </w:p>
    <w:p w14:paraId="3FE5E4A5" w14:textId="4B0EB37F" w:rsidR="004B3549" w:rsidRDefault="004B3549" w:rsidP="004B3549">
      <w:pPr>
        <w:pStyle w:val="Caption"/>
        <w:jc w:val="left"/>
      </w:pPr>
    </w:p>
    <w:p w14:paraId="26731A6C" w14:textId="77777777" w:rsidR="00826563" w:rsidRPr="009F1832" w:rsidRDefault="00826563" w:rsidP="00826563">
      <w:pPr>
        <w:keepNext/>
      </w:pPr>
      <w:r w:rsidRPr="009F1832">
        <w:rPr>
          <w:noProof/>
        </w:rPr>
        <w:drawing>
          <wp:inline distT="0" distB="0" distL="0" distR="0" wp14:anchorId="0F87DCCA" wp14:editId="51515F3A">
            <wp:extent cx="6120130" cy="1571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1571625"/>
                    </a:xfrm>
                    <a:prstGeom prst="rect">
                      <a:avLst/>
                    </a:prstGeom>
                    <a:noFill/>
                    <a:ln>
                      <a:noFill/>
                    </a:ln>
                  </pic:spPr>
                </pic:pic>
              </a:graphicData>
            </a:graphic>
          </wp:inline>
        </w:drawing>
      </w:r>
    </w:p>
    <w:p w14:paraId="64150C09" w14:textId="2AF8EF88" w:rsidR="00D72811" w:rsidRPr="004B3549" w:rsidRDefault="004B3549" w:rsidP="004B3549">
      <w:pPr>
        <w:pStyle w:val="Caption"/>
        <w:rPr>
          <w:rFonts w:eastAsiaTheme="minorEastAsia"/>
        </w:rPr>
      </w:pPr>
      <w:bookmarkStart w:id="1" w:name="_Hlk73857091"/>
      <w:r w:rsidRPr="004B3549">
        <w:rPr>
          <w:b/>
          <w:bCs/>
        </w:rPr>
        <w:t xml:space="preserve">S3 Fig </w:t>
      </w:r>
      <w:r w:rsidRPr="004B3549">
        <w:rPr>
          <w:b/>
          <w:bCs/>
        </w:rPr>
        <w:fldChar w:fldCharType="begin"/>
      </w:r>
      <w:r w:rsidRPr="004B3549">
        <w:rPr>
          <w:b/>
          <w:bCs/>
        </w:rPr>
        <w:instrText xml:space="preserve"> SEQ Fig \* ARABIC </w:instrText>
      </w:r>
      <w:r w:rsidRPr="004B3549">
        <w:rPr>
          <w:b/>
          <w:bCs/>
        </w:rPr>
        <w:fldChar w:fldCharType="separate"/>
      </w:r>
      <w:r w:rsidRPr="004B3549">
        <w:rPr>
          <w:b/>
          <w:bCs/>
          <w:noProof/>
        </w:rPr>
        <w:t>2</w:t>
      </w:r>
      <w:r w:rsidRPr="004B3549">
        <w:rPr>
          <w:b/>
          <w:bCs/>
        </w:rPr>
        <w:fldChar w:fldCharType="end"/>
      </w:r>
      <w:r w:rsidRPr="004B3549">
        <w:rPr>
          <w:b/>
          <w:bCs/>
        </w:rPr>
        <w:t>:</w:t>
      </w:r>
      <w:r>
        <w:t xml:space="preserve"> </w:t>
      </w:r>
      <w:r w:rsidRPr="004B3549">
        <w:rPr>
          <w:b/>
          <w:bCs/>
        </w:rPr>
        <w:t>ABC posterior distribution, simplified calibration setup.</w:t>
      </w:r>
      <w:r w:rsidRPr="009F1832">
        <w:t xml:space="preserve"> </w:t>
      </w:r>
      <w:r w:rsidRPr="638D941E">
        <w:rPr>
          <w:rFonts w:eastAsiaTheme="minorEastAsia"/>
        </w:rPr>
        <w:t>Horizontal bold lines indicate the posterior distribution median, boxes cover the parameter values above the first quartile and below the third quartile and vertical lines show maximum and minimum values. Black dots show outliers.</w:t>
      </w:r>
    </w:p>
    <w:bookmarkEnd w:id="1"/>
    <w:p w14:paraId="11904E4E" w14:textId="0B6C538A" w:rsidR="006B64C4" w:rsidRPr="009F1832" w:rsidRDefault="006B64C4" w:rsidP="00D72811">
      <w:pPr>
        <w:pStyle w:val="Heading1"/>
      </w:pPr>
    </w:p>
    <w:sectPr w:rsidR="006B64C4" w:rsidRPr="009F183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D6"/>
    <w:rsid w:val="00061E81"/>
    <w:rsid w:val="000F5330"/>
    <w:rsid w:val="0010618A"/>
    <w:rsid w:val="001717D6"/>
    <w:rsid w:val="002731CE"/>
    <w:rsid w:val="004B3549"/>
    <w:rsid w:val="005A78BD"/>
    <w:rsid w:val="006B64C4"/>
    <w:rsid w:val="00807340"/>
    <w:rsid w:val="00826563"/>
    <w:rsid w:val="00872A0B"/>
    <w:rsid w:val="00907ECE"/>
    <w:rsid w:val="009F1832"/>
    <w:rsid w:val="00A10FFE"/>
    <w:rsid w:val="00B20E80"/>
    <w:rsid w:val="00B74B4F"/>
    <w:rsid w:val="00BF7F1E"/>
    <w:rsid w:val="00CB2481"/>
    <w:rsid w:val="00D72811"/>
    <w:rsid w:val="00D95DFF"/>
    <w:rsid w:val="00DF26F9"/>
    <w:rsid w:val="00E236C6"/>
    <w:rsid w:val="00F926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49702"/>
  <w15:chartTrackingRefBased/>
  <w15:docId w15:val="{0BF02A27-5D8D-43AF-A51F-EF6FAD896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5A78BD"/>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D728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8BD"/>
    <w:rPr>
      <w:rFonts w:asciiTheme="majorHAnsi" w:eastAsiaTheme="majorEastAsia" w:hAnsiTheme="majorHAnsi" w:cstheme="majorBidi"/>
      <w:b/>
      <w:sz w:val="32"/>
      <w:szCs w:val="32"/>
      <w:lang w:val="en-US"/>
    </w:rPr>
  </w:style>
  <w:style w:type="paragraph" w:styleId="BalloonText">
    <w:name w:val="Balloon Text"/>
    <w:basedOn w:val="Normal"/>
    <w:link w:val="BalloonTextChar"/>
    <w:uiPriority w:val="99"/>
    <w:semiHidden/>
    <w:unhideWhenUsed/>
    <w:rsid w:val="00D72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811"/>
    <w:rPr>
      <w:rFonts w:ascii="Segoe UI" w:hAnsi="Segoe UI" w:cs="Segoe UI"/>
      <w:sz w:val="18"/>
      <w:szCs w:val="18"/>
      <w:lang w:val="en-US"/>
    </w:rPr>
  </w:style>
  <w:style w:type="paragraph" w:styleId="Title">
    <w:name w:val="Title"/>
    <w:basedOn w:val="Normal"/>
    <w:next w:val="Normal"/>
    <w:link w:val="TitleChar"/>
    <w:uiPriority w:val="10"/>
    <w:qFormat/>
    <w:rsid w:val="00D72811"/>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2811"/>
    <w:rPr>
      <w:rFonts w:asciiTheme="majorHAnsi" w:eastAsiaTheme="majorEastAsia" w:hAnsiTheme="majorHAnsi" w:cstheme="majorBidi"/>
      <w:spacing w:val="-10"/>
      <w:kern w:val="28"/>
      <w:sz w:val="56"/>
      <w:szCs w:val="56"/>
      <w:lang w:val="en-US"/>
    </w:rPr>
  </w:style>
  <w:style w:type="character" w:customStyle="1" w:styleId="Heading2Char">
    <w:name w:val="Heading 2 Char"/>
    <w:basedOn w:val="DefaultParagraphFont"/>
    <w:link w:val="Heading2"/>
    <w:uiPriority w:val="9"/>
    <w:rsid w:val="00D72811"/>
    <w:rPr>
      <w:rFonts w:asciiTheme="majorHAnsi" w:eastAsiaTheme="majorEastAsia" w:hAnsiTheme="majorHAnsi" w:cstheme="majorBidi"/>
      <w:color w:val="2F5496" w:themeColor="accent1" w:themeShade="BF"/>
      <w:sz w:val="26"/>
      <w:szCs w:val="26"/>
      <w:lang w:val="en-US"/>
    </w:rPr>
  </w:style>
  <w:style w:type="paragraph" w:styleId="Caption">
    <w:name w:val="caption"/>
    <w:basedOn w:val="Normal"/>
    <w:next w:val="Normal"/>
    <w:uiPriority w:val="35"/>
    <w:unhideWhenUsed/>
    <w:qFormat/>
    <w:rsid w:val="00907ECE"/>
    <w:pPr>
      <w:spacing w:after="200" w:line="240" w:lineRule="auto"/>
      <w:jc w:val="both"/>
    </w:pPr>
    <w:rPr>
      <w:i/>
      <w:iCs/>
      <w:color w:val="44546A" w:themeColor="text2"/>
      <w:sz w:val="18"/>
      <w:szCs w:val="18"/>
    </w:rPr>
  </w:style>
  <w:style w:type="table" w:styleId="TableGrid">
    <w:name w:val="Table Grid"/>
    <w:basedOn w:val="TableNormal"/>
    <w:uiPriority w:val="39"/>
    <w:rsid w:val="0010618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C6B7D-5D83-4DF5-B9E3-D5FADF2EB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dc:creator>
  <cp:keywords/>
  <dc:description/>
  <cp:lastModifiedBy>Francesco Pizzitutti</cp:lastModifiedBy>
  <cp:revision>19</cp:revision>
  <dcterms:created xsi:type="dcterms:W3CDTF">2021-01-03T12:12:00Z</dcterms:created>
  <dcterms:modified xsi:type="dcterms:W3CDTF">2022-09-16T13:37:00Z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