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9639" w:type="dxa"/>
        <w:tblLayout w:type="fixed"/>
        <w:tblLook w:val="06A0" w:firstRow="1" w:lastRow="0" w:firstColumn="1" w:lastColumn="0" w:noHBand="1" w:noVBand="1"/>
      </w:tblPr>
      <w:tblGrid>
        <w:gridCol w:w="851"/>
        <w:gridCol w:w="1417"/>
        <w:gridCol w:w="1134"/>
        <w:gridCol w:w="1418"/>
        <w:gridCol w:w="2977"/>
        <w:gridCol w:w="1842"/>
      </w:tblGrid>
      <w:tr w:rsidR="00DA1F53" w14:paraId="6828CBC8" w14:textId="77777777" w:rsidTr="2DAC3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6"/>
            <w:tcBorders>
              <w:bottom w:val="single" w:sz="4" w:space="0" w:color="auto"/>
            </w:tcBorders>
          </w:tcPr>
          <w:p w14:paraId="0816A88D" w14:textId="77777777" w:rsidR="00DA1F53" w:rsidRPr="00F17F78" w:rsidRDefault="00DA1F53" w:rsidP="00CA2B5F">
            <w:pPr>
              <w:spacing w:line="480" w:lineRule="auto"/>
              <w:jc w:val="left"/>
              <w:rPr>
                <w:b w:val="0"/>
                <w:bCs w:val="0"/>
              </w:rPr>
            </w:pPr>
            <w:bookmarkStart w:id="0" w:name="_Hlk106444446"/>
            <w:r w:rsidRPr="00DD7A3C">
              <w:rPr>
                <w:color w:val="000000" w:themeColor="text1"/>
              </w:rPr>
              <w:t>S2 Table –</w:t>
            </w:r>
            <w:r w:rsidRPr="00F17F78">
              <w:rPr>
                <w:b w:val="0"/>
                <w:bCs w:val="0"/>
                <w:color w:val="000000" w:themeColor="text1"/>
              </w:rPr>
              <w:t xml:space="preserve"> </w:t>
            </w:r>
            <w:r w:rsidRPr="00F17F78">
              <w:rPr>
                <w:color w:val="000000" w:themeColor="text1"/>
              </w:rPr>
              <w:t xml:space="preserve">Model parameter estimates after fitting </w:t>
            </w:r>
            <w:r w:rsidRPr="00F17F78">
              <w:t xml:space="preserve">Ewers and </w:t>
            </w:r>
            <w:proofErr w:type="spellStart"/>
            <w:r w:rsidRPr="00F17F78">
              <w:t>Didham’s</w:t>
            </w:r>
            <w:proofErr w:type="spellEnd"/>
            <w:r w:rsidRPr="00F17F78">
              <w:t xml:space="preserve"> (2006) edge effect models. </w:t>
            </w:r>
          </w:p>
          <w:p w14:paraId="684CDF8B" w14:textId="409F0933" w:rsidR="00DA1F53" w:rsidRDefault="2DAC3A78" w:rsidP="00CA2B5F">
            <w:pPr>
              <w:spacing w:line="48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Each model below represents the best-fit model(s) per guild and stratum as determined using the </w:t>
            </w:r>
            <w:proofErr w:type="gramStart"/>
            <w:r>
              <w:rPr>
                <w:b w:val="0"/>
                <w:bCs w:val="0"/>
              </w:rPr>
              <w:t>second-order</w:t>
            </w:r>
            <w:proofErr w:type="gramEnd"/>
            <w:r>
              <w:rPr>
                <w:b w:val="0"/>
                <w:bCs w:val="0"/>
              </w:rPr>
              <w:t xml:space="preserve"> Akaike Information Criterion (</w:t>
            </w:r>
            <w:proofErr w:type="spellStart"/>
            <w:r>
              <w:rPr>
                <w:b w:val="0"/>
                <w:bCs w:val="0"/>
              </w:rPr>
              <w:t>AICc</w:t>
            </w:r>
            <w:proofErr w:type="spellEnd"/>
            <w:r>
              <w:rPr>
                <w:b w:val="0"/>
                <w:bCs w:val="0"/>
              </w:rPr>
              <w:t>). These include the raw estimates on the logarithmic scale as well as the back-transformed estimates</w:t>
            </w:r>
            <w:r w:rsidR="00B67299">
              <w:rPr>
                <w:b w:val="0"/>
                <w:bCs w:val="0"/>
              </w:rPr>
              <w:t xml:space="preserve"> (</w:t>
            </w:r>
            <w:r w:rsidR="00BE1822">
              <w:rPr>
                <w:b w:val="0"/>
                <w:bCs w:val="0"/>
              </w:rPr>
              <w:t>true bat passes)</w:t>
            </w:r>
            <w:r>
              <w:rPr>
                <w:b w:val="0"/>
                <w:bCs w:val="0"/>
              </w:rPr>
              <w:t xml:space="preserve">. </w:t>
            </w:r>
            <w:r w:rsidR="00146CF8">
              <w:rPr>
                <w:b w:val="0"/>
                <w:bCs w:val="0"/>
              </w:rPr>
              <w:t>M</w:t>
            </w:r>
            <w:r w:rsidR="00146CF8" w:rsidRPr="00146CF8">
              <w:rPr>
                <w:b w:val="0"/>
                <w:bCs w:val="0"/>
              </w:rPr>
              <w:t xml:space="preserve">ean number of </w:t>
            </w:r>
            <w:proofErr w:type="gramStart"/>
            <w:r w:rsidR="00146CF8" w:rsidRPr="00146CF8">
              <w:rPr>
                <w:b w:val="0"/>
                <w:bCs w:val="0"/>
              </w:rPr>
              <w:t>bat</w:t>
            </w:r>
            <w:proofErr w:type="gramEnd"/>
            <w:r w:rsidR="00146CF8">
              <w:rPr>
                <w:b w:val="0"/>
                <w:bCs w:val="0"/>
              </w:rPr>
              <w:t xml:space="preserve"> passes in stratum </w:t>
            </w:r>
            <w:r w:rsidR="00146CF8" w:rsidRPr="00146CF8">
              <w:rPr>
                <w:b w:val="0"/>
                <w:bCs w:val="0"/>
              </w:rPr>
              <w:t>(η or β0)</w:t>
            </w:r>
            <w:r w:rsidR="00DB2E91">
              <w:rPr>
                <w:b w:val="0"/>
                <w:bCs w:val="0"/>
              </w:rPr>
              <w:t xml:space="preserve">. Change in </w:t>
            </w:r>
            <w:r w:rsidR="00546F44">
              <w:rPr>
                <w:b w:val="0"/>
                <w:bCs w:val="0"/>
              </w:rPr>
              <w:t xml:space="preserve">bat passes </w:t>
            </w:r>
            <w:r w:rsidR="0057311B">
              <w:rPr>
                <w:b w:val="0"/>
                <w:bCs w:val="0"/>
              </w:rPr>
              <w:t>with distance from the edge (</w:t>
            </w:r>
            <w:r w:rsidR="0057311B" w:rsidRPr="0057311B">
              <w:rPr>
                <w:b w:val="0"/>
                <w:bCs w:val="0"/>
              </w:rPr>
              <w:t>β1</w:t>
            </w:r>
            <w:r w:rsidR="0057311B">
              <w:rPr>
                <w:b w:val="0"/>
                <w:bCs w:val="0"/>
              </w:rPr>
              <w:t>).</w:t>
            </w:r>
            <w:r w:rsidR="00146CF8" w:rsidRPr="00146CF8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Confidence intervals (CI) for the transformed scale were calculated using the delta method. </w:t>
            </w:r>
            <w:bookmarkEnd w:id="0"/>
          </w:p>
        </w:tc>
      </w:tr>
      <w:tr w:rsidR="00DA1F53" w14:paraId="66E34110" w14:textId="77777777" w:rsidTr="2DAC3A78">
        <w:trPr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EB444" w14:textId="77777777" w:rsidR="00DA1F53" w:rsidRPr="00FB03CF" w:rsidRDefault="00DA1F53" w:rsidP="00CA2B5F">
            <w:pPr>
              <w:spacing w:line="480" w:lineRule="auto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64ACD" w14:textId="77777777" w:rsidR="00DA1F53" w:rsidRPr="00FB03CF" w:rsidRDefault="00DA1F53" w:rsidP="00CA2B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B03CF">
              <w:rPr>
                <w:rFonts w:eastAsia="Times New Roman"/>
                <w:b/>
                <w:bCs/>
              </w:rPr>
              <w:t>Stratum</w:t>
            </w:r>
          </w:p>
          <w:p w14:paraId="67A079DB" w14:textId="77777777" w:rsidR="00DA1F53" w:rsidRPr="00FB03CF" w:rsidRDefault="00DA1F53" w:rsidP="00CA2B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FB78E" w14:textId="77777777" w:rsidR="00DA1F53" w:rsidRPr="00FB03CF" w:rsidRDefault="00DA1F53" w:rsidP="00CA2B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B03CF">
              <w:rPr>
                <w:b/>
                <w:bCs/>
                <w:color w:val="000000" w:themeColor="text1"/>
              </w:rPr>
              <w:t>Model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172C3" w14:textId="77777777" w:rsidR="00DA1F53" w:rsidRPr="00FB03CF" w:rsidRDefault="00DA1F53" w:rsidP="00CA2B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B03CF">
              <w:rPr>
                <w:b/>
                <w:bCs/>
                <w:color w:val="000000" w:themeColor="text1"/>
              </w:rPr>
              <w:t>Parameter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DFC9B2C" w14:textId="09AB844F" w:rsidR="00DA1F53" w:rsidRPr="7B39B7D3" w:rsidRDefault="2DAC3A78" w:rsidP="2DAC3A7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2DAC3A78">
              <w:rPr>
                <w:b/>
                <w:bCs/>
                <w:color w:val="000000" w:themeColor="text1"/>
              </w:rPr>
              <w:t xml:space="preserve">Raw </w:t>
            </w:r>
            <w:r w:rsidR="00DA1F53">
              <w:br/>
            </w:r>
            <w:r w:rsidRPr="2DAC3A78">
              <w:rPr>
                <w:b/>
                <w:bCs/>
                <w:color w:val="000000" w:themeColor="text1"/>
              </w:rPr>
              <w:t>estimate (CI)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ED9DC3F" w14:textId="26028B0E" w:rsidR="00DA1F53" w:rsidRPr="7B39B7D3" w:rsidRDefault="2DAC3A78" w:rsidP="2DAC3A7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2DAC3A78">
              <w:rPr>
                <w:b/>
                <w:bCs/>
                <w:color w:val="000000" w:themeColor="text1"/>
              </w:rPr>
              <w:t>Transformed estimate (CI)</w:t>
            </w:r>
          </w:p>
        </w:tc>
      </w:tr>
      <w:tr w:rsidR="00DA1F53" w14:paraId="544EF598" w14:textId="77777777" w:rsidTr="2DAC3A78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743FD65" w14:textId="77777777" w:rsidR="00DA1F53" w:rsidRPr="00FB03CF" w:rsidRDefault="00DA1F53" w:rsidP="00CA2B5F">
            <w:pPr>
              <w:spacing w:line="480" w:lineRule="auto"/>
              <w:jc w:val="left"/>
              <w:rPr>
                <w:rFonts w:eastAsia="Times New Roman"/>
              </w:rPr>
            </w:pPr>
            <w:r w:rsidRPr="00FB03CF">
              <w:rPr>
                <w:color w:val="000000" w:themeColor="text1"/>
              </w:rPr>
              <w:t>Forest specialists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65CEBD3" w14:textId="77777777" w:rsidR="00DA1F53" w:rsidRPr="00FB03CF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5CFD936" w14:textId="77777777" w:rsidR="00DA1F53" w:rsidRPr="00FB03CF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1CCEB79" w14:textId="77777777" w:rsidR="00DA1F5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D72485C" w14:textId="77777777" w:rsidR="00DA1F5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DA1F53" w14:paraId="0507AEFB" w14:textId="77777777" w:rsidTr="2DAC3A78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7430B1F1" w14:textId="77777777" w:rsidR="00DA1F53" w:rsidRDefault="00DA1F53" w:rsidP="00CA2B5F">
            <w:pPr>
              <w:spacing w:line="480" w:lineRule="auto"/>
              <w:jc w:val="left"/>
              <w:rPr>
                <w:i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0B274FB5" w14:textId="77777777" w:rsidR="00DA1F5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Canopy</w:t>
            </w:r>
          </w:p>
        </w:tc>
        <w:tc>
          <w:tcPr>
            <w:tcW w:w="1134" w:type="dxa"/>
            <w:shd w:val="clear" w:color="auto" w:fill="auto"/>
          </w:tcPr>
          <w:p w14:paraId="7E298E9E" w14:textId="77777777" w:rsidR="00DA1F5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1B5148A0" w14:textId="77777777" w:rsidR="00DA1F5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14:paraId="185BD41B" w14:textId="77777777" w:rsidR="00DA1F53" w:rsidRPr="7B39B7D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842" w:type="dxa"/>
          </w:tcPr>
          <w:p w14:paraId="15E4C935" w14:textId="77777777" w:rsidR="00DA1F53" w:rsidRPr="7B39B7D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DA1F53" w14:paraId="275D02E0" w14:textId="77777777" w:rsidTr="2DAC3A78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12D0738E" w14:textId="77777777" w:rsidR="00DA1F53" w:rsidRDefault="00DA1F53" w:rsidP="00CA2B5F">
            <w:pPr>
              <w:spacing w:line="480" w:lineRule="auto"/>
              <w:jc w:val="left"/>
              <w:rPr>
                <w:i/>
                <w:color w:val="000000" w:themeColor="text1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1EDD40B" w14:textId="77777777" w:rsidR="00DA1F5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BEC9271" w14:textId="77777777" w:rsidR="00DA1F5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Null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DBB0132" w14:textId="77777777" w:rsidR="00DA1F53" w:rsidRPr="00924558" w:rsidRDefault="00546F44" w:rsidP="00CA2B5F">
            <w:pPr>
              <w:spacing w:line="257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η</m:t>
                    </m:r>
                  </m:e>
                </m:acc>
              </m:oMath>
            </m:oMathPara>
          </w:p>
          <w:p w14:paraId="4A29B6A7" w14:textId="77777777" w:rsidR="00DA1F53" w:rsidRPr="00924558" w:rsidRDefault="00DA1F53" w:rsidP="00CA2B5F">
            <w:pPr>
              <w:spacing w:line="257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3D50F631" w14:textId="77777777" w:rsidR="00DA1F53" w:rsidRPr="00924558" w:rsidRDefault="00DA1F53" w:rsidP="00CA2B5F">
            <w:pPr>
              <w:spacing w:line="257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66018140" w14:textId="77777777" w:rsidR="00DA1F53" w:rsidRPr="7B39B7D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color w:val="000000" w:themeColor="text1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62C87114" w14:textId="77777777" w:rsidR="00DA1F53" w:rsidRPr="7B39B7D3" w:rsidRDefault="00DA1F53" w:rsidP="00CA2B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Pr="57AAFA50">
              <w:rPr>
                <w:rFonts w:eastAsia="Times New Roman"/>
              </w:rPr>
              <w:t>56</w:t>
            </w:r>
            <w:r>
              <w:rPr>
                <w:rFonts w:eastAsia="Times New Roman"/>
              </w:rPr>
              <w:br/>
              <w:t>(2.</w:t>
            </w:r>
            <w:r w:rsidRPr="57AAFA50">
              <w:rPr>
                <w:rFonts w:eastAsia="Times New Roman"/>
              </w:rPr>
              <w:t>26</w:t>
            </w:r>
            <w:r>
              <w:rPr>
                <w:rFonts w:eastAsia="Times New Roman"/>
              </w:rPr>
              <w:t>-2.</w:t>
            </w:r>
            <w:r w:rsidRPr="57AAFA50">
              <w:rPr>
                <w:rFonts w:eastAsia="Times New Roman"/>
              </w:rPr>
              <w:t>86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EA6FDA2" w14:textId="77777777" w:rsidR="00DA1F53" w:rsidRPr="7B39B7D3" w:rsidRDefault="00DA1F53" w:rsidP="00CA2B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12.91</w:t>
            </w:r>
            <w:r>
              <w:rPr>
                <w:rFonts w:eastAsia="Times New Roman"/>
              </w:rPr>
              <w:br/>
              <w:t>(9.11-16.71)</w:t>
            </w:r>
          </w:p>
        </w:tc>
      </w:tr>
      <w:tr w:rsidR="00DA1F53" w14:paraId="50C97033" w14:textId="77777777" w:rsidTr="2DAC3A78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364408BE" w14:textId="77777777" w:rsidR="00DA1F53" w:rsidRDefault="00DA1F53" w:rsidP="00CA2B5F">
            <w:pPr>
              <w:spacing w:line="480" w:lineRule="auto"/>
              <w:jc w:val="left"/>
              <w:rPr>
                <w:i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6B1031CB" w14:textId="77777777" w:rsidR="00DA1F5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Understory</w:t>
            </w:r>
          </w:p>
        </w:tc>
        <w:tc>
          <w:tcPr>
            <w:tcW w:w="1134" w:type="dxa"/>
            <w:shd w:val="clear" w:color="auto" w:fill="auto"/>
          </w:tcPr>
          <w:p w14:paraId="6753319A" w14:textId="77777777" w:rsidR="00DA1F5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7DA2E0B2" w14:textId="77777777" w:rsidR="00DA1F53" w:rsidRPr="7B39B7D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6C930140" w14:textId="77777777" w:rsidR="00DA1F53" w:rsidRPr="7B39B7D3" w:rsidRDefault="00DA1F53" w:rsidP="00CA2B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842" w:type="dxa"/>
          </w:tcPr>
          <w:p w14:paraId="5EA3E65D" w14:textId="77777777" w:rsidR="00DA1F53" w:rsidRPr="7B39B7D3" w:rsidRDefault="00DA1F53" w:rsidP="00CA2B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DA1F53" w14:paraId="38944C62" w14:textId="77777777" w:rsidTr="2DAC3A78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5AE23C60" w14:textId="77777777" w:rsidR="00DA1F53" w:rsidRDefault="00DA1F53" w:rsidP="00CA2B5F">
            <w:pPr>
              <w:spacing w:line="480" w:lineRule="auto"/>
              <w:jc w:val="left"/>
              <w:rPr>
                <w:i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343325A3" w14:textId="77777777" w:rsidR="00DA1F5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2937B43C" w14:textId="77777777" w:rsidR="00DA1F5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Linear</w:t>
            </w:r>
          </w:p>
        </w:tc>
        <w:tc>
          <w:tcPr>
            <w:tcW w:w="1418" w:type="dxa"/>
            <w:shd w:val="clear" w:color="auto" w:fill="auto"/>
          </w:tcPr>
          <w:p w14:paraId="590A295A" w14:textId="77777777" w:rsidR="00DA1F53" w:rsidRPr="7B39B7D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vertAlign w:val="subscript"/>
              </w:rPr>
            </w:pPr>
            <w:r w:rsidRPr="358D9689">
              <w:rPr>
                <w:rFonts w:eastAsia="Times New Roman"/>
              </w:rPr>
              <w:t>β</w:t>
            </w:r>
            <w:r w:rsidRPr="358D9689">
              <w:rPr>
                <w:rFonts w:eastAsia="Times New Roman"/>
                <w:vertAlign w:val="subscript"/>
              </w:rPr>
              <w:t>0</w:t>
            </w:r>
          </w:p>
        </w:tc>
        <w:tc>
          <w:tcPr>
            <w:tcW w:w="2977" w:type="dxa"/>
          </w:tcPr>
          <w:p w14:paraId="75E14D70" w14:textId="77777777" w:rsidR="00DA1F53" w:rsidRPr="7B39B7D3" w:rsidRDefault="00DA1F53" w:rsidP="00CA2B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 w:rsidRPr="57AAFA50">
              <w:rPr>
                <w:rFonts w:eastAsia="Times New Roman"/>
              </w:rPr>
              <w:t>957</w:t>
            </w:r>
            <w:r>
              <w:rPr>
                <w:rFonts w:eastAsia="Times New Roman"/>
              </w:rPr>
              <w:br/>
              <w:t>(0.</w:t>
            </w:r>
            <w:r w:rsidRPr="27F4423D">
              <w:rPr>
                <w:rFonts w:eastAsia="Times New Roman"/>
              </w:rPr>
              <w:t>742</w:t>
            </w:r>
            <w:r>
              <w:rPr>
                <w:rFonts w:eastAsia="Times New Roman"/>
              </w:rPr>
              <w:t>-1.</w:t>
            </w:r>
            <w:r w:rsidRPr="27F4423D">
              <w:rPr>
                <w:rFonts w:eastAsia="Times New Roman"/>
              </w:rPr>
              <w:t>172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842" w:type="dxa"/>
          </w:tcPr>
          <w:p w14:paraId="5F64C988" w14:textId="77777777" w:rsidR="00DA1F53" w:rsidRPr="7B39B7D3" w:rsidRDefault="00DA1F53" w:rsidP="00CA2B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2.60 </w:t>
            </w:r>
            <w:r>
              <w:rPr>
                <w:rFonts w:eastAsia="Times New Roman"/>
              </w:rPr>
              <w:br/>
              <w:t>(2.06-3.14)</w:t>
            </w:r>
          </w:p>
        </w:tc>
      </w:tr>
      <w:tr w:rsidR="00DA1F53" w14:paraId="7B2CBF4A" w14:textId="77777777" w:rsidTr="2DAC3A78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2C432D9C" w14:textId="77777777" w:rsidR="00DA1F53" w:rsidRDefault="00DA1F53" w:rsidP="00CA2B5F">
            <w:pPr>
              <w:spacing w:line="480" w:lineRule="auto"/>
              <w:jc w:val="left"/>
              <w:rPr>
                <w:i/>
                <w:color w:val="000000" w:themeColor="text1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83983A1" w14:textId="77777777" w:rsidR="00DA1F5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17B75AE" w14:textId="77777777" w:rsidR="00DA1F5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Linear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85E64E9" w14:textId="77777777" w:rsidR="00DA1F53" w:rsidRPr="7B39B7D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338F1450">
              <w:rPr>
                <w:rFonts w:eastAsia="Times New Roman"/>
              </w:rPr>
              <w:t>β</w:t>
            </w:r>
            <w:r w:rsidRPr="338F1450">
              <w:rPr>
                <w:rFonts w:eastAsia="Times New Roman"/>
                <w:vertAlign w:val="subscript"/>
              </w:rPr>
              <w:t>1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18520A2D" w14:textId="77777777" w:rsidR="00DA1F53" w:rsidRDefault="00DA1F53" w:rsidP="00CA2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1BD727D1">
              <w:rPr>
                <w:rFonts w:eastAsia="Times New Roman"/>
              </w:rPr>
              <w:t>-0.000371</w:t>
            </w:r>
            <w:r>
              <w:br/>
            </w:r>
            <w:r w:rsidRPr="1BD727D1">
              <w:rPr>
                <w:rFonts w:eastAsia="Times New Roman"/>
              </w:rPr>
              <w:t>(-0.000735</w:t>
            </w:r>
            <w:r w:rsidRPr="54E5B2A6">
              <w:rPr>
                <w:rFonts w:eastAsia="Times New Roman"/>
              </w:rPr>
              <w:t>- -</w:t>
            </w:r>
            <w:r w:rsidRPr="1BD727D1">
              <w:rPr>
                <w:rFonts w:eastAsia="Times New Roman"/>
              </w:rPr>
              <w:t>0.00000751)</w:t>
            </w:r>
          </w:p>
          <w:p w14:paraId="1E5D176C" w14:textId="77777777" w:rsidR="00DA1F53" w:rsidRPr="7B39B7D3" w:rsidRDefault="00DA1F53" w:rsidP="00CA2B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7458511D" w14:textId="77777777" w:rsidR="00DA1F53" w:rsidRPr="7B39B7D3" w:rsidRDefault="00DA1F53" w:rsidP="00CA2B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DA1F53" w14:paraId="7BF97BF3" w14:textId="77777777" w:rsidTr="2DAC3A78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7EB38087" w14:textId="77777777" w:rsidR="00DA1F53" w:rsidRDefault="00DA1F53" w:rsidP="00CA2B5F">
            <w:pPr>
              <w:spacing w:line="480" w:lineRule="auto"/>
              <w:jc w:val="left"/>
              <w:rPr>
                <w:i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4756A49E" w14:textId="77777777" w:rsidR="00DA1F5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61F618B0" w14:textId="77777777" w:rsidR="00DA1F5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Power</w:t>
            </w:r>
          </w:p>
        </w:tc>
        <w:tc>
          <w:tcPr>
            <w:tcW w:w="1418" w:type="dxa"/>
            <w:shd w:val="clear" w:color="auto" w:fill="auto"/>
          </w:tcPr>
          <w:p w14:paraId="391E093B" w14:textId="77777777" w:rsidR="00DA1F53" w:rsidRPr="7B39B7D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vertAlign w:val="subscript"/>
              </w:rPr>
            </w:pPr>
            <w:r w:rsidRPr="2CDB7355">
              <w:rPr>
                <w:rFonts w:eastAsia="Times New Roman"/>
              </w:rPr>
              <w:t>β</w:t>
            </w:r>
            <w:r w:rsidRPr="2CDB7355">
              <w:rPr>
                <w:rFonts w:eastAsia="Times New Roman"/>
                <w:vertAlign w:val="subscript"/>
              </w:rPr>
              <w:t>0</w:t>
            </w:r>
          </w:p>
        </w:tc>
        <w:tc>
          <w:tcPr>
            <w:tcW w:w="2977" w:type="dxa"/>
          </w:tcPr>
          <w:p w14:paraId="5054E87C" w14:textId="77777777" w:rsidR="00DA1F53" w:rsidRPr="7B39B7D3" w:rsidRDefault="00DA1F53" w:rsidP="00CA2B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 w:rsidRPr="5E7C5634">
              <w:rPr>
                <w:rFonts w:eastAsia="Times New Roman"/>
              </w:rPr>
              <w:t>937</w:t>
            </w:r>
            <w:r>
              <w:br/>
            </w:r>
            <w:r>
              <w:rPr>
                <w:rFonts w:eastAsia="Times New Roman"/>
              </w:rPr>
              <w:t>(0.</w:t>
            </w:r>
            <w:r w:rsidRPr="5E7C5634">
              <w:rPr>
                <w:rFonts w:eastAsia="Times New Roman"/>
              </w:rPr>
              <w:t>711</w:t>
            </w:r>
            <w:r>
              <w:rPr>
                <w:rFonts w:eastAsia="Times New Roman"/>
              </w:rPr>
              <w:t>-1.</w:t>
            </w:r>
            <w:r w:rsidRPr="5E7C5634">
              <w:rPr>
                <w:rFonts w:eastAsia="Times New Roman"/>
              </w:rPr>
              <w:t>162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842" w:type="dxa"/>
          </w:tcPr>
          <w:p w14:paraId="6467C4E5" w14:textId="77777777" w:rsidR="00DA1F53" w:rsidRPr="7B39B7D3" w:rsidRDefault="00DA1F53" w:rsidP="00CA2B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2.55 </w:t>
            </w:r>
            <w:r>
              <w:rPr>
                <w:rFonts w:eastAsia="Times New Roman"/>
              </w:rPr>
              <w:br/>
              <w:t>(1.99-3.11)</w:t>
            </w:r>
          </w:p>
        </w:tc>
      </w:tr>
      <w:tr w:rsidR="00DA1F53" w14:paraId="735B2D61" w14:textId="77777777" w:rsidTr="2DAC3A78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2D1515A9" w14:textId="77777777" w:rsidR="00DA1F53" w:rsidRDefault="00DA1F53" w:rsidP="00CA2B5F">
            <w:pPr>
              <w:spacing w:line="480" w:lineRule="auto"/>
              <w:jc w:val="left"/>
              <w:rPr>
                <w:i/>
                <w:color w:val="000000" w:themeColor="text1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CECBBF4" w14:textId="77777777" w:rsidR="00DA1F5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0F34506" w14:textId="77777777" w:rsidR="00DA1F5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Power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FABD8A9" w14:textId="77777777" w:rsidR="00DA1F53" w:rsidRPr="7B39B7D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4CEF8FA6">
              <w:rPr>
                <w:rFonts w:eastAsia="Times New Roman"/>
              </w:rPr>
              <w:t>β</w:t>
            </w:r>
            <w:r w:rsidRPr="4CEF8FA6">
              <w:rPr>
                <w:rFonts w:eastAsia="Times New Roman"/>
                <w:vertAlign w:val="subscript"/>
              </w:rPr>
              <w:t>1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0EA3B14D" w14:textId="77777777" w:rsidR="00DA1F53" w:rsidRPr="7B39B7D3" w:rsidRDefault="00DA1F53" w:rsidP="00CA2B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-0.</w:t>
            </w:r>
            <w:r w:rsidRPr="5E7C5634">
              <w:rPr>
                <w:rFonts w:eastAsia="Times New Roman"/>
              </w:rPr>
              <w:t>000366</w:t>
            </w:r>
            <w:r>
              <w:br/>
            </w:r>
            <w:r>
              <w:rPr>
                <w:rFonts w:eastAsia="Times New Roman"/>
              </w:rPr>
              <w:t>(-0.</w:t>
            </w:r>
            <w:r w:rsidRPr="5E7C5634">
              <w:rPr>
                <w:rFonts w:eastAsia="Times New Roman"/>
              </w:rPr>
              <w:t>000759</w:t>
            </w:r>
            <w:r>
              <w:rPr>
                <w:rFonts w:eastAsia="Times New Roman"/>
              </w:rPr>
              <w:t>- -0.</w:t>
            </w:r>
            <w:r w:rsidRPr="5E7C5634">
              <w:rPr>
                <w:rFonts w:eastAsia="Times New Roman"/>
              </w:rPr>
              <w:t>0000270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8D58BA6" w14:textId="77777777" w:rsidR="00DA1F53" w:rsidRPr="7B39B7D3" w:rsidRDefault="00DA1F53" w:rsidP="00CA2B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DA1F53" w14:paraId="4549ABFA" w14:textId="77777777" w:rsidTr="2DAC3A78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shd w:val="clear" w:color="auto" w:fill="auto"/>
          </w:tcPr>
          <w:p w14:paraId="0BE8C66C" w14:textId="41030C89" w:rsidR="00DA1F53" w:rsidRPr="007837B7" w:rsidRDefault="2DAC3A78" w:rsidP="00CA2B5F">
            <w:pPr>
              <w:spacing w:line="480" w:lineRule="auto"/>
              <w:jc w:val="left"/>
              <w:rPr>
                <w:color w:val="000000" w:themeColor="text1"/>
              </w:rPr>
            </w:pPr>
            <w:r w:rsidRPr="2DAC3A78">
              <w:rPr>
                <w:rFonts w:eastAsia="Times New Roman"/>
              </w:rPr>
              <w:t>Flexible forest foragers</w:t>
            </w:r>
          </w:p>
        </w:tc>
        <w:tc>
          <w:tcPr>
            <w:tcW w:w="1134" w:type="dxa"/>
            <w:shd w:val="clear" w:color="auto" w:fill="auto"/>
          </w:tcPr>
          <w:p w14:paraId="7C10CB29" w14:textId="77777777" w:rsidR="00DA1F5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2B4EF15C" w14:textId="77777777" w:rsidR="00DA1F53" w:rsidRPr="7B39B7D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0E8E2DDE" w14:textId="77777777" w:rsidR="00DA1F53" w:rsidRPr="7B39B7D3" w:rsidRDefault="00DA1F53" w:rsidP="00CA2B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842" w:type="dxa"/>
          </w:tcPr>
          <w:p w14:paraId="7F825026" w14:textId="77777777" w:rsidR="00DA1F53" w:rsidRPr="7B39B7D3" w:rsidRDefault="00DA1F53" w:rsidP="00CA2B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DA1F53" w14:paraId="427CB243" w14:textId="77777777" w:rsidTr="2DAC3A78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36577E7F" w14:textId="77777777" w:rsidR="00DA1F53" w:rsidRDefault="00DA1F53" w:rsidP="00CA2B5F">
            <w:pPr>
              <w:spacing w:line="480" w:lineRule="auto"/>
              <w:jc w:val="left"/>
              <w:rPr>
                <w:i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559C9E75" w14:textId="77777777" w:rsidR="00DA1F5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Canopy</w:t>
            </w:r>
          </w:p>
        </w:tc>
        <w:tc>
          <w:tcPr>
            <w:tcW w:w="1134" w:type="dxa"/>
            <w:shd w:val="clear" w:color="auto" w:fill="auto"/>
          </w:tcPr>
          <w:p w14:paraId="7477E3EA" w14:textId="77777777" w:rsidR="00DA1F5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366F7A0D" w14:textId="77777777" w:rsidR="00DA1F53" w:rsidRPr="7B39B7D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6DAA09E1" w14:textId="77777777" w:rsidR="00DA1F53" w:rsidRPr="7B39B7D3" w:rsidRDefault="00DA1F53" w:rsidP="00CA2B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842" w:type="dxa"/>
          </w:tcPr>
          <w:p w14:paraId="2F49EFAE" w14:textId="77777777" w:rsidR="00DA1F53" w:rsidRPr="7B39B7D3" w:rsidRDefault="00DA1F53" w:rsidP="00CA2B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DA1F53" w14:paraId="554A59CC" w14:textId="77777777" w:rsidTr="2DAC3A78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44CF9C31" w14:textId="77777777" w:rsidR="00DA1F53" w:rsidRDefault="00DA1F53" w:rsidP="00CA2B5F">
            <w:pPr>
              <w:spacing w:line="480" w:lineRule="auto"/>
              <w:jc w:val="left"/>
              <w:rPr>
                <w:i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6BA7D432" w14:textId="77777777" w:rsidR="00DA1F5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20847E8C" w14:textId="77777777" w:rsidR="00DA1F5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Null</w:t>
            </w:r>
          </w:p>
        </w:tc>
        <w:tc>
          <w:tcPr>
            <w:tcW w:w="1418" w:type="dxa"/>
            <w:shd w:val="clear" w:color="auto" w:fill="auto"/>
          </w:tcPr>
          <w:p w14:paraId="15F7886B" w14:textId="77777777" w:rsidR="00DA1F53" w:rsidRPr="00924558" w:rsidRDefault="00546F44" w:rsidP="00CA2B5F">
            <w:pPr>
              <w:spacing w:line="257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η</m:t>
                    </m:r>
                  </m:e>
                </m:acc>
              </m:oMath>
            </m:oMathPara>
          </w:p>
          <w:p w14:paraId="54393641" w14:textId="77777777" w:rsidR="00DA1F53" w:rsidRPr="7B39B7D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31E33D19" w14:textId="77777777" w:rsidR="00DA1F53" w:rsidRPr="7B39B7D3" w:rsidRDefault="00DA1F53" w:rsidP="00CA2B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Pr="3726E2C7">
              <w:rPr>
                <w:rFonts w:eastAsia="Times New Roman"/>
              </w:rPr>
              <w:t>32</w:t>
            </w:r>
            <w:r>
              <w:rPr>
                <w:rFonts w:eastAsia="Times New Roman"/>
              </w:rPr>
              <w:t xml:space="preserve"> </w:t>
            </w:r>
            <w:r>
              <w:br/>
            </w:r>
            <w:r>
              <w:rPr>
                <w:rFonts w:eastAsia="Times New Roman"/>
              </w:rPr>
              <w:t>(3.</w:t>
            </w:r>
            <w:r w:rsidRPr="5C2902FB">
              <w:rPr>
                <w:rFonts w:eastAsia="Times New Roman"/>
              </w:rPr>
              <w:t>03</w:t>
            </w:r>
            <w:r>
              <w:rPr>
                <w:rFonts w:eastAsia="Times New Roman"/>
              </w:rPr>
              <w:t>-3.</w:t>
            </w:r>
            <w:r w:rsidRPr="5C2902FB">
              <w:rPr>
                <w:rFonts w:eastAsia="Times New Roman"/>
              </w:rPr>
              <w:t>62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842" w:type="dxa"/>
          </w:tcPr>
          <w:p w14:paraId="75ABA79E" w14:textId="77777777" w:rsidR="00DA1F53" w:rsidRPr="7B39B7D3" w:rsidRDefault="00DA1F53" w:rsidP="00CA2B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27.77 </w:t>
            </w:r>
            <w:r>
              <w:rPr>
                <w:rFonts w:eastAsia="Times New Roman"/>
              </w:rPr>
              <w:br/>
              <w:t>(19.82-35.72)</w:t>
            </w:r>
          </w:p>
        </w:tc>
      </w:tr>
      <w:tr w:rsidR="00DA1F53" w14:paraId="6D7086F6" w14:textId="77777777" w:rsidTr="2DAC3A78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2063DBA0" w14:textId="77777777" w:rsidR="00DA1F53" w:rsidRDefault="00DA1F53" w:rsidP="00CA2B5F">
            <w:pPr>
              <w:spacing w:line="480" w:lineRule="auto"/>
              <w:jc w:val="left"/>
              <w:rPr>
                <w:i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31ED4DE9" w14:textId="77777777" w:rsidR="00DA1F5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Understory</w:t>
            </w:r>
          </w:p>
        </w:tc>
        <w:tc>
          <w:tcPr>
            <w:tcW w:w="1134" w:type="dxa"/>
            <w:shd w:val="clear" w:color="auto" w:fill="auto"/>
          </w:tcPr>
          <w:p w14:paraId="77D2B3BD" w14:textId="77777777" w:rsidR="00DA1F5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69466087" w14:textId="77777777" w:rsidR="00DA1F53" w:rsidRPr="7B39B7D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4BF21972" w14:textId="77777777" w:rsidR="00DA1F53" w:rsidRPr="7B39B7D3" w:rsidRDefault="00DA1F53" w:rsidP="00CA2B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842" w:type="dxa"/>
          </w:tcPr>
          <w:p w14:paraId="21C714AA" w14:textId="77777777" w:rsidR="00DA1F53" w:rsidRPr="7B39B7D3" w:rsidRDefault="00DA1F53" w:rsidP="00CA2B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DA1F53" w14:paraId="5C67CC66" w14:textId="77777777" w:rsidTr="2DAC3A78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10F676F8" w14:textId="77777777" w:rsidR="00DA1F53" w:rsidRDefault="00DA1F53" w:rsidP="00CA2B5F">
            <w:pPr>
              <w:spacing w:line="480" w:lineRule="auto"/>
              <w:jc w:val="left"/>
              <w:rPr>
                <w:i/>
                <w:color w:val="000000" w:themeColor="text1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A3EB546" w14:textId="77777777" w:rsidR="00DA1F5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2BD2C93" w14:textId="77777777" w:rsidR="00DA1F5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Null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E63DDB1" w14:textId="77777777" w:rsidR="00DA1F53" w:rsidRPr="00924558" w:rsidRDefault="00546F44" w:rsidP="00CA2B5F">
            <w:pPr>
              <w:spacing w:line="257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η</m:t>
                    </m:r>
                  </m:e>
                </m:acc>
              </m:oMath>
            </m:oMathPara>
          </w:p>
          <w:p w14:paraId="783CA46B" w14:textId="77777777" w:rsidR="00DA1F53" w:rsidRPr="7B39B7D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497C83E6" w14:textId="77777777" w:rsidR="00DA1F53" w:rsidRPr="7B39B7D3" w:rsidRDefault="00DA1F53" w:rsidP="00CA2B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Pr="329706D2">
              <w:rPr>
                <w:rFonts w:eastAsia="Times New Roman"/>
              </w:rPr>
              <w:t>63</w:t>
            </w:r>
            <w:r>
              <w:rPr>
                <w:rFonts w:eastAsia="Times New Roman"/>
              </w:rPr>
              <w:t xml:space="preserve"> </w:t>
            </w:r>
            <w:r>
              <w:br/>
            </w:r>
            <w:r>
              <w:rPr>
                <w:rFonts w:eastAsia="Times New Roman"/>
              </w:rPr>
              <w:t>(3.</w:t>
            </w:r>
            <w:r w:rsidRPr="329706D2">
              <w:rPr>
                <w:rFonts w:eastAsia="Times New Roman"/>
              </w:rPr>
              <w:t>28</w:t>
            </w:r>
            <w:r>
              <w:rPr>
                <w:rFonts w:eastAsia="Times New Roman"/>
              </w:rPr>
              <w:t>-3.</w:t>
            </w:r>
            <w:r w:rsidRPr="329706D2">
              <w:rPr>
                <w:rFonts w:eastAsia="Times New Roman"/>
              </w:rPr>
              <w:t>98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8DCDF1A" w14:textId="77777777" w:rsidR="00DA1F53" w:rsidRPr="7B39B7D3" w:rsidRDefault="00DA1F53" w:rsidP="00CA2B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37.67</w:t>
            </w:r>
            <w:r>
              <w:rPr>
                <w:rFonts w:eastAsia="Times New Roman"/>
              </w:rPr>
              <w:br/>
              <w:t>(24.99-50.35)</w:t>
            </w:r>
          </w:p>
        </w:tc>
      </w:tr>
      <w:tr w:rsidR="00DA1F53" w14:paraId="03B465F9" w14:textId="77777777" w:rsidTr="2DAC3A78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shd w:val="clear" w:color="auto" w:fill="auto"/>
          </w:tcPr>
          <w:p w14:paraId="15194ABC" w14:textId="77777777" w:rsidR="00DA1F53" w:rsidRPr="007837B7" w:rsidRDefault="00DA1F53" w:rsidP="00CA2B5F">
            <w:pPr>
              <w:spacing w:line="480" w:lineRule="auto"/>
              <w:jc w:val="left"/>
              <w:rPr>
                <w:color w:val="000000" w:themeColor="text1"/>
              </w:rPr>
            </w:pPr>
            <w:r w:rsidRPr="007837B7">
              <w:rPr>
                <w:color w:val="000000" w:themeColor="text1"/>
              </w:rPr>
              <w:t>Edge species</w:t>
            </w:r>
          </w:p>
        </w:tc>
        <w:tc>
          <w:tcPr>
            <w:tcW w:w="1134" w:type="dxa"/>
            <w:shd w:val="clear" w:color="auto" w:fill="auto"/>
          </w:tcPr>
          <w:p w14:paraId="0654D46F" w14:textId="77777777" w:rsidR="00DA1F5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7F665A65" w14:textId="77777777" w:rsidR="00DA1F53" w:rsidRPr="7B39B7D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14A6DE1D" w14:textId="77777777" w:rsidR="00DA1F53" w:rsidRPr="7B39B7D3" w:rsidRDefault="00DA1F53" w:rsidP="00CA2B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842" w:type="dxa"/>
          </w:tcPr>
          <w:p w14:paraId="60A3B71B" w14:textId="77777777" w:rsidR="00DA1F53" w:rsidRPr="7B39B7D3" w:rsidRDefault="00DA1F53" w:rsidP="00CA2B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DA1F53" w14:paraId="0BE84A91" w14:textId="77777777" w:rsidTr="2DAC3A78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3AB8A8CC" w14:textId="77777777" w:rsidR="00DA1F53" w:rsidRDefault="00DA1F53" w:rsidP="00CA2B5F">
            <w:pPr>
              <w:spacing w:line="480" w:lineRule="auto"/>
              <w:jc w:val="left"/>
              <w:rPr>
                <w:i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59305B72" w14:textId="77777777" w:rsidR="00DA1F5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Canopy</w:t>
            </w:r>
          </w:p>
        </w:tc>
        <w:tc>
          <w:tcPr>
            <w:tcW w:w="1134" w:type="dxa"/>
            <w:shd w:val="clear" w:color="auto" w:fill="auto"/>
          </w:tcPr>
          <w:p w14:paraId="2F310D3D" w14:textId="77777777" w:rsidR="00DA1F5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07D5BB6C" w14:textId="77777777" w:rsidR="00DA1F53" w:rsidRPr="7B39B7D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2D83E50B" w14:textId="77777777" w:rsidR="00DA1F53" w:rsidRPr="7B39B7D3" w:rsidRDefault="00DA1F53" w:rsidP="00CA2B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842" w:type="dxa"/>
          </w:tcPr>
          <w:p w14:paraId="37F6A36C" w14:textId="77777777" w:rsidR="00DA1F53" w:rsidRPr="7B39B7D3" w:rsidRDefault="00DA1F53" w:rsidP="00CA2B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DA1F53" w14:paraId="4793C412" w14:textId="77777777" w:rsidTr="2DAC3A78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69815877" w14:textId="77777777" w:rsidR="00DA1F53" w:rsidRDefault="00DA1F53" w:rsidP="00CA2B5F">
            <w:pPr>
              <w:spacing w:line="480" w:lineRule="auto"/>
              <w:jc w:val="left"/>
              <w:rPr>
                <w:i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222BCB7D" w14:textId="77777777" w:rsidR="00DA1F5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052A305D" w14:textId="77777777" w:rsidR="00DA1F5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Null</w:t>
            </w:r>
          </w:p>
        </w:tc>
        <w:tc>
          <w:tcPr>
            <w:tcW w:w="1418" w:type="dxa"/>
            <w:shd w:val="clear" w:color="auto" w:fill="auto"/>
          </w:tcPr>
          <w:p w14:paraId="3E8E0ADF" w14:textId="77777777" w:rsidR="00DA1F53" w:rsidRPr="00924558" w:rsidRDefault="00546F44" w:rsidP="00CA2B5F">
            <w:pPr>
              <w:spacing w:line="257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η</m:t>
                    </m:r>
                  </m:e>
                </m:acc>
              </m:oMath>
            </m:oMathPara>
          </w:p>
          <w:p w14:paraId="6A43D17E" w14:textId="77777777" w:rsidR="00DA1F53" w:rsidRPr="7B39B7D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46C8CFBA" w14:textId="77777777" w:rsidR="00DA1F53" w:rsidRPr="7B39B7D3" w:rsidRDefault="00DA1F53" w:rsidP="00CA2B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 w:rsidRPr="1862AF7C">
              <w:rPr>
                <w:rFonts w:eastAsia="Times New Roman"/>
              </w:rPr>
              <w:t>82</w:t>
            </w:r>
            <w:r>
              <w:rPr>
                <w:rFonts w:eastAsia="Times New Roman"/>
              </w:rPr>
              <w:t xml:space="preserve"> </w:t>
            </w:r>
            <w:r>
              <w:br/>
            </w:r>
            <w:r>
              <w:rPr>
                <w:rFonts w:eastAsia="Times New Roman"/>
              </w:rPr>
              <w:t>(5.37-6.</w:t>
            </w:r>
            <w:r w:rsidRPr="1862AF7C">
              <w:rPr>
                <w:rFonts w:eastAsia="Times New Roman"/>
              </w:rPr>
              <w:t>27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842" w:type="dxa"/>
          </w:tcPr>
          <w:p w14:paraId="20D5DD33" w14:textId="77777777" w:rsidR="00DA1F53" w:rsidRPr="7B39B7D3" w:rsidRDefault="00DA1F53" w:rsidP="00CA2B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337.07 </w:t>
            </w:r>
            <w:r>
              <w:rPr>
                <w:rFonts w:eastAsia="Times New Roman"/>
              </w:rPr>
              <w:br/>
              <w:t>(189.81-484.33)</w:t>
            </w:r>
          </w:p>
        </w:tc>
      </w:tr>
      <w:tr w:rsidR="00DA1F53" w14:paraId="29E3D180" w14:textId="77777777" w:rsidTr="2DAC3A78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0AD5B884" w14:textId="77777777" w:rsidR="00DA1F53" w:rsidRDefault="00DA1F53" w:rsidP="00CA2B5F">
            <w:pPr>
              <w:spacing w:line="480" w:lineRule="auto"/>
              <w:jc w:val="left"/>
              <w:rPr>
                <w:i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4414487D" w14:textId="77777777" w:rsidR="00DA1F5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Understory</w:t>
            </w:r>
          </w:p>
        </w:tc>
        <w:tc>
          <w:tcPr>
            <w:tcW w:w="1134" w:type="dxa"/>
            <w:shd w:val="clear" w:color="auto" w:fill="auto"/>
          </w:tcPr>
          <w:p w14:paraId="592DC783" w14:textId="77777777" w:rsidR="00DA1F5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4C4BE034" w14:textId="77777777" w:rsidR="00DA1F53" w:rsidRPr="7B39B7D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15E50F26" w14:textId="77777777" w:rsidR="00DA1F53" w:rsidRPr="7B39B7D3" w:rsidRDefault="00DA1F53" w:rsidP="00CA2B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842" w:type="dxa"/>
          </w:tcPr>
          <w:p w14:paraId="0F82D9A2" w14:textId="77777777" w:rsidR="00DA1F53" w:rsidRPr="7B39B7D3" w:rsidRDefault="00DA1F53" w:rsidP="00CA2B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DA1F53" w14:paraId="7FF91076" w14:textId="77777777" w:rsidTr="2DAC3A78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3E8F770" w14:textId="77777777" w:rsidR="00DA1F53" w:rsidRDefault="00DA1F53" w:rsidP="00CA2B5F">
            <w:pPr>
              <w:spacing w:line="480" w:lineRule="auto"/>
              <w:jc w:val="left"/>
              <w:rPr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6958A8" w14:textId="77777777" w:rsidR="00DA1F5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7AFE1F" w14:textId="77777777" w:rsidR="00DA1F5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Null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73C3FA" w14:textId="77777777" w:rsidR="00DA1F53" w:rsidRPr="00924558" w:rsidRDefault="00546F44" w:rsidP="00CA2B5F">
            <w:pPr>
              <w:spacing w:line="257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η</m:t>
                    </m:r>
                  </m:e>
                </m:acc>
              </m:oMath>
            </m:oMathPara>
          </w:p>
          <w:p w14:paraId="64322A0E" w14:textId="77777777" w:rsidR="00DA1F53" w:rsidRPr="7B39B7D3" w:rsidRDefault="00DA1F53" w:rsidP="00CA2B5F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844BED" w14:textId="77777777" w:rsidR="00DA1F53" w:rsidRPr="7B39B7D3" w:rsidRDefault="00DA1F53" w:rsidP="00CA2B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Pr="1862AF7C">
              <w:rPr>
                <w:rFonts w:eastAsia="Times New Roman"/>
              </w:rPr>
              <w:t>85</w:t>
            </w:r>
            <w:r>
              <w:rPr>
                <w:rFonts w:eastAsia="Times New Roman"/>
              </w:rPr>
              <w:t xml:space="preserve"> </w:t>
            </w:r>
            <w:r>
              <w:br/>
            </w:r>
            <w:r>
              <w:rPr>
                <w:rFonts w:eastAsia="Times New Roman"/>
              </w:rPr>
              <w:t>(2.</w:t>
            </w:r>
            <w:r w:rsidRPr="1862AF7C">
              <w:rPr>
                <w:rFonts w:eastAsia="Times New Roman"/>
              </w:rPr>
              <w:t>32</w:t>
            </w:r>
            <w:r>
              <w:rPr>
                <w:rFonts w:eastAsia="Times New Roman"/>
              </w:rPr>
              <w:t>-3.</w:t>
            </w:r>
            <w:r w:rsidRPr="1862AF7C">
              <w:rPr>
                <w:rFonts w:eastAsia="Times New Roman"/>
              </w:rPr>
              <w:t>39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61B211" w14:textId="77777777" w:rsidR="00DA1F53" w:rsidRPr="7B39B7D3" w:rsidRDefault="00DA1F53" w:rsidP="00CA2B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17.36 </w:t>
            </w:r>
            <w:r>
              <w:rPr>
                <w:rFonts w:eastAsia="Times New Roman"/>
              </w:rPr>
              <w:br/>
              <w:t>(8.40-26.32)</w:t>
            </w:r>
          </w:p>
        </w:tc>
      </w:tr>
    </w:tbl>
    <w:p w14:paraId="57E8E230" w14:textId="5970E2EF" w:rsidR="00172F7B" w:rsidRDefault="00DA1F53" w:rsidP="00DA1F53">
      <w:pPr>
        <w:spacing w:after="160" w:line="259" w:lineRule="auto"/>
        <w:jc w:val="left"/>
      </w:pPr>
      <w:r>
        <w:t xml:space="preserve"> </w:t>
      </w:r>
    </w:p>
    <w:sectPr w:rsidR="00172F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AwNjKxtLS0MLI0sDBR0lEKTi0uzszPAykwqgUAVr06yiwAAAA="/>
  </w:docVars>
  <w:rsids>
    <w:rsidRoot w:val="00DA1F53"/>
    <w:rsid w:val="00146CF8"/>
    <w:rsid w:val="003864CD"/>
    <w:rsid w:val="004A6692"/>
    <w:rsid w:val="00546F44"/>
    <w:rsid w:val="0057311B"/>
    <w:rsid w:val="0091392D"/>
    <w:rsid w:val="009B758B"/>
    <w:rsid w:val="00A90592"/>
    <w:rsid w:val="00B67299"/>
    <w:rsid w:val="00BE1822"/>
    <w:rsid w:val="00C161B2"/>
    <w:rsid w:val="00DA1F53"/>
    <w:rsid w:val="00DB2E91"/>
    <w:rsid w:val="00F177F4"/>
    <w:rsid w:val="2DAC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B587E"/>
  <w15:chartTrackingRefBased/>
  <w15:docId w15:val="{F105B2FF-D241-4003-B03D-7085F1ED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F53"/>
    <w:pPr>
      <w:spacing w:after="0" w:line="340" w:lineRule="atLeast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DA1F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Yoh</dc:creator>
  <cp:keywords/>
  <dc:description/>
  <cp:lastModifiedBy>Natalie Yoh</cp:lastModifiedBy>
  <cp:revision>10</cp:revision>
  <dcterms:created xsi:type="dcterms:W3CDTF">2022-06-24T13:55:00Z</dcterms:created>
  <dcterms:modified xsi:type="dcterms:W3CDTF">2022-06-28T19:28:00Z</dcterms:modified>
</cp:coreProperties>
</file>