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76FB" w14:textId="4C3A2347" w:rsidR="000F5341" w:rsidRDefault="000F5341" w:rsidP="00BA12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6D6837DA" w14:textId="0B206718" w:rsidR="000F5341" w:rsidRDefault="000F5341" w:rsidP="000F53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MODEL DESCRIPTION</w:t>
      </w:r>
    </w:p>
    <w:p w14:paraId="3D73D7C6" w14:textId="580F864B" w:rsidR="000F5341" w:rsidRDefault="000F5341" w:rsidP="000F5341">
      <w:pPr>
        <w:pStyle w:val="ListParagraph"/>
        <w:numPr>
          <w:ilvl w:val="0"/>
          <w:numId w:val="8"/>
        </w:numPr>
        <w:spacing w:after="0" w:line="480" w:lineRule="auto"/>
        <w:ind w:left="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MODEL DEVELOPMENT</w:t>
      </w:r>
    </w:p>
    <w:p w14:paraId="1E9A1DA7" w14:textId="7BD7408C" w:rsidR="00E71017" w:rsidRDefault="23B5B773" w:rsidP="00E710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23B5B773">
        <w:rPr>
          <w:rFonts w:ascii="Times New Roman" w:hAnsi="Times New Roman" w:cs="Times New Roman"/>
          <w:sz w:val="24"/>
          <w:szCs w:val="24"/>
        </w:rPr>
        <w:t>In this model we used a susceptible-infective</w:t>
      </w:r>
      <w:r w:rsidR="000657DA">
        <w:rPr>
          <w:rFonts w:ascii="Times New Roman" w:hAnsi="Times New Roman" w:cs="Times New Roman"/>
          <w:sz w:val="24"/>
          <w:szCs w:val="24"/>
        </w:rPr>
        <w:t>-susceptible</w:t>
      </w:r>
      <w:r w:rsidRPr="23B5B773">
        <w:rPr>
          <w:rFonts w:ascii="Times New Roman" w:hAnsi="Times New Roman" w:cs="Times New Roman"/>
          <w:sz w:val="24"/>
          <w:szCs w:val="24"/>
        </w:rPr>
        <w:t xml:space="preserve"> or SI</w:t>
      </w:r>
      <w:r w:rsidR="000657DA">
        <w:rPr>
          <w:rFonts w:ascii="Times New Roman" w:hAnsi="Times New Roman" w:cs="Times New Roman"/>
          <w:sz w:val="24"/>
          <w:szCs w:val="24"/>
        </w:rPr>
        <w:t>S</w:t>
      </w:r>
      <w:r w:rsidRPr="23B5B773">
        <w:rPr>
          <w:rFonts w:ascii="Times New Roman" w:hAnsi="Times New Roman" w:cs="Times New Roman"/>
          <w:sz w:val="24"/>
          <w:szCs w:val="24"/>
        </w:rPr>
        <w:t xml:space="preserve"> model framework </w:t>
      </w:r>
      <w:r w:rsidR="00920A50" w:rsidRPr="23B5B773">
        <w:rPr>
          <w:rFonts w:ascii="Times New Roman" w:hAnsi="Times New Roman" w:cs="Times New Roman"/>
          <w:sz w:val="24"/>
          <w:szCs w:val="24"/>
        </w:rPr>
        <w:fldChar w:fldCharType="begin"/>
      </w:r>
      <w:r w:rsidR="003854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&lt;EndNote&gt;&lt;Cite&gt;&lt;Author&gt;Kermack&lt;/Author&gt;&lt;Year&gt;1927&lt;/Year&gt;&lt;RecNum&gt;16&lt;/RecNum&gt;&lt;DisplayText&gt;&lt;style face="superscript"&gt;1&lt;/style&gt;&lt;/DisplayText&gt;&lt;record&gt;&lt;rec-number&gt;16&lt;/rec-number&gt;&lt;foreign-keys&gt;&lt;key app="EN" db-id="9f22ddreosf0f4ede085fap1259t92a95w5d" timestamp="1584025050"&gt;16&lt;/key&gt;&lt;/foreign-keys&gt;&lt;ref-type name="Journal Article"&gt;17&lt;/ref-type&gt;&lt;contributors&gt;&lt;authors&gt;&lt;author&gt;Kermack, W.O, &lt;/author&gt;&lt;author&gt;McKendrick, A.G.&lt;/author&gt;&lt;/authors&gt;&lt;/contributors&gt;&lt;titles&gt;&lt;title&gt;A contribution to the mathematical theory of epidemics&lt;/title&gt;&lt;secondary-title&gt;Proc. R. Soc. Lond. A &lt;/secondary-title&gt;&lt;/titles&gt;&lt;periodical&gt;&lt;full-title&gt;Proc. R. Soc. Lond. A&lt;/full-title&gt;&lt;/periodical&gt;&lt;pages&gt;700–721&lt;/pages&gt;&lt;volume&gt;115&lt;/volume&gt;&lt;dates&gt;&lt;year&gt;1927&lt;/year&gt;&lt;/dates&gt;&lt;urls&gt;&lt;/urls&gt;&lt;/record&gt;&lt;/Cite&gt;&lt;/EndNote&gt;</w:instrText>
      </w:r>
      <w:r w:rsidR="00920A50" w:rsidRPr="23B5B773">
        <w:rPr>
          <w:rFonts w:ascii="Times New Roman" w:hAnsi="Times New Roman" w:cs="Times New Roman"/>
          <w:sz w:val="24"/>
          <w:szCs w:val="24"/>
        </w:rPr>
        <w:fldChar w:fldCharType="separate"/>
      </w:r>
      <w:r w:rsidR="003854C0" w:rsidRPr="003854C0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920A50" w:rsidRPr="23B5B773">
        <w:rPr>
          <w:rFonts w:ascii="Times New Roman" w:hAnsi="Times New Roman" w:cs="Times New Roman"/>
          <w:sz w:val="24"/>
          <w:szCs w:val="24"/>
        </w:rPr>
        <w:fldChar w:fldCharType="end"/>
      </w:r>
      <w:r w:rsidRPr="23B5B773">
        <w:rPr>
          <w:rFonts w:ascii="Times New Roman" w:hAnsi="Times New Roman" w:cs="Times New Roman"/>
          <w:sz w:val="24"/>
          <w:szCs w:val="24"/>
        </w:rPr>
        <w:t xml:space="preserve"> to develop a system of differential equations that describe interactions and transitions between “extremely active”, “moderately active” and “sedentary” population groups. The “extremely active” population group consists of individuals who exercise at least </w:t>
      </w:r>
      <w:r w:rsidR="00460E61">
        <w:rPr>
          <w:rFonts w:ascii="Times New Roman" w:hAnsi="Times New Roman" w:cs="Times New Roman"/>
          <w:sz w:val="24"/>
          <w:szCs w:val="24"/>
        </w:rPr>
        <w:t>60</w:t>
      </w:r>
      <w:r w:rsidRPr="23B5B773">
        <w:rPr>
          <w:rFonts w:ascii="Times New Roman" w:hAnsi="Times New Roman" w:cs="Times New Roman"/>
          <w:sz w:val="24"/>
          <w:szCs w:val="24"/>
        </w:rPr>
        <w:t xml:space="preserve"> minutes per </w:t>
      </w:r>
      <w:r w:rsidR="00460E61">
        <w:rPr>
          <w:rFonts w:ascii="Times New Roman" w:hAnsi="Times New Roman" w:cs="Times New Roman"/>
          <w:sz w:val="24"/>
          <w:szCs w:val="24"/>
        </w:rPr>
        <w:t>day</w:t>
      </w:r>
      <w:r w:rsidRPr="23B5B773">
        <w:rPr>
          <w:rFonts w:ascii="Times New Roman" w:hAnsi="Times New Roman" w:cs="Times New Roman"/>
          <w:sz w:val="24"/>
          <w:szCs w:val="24"/>
        </w:rPr>
        <w:t xml:space="preserve">, the “moderately active” population group consists of individuals who exercise between </w:t>
      </w:r>
      <w:r w:rsidR="00460E61">
        <w:rPr>
          <w:rFonts w:ascii="Times New Roman" w:hAnsi="Times New Roman" w:cs="Times New Roman"/>
          <w:sz w:val="24"/>
          <w:szCs w:val="24"/>
        </w:rPr>
        <w:t>30</w:t>
      </w:r>
      <w:r w:rsidRPr="23B5B773">
        <w:rPr>
          <w:rFonts w:ascii="Times New Roman" w:hAnsi="Times New Roman" w:cs="Times New Roman"/>
          <w:sz w:val="24"/>
          <w:szCs w:val="24"/>
        </w:rPr>
        <w:t xml:space="preserve"> and </w:t>
      </w:r>
      <w:r w:rsidR="00460E61">
        <w:rPr>
          <w:rFonts w:ascii="Times New Roman" w:hAnsi="Times New Roman" w:cs="Times New Roman"/>
          <w:sz w:val="24"/>
          <w:szCs w:val="24"/>
        </w:rPr>
        <w:t>6</w:t>
      </w:r>
      <w:r w:rsidRPr="23B5B773">
        <w:rPr>
          <w:rFonts w:ascii="Times New Roman" w:hAnsi="Times New Roman" w:cs="Times New Roman"/>
          <w:sz w:val="24"/>
          <w:szCs w:val="24"/>
        </w:rPr>
        <w:t xml:space="preserve">0 minutes per </w:t>
      </w:r>
      <w:r w:rsidR="00460E61">
        <w:rPr>
          <w:rFonts w:ascii="Times New Roman" w:hAnsi="Times New Roman" w:cs="Times New Roman"/>
          <w:sz w:val="24"/>
          <w:szCs w:val="24"/>
        </w:rPr>
        <w:t>day</w:t>
      </w:r>
      <w:r w:rsidRPr="23B5B773">
        <w:rPr>
          <w:rFonts w:ascii="Times New Roman" w:hAnsi="Times New Roman" w:cs="Times New Roman"/>
          <w:sz w:val="24"/>
          <w:szCs w:val="24"/>
        </w:rPr>
        <w:t xml:space="preserve"> and the “sedentary” population group consist of individuals who exercise less than </w:t>
      </w:r>
      <w:r w:rsidR="00460E61">
        <w:rPr>
          <w:rFonts w:ascii="Times New Roman" w:hAnsi="Times New Roman" w:cs="Times New Roman"/>
          <w:sz w:val="24"/>
          <w:szCs w:val="24"/>
        </w:rPr>
        <w:t>3</w:t>
      </w:r>
      <w:r w:rsidRPr="23B5B773">
        <w:rPr>
          <w:rFonts w:ascii="Times New Roman" w:hAnsi="Times New Roman" w:cs="Times New Roman"/>
          <w:sz w:val="24"/>
          <w:szCs w:val="24"/>
        </w:rPr>
        <w:t xml:space="preserve">0 minutes per </w:t>
      </w:r>
      <w:r w:rsidR="00460E61">
        <w:rPr>
          <w:rFonts w:ascii="Times New Roman" w:hAnsi="Times New Roman" w:cs="Times New Roman"/>
          <w:sz w:val="24"/>
          <w:szCs w:val="24"/>
        </w:rPr>
        <w:t>day</w:t>
      </w:r>
      <w:r w:rsidRPr="23B5B773">
        <w:rPr>
          <w:rFonts w:ascii="Times New Roman" w:hAnsi="Times New Roman" w:cs="Times New Roman"/>
          <w:sz w:val="24"/>
          <w:szCs w:val="24"/>
        </w:rPr>
        <w:t xml:space="preserve">. A flow chart describing movement between these compartments appear in </w:t>
      </w:r>
      <w:r w:rsidR="00626A6E" w:rsidRPr="00626A6E">
        <w:rPr>
          <w:rFonts w:ascii="Times New Roman" w:hAnsi="Times New Roman" w:cs="Times New Roman"/>
          <w:sz w:val="24"/>
          <w:szCs w:val="24"/>
        </w:rPr>
        <w:t>manuscript as</w:t>
      </w:r>
      <w:r w:rsidR="00626A6E">
        <w:rPr>
          <w:rFonts w:ascii="Times New Roman" w:hAnsi="Times New Roman" w:cs="Times New Roman"/>
          <w:b/>
          <w:bCs/>
          <w:sz w:val="24"/>
          <w:szCs w:val="24"/>
        </w:rPr>
        <w:t xml:space="preserve"> Figure 1</w:t>
      </w:r>
      <w:r w:rsidRPr="23B5B773">
        <w:rPr>
          <w:rFonts w:ascii="Times New Roman" w:hAnsi="Times New Roman" w:cs="Times New Roman"/>
          <w:sz w:val="24"/>
          <w:szCs w:val="24"/>
        </w:rPr>
        <w:t xml:space="preserve">. Each compartment represents a population group and </w:t>
      </w:r>
      <w:r w:rsidRPr="23B5B773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23B5B773">
        <w:rPr>
          <w:rFonts w:ascii="Times New Roman" w:hAnsi="Times New Roman" w:cs="Times New Roman"/>
          <w:sz w:val="24"/>
          <w:szCs w:val="24"/>
        </w:rPr>
        <w:t xml:space="preserve"> </w:t>
      </w:r>
      <w:r w:rsidR="00626A6E">
        <w:rPr>
          <w:rFonts w:ascii="Times New Roman" w:hAnsi="Times New Roman" w:cs="Times New Roman"/>
          <w:sz w:val="24"/>
          <w:szCs w:val="24"/>
        </w:rPr>
        <w:t xml:space="preserve">in the manuscript </w:t>
      </w:r>
      <w:r w:rsidRPr="23B5B773">
        <w:rPr>
          <w:rFonts w:ascii="Times New Roman" w:hAnsi="Times New Roman" w:cs="Times New Roman"/>
          <w:sz w:val="24"/>
          <w:szCs w:val="24"/>
        </w:rPr>
        <w:t xml:space="preserve">lists each term of the differential equation that describes mobility from and to each compartment as shown in </w:t>
      </w:r>
      <w:r w:rsidR="00626A6E">
        <w:rPr>
          <w:rFonts w:ascii="Times New Roman" w:hAnsi="Times New Roman" w:cs="Times New Roman"/>
          <w:sz w:val="24"/>
          <w:szCs w:val="24"/>
        </w:rPr>
        <w:t xml:space="preserve">manuscript </w:t>
      </w:r>
      <w:r w:rsidRPr="23B5B773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Pr="23B5B773">
        <w:rPr>
          <w:rFonts w:ascii="Times New Roman" w:hAnsi="Times New Roman" w:cs="Times New Roman"/>
          <w:sz w:val="24"/>
          <w:szCs w:val="24"/>
        </w:rPr>
        <w:t>.</w:t>
      </w:r>
      <w:bookmarkStart w:id="0" w:name="_Hlk49432800"/>
      <w:bookmarkEnd w:id="0"/>
    </w:p>
    <w:p w14:paraId="19704DB6" w14:textId="77777777" w:rsidR="00E71017" w:rsidRPr="00482353" w:rsidRDefault="00E71017" w:rsidP="00E7101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82353">
        <w:rPr>
          <w:rFonts w:ascii="Times New Roman" w:hAnsi="Times New Roman" w:cs="Times New Roman"/>
          <w:i/>
          <w:sz w:val="24"/>
          <w:szCs w:val="24"/>
        </w:rPr>
        <w:t>Model Assumptions</w:t>
      </w:r>
    </w:p>
    <w:p w14:paraId="046201E2" w14:textId="06F99ED0" w:rsidR="00E71017" w:rsidRDefault="00E71017" w:rsidP="00E710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mathematical model is developed using assumptions. Some assumptions are stated to enhance model tractability and are referred to as </w:t>
      </w:r>
      <w:r>
        <w:rPr>
          <w:rFonts w:ascii="Times New Roman" w:hAnsi="Times New Roman" w:cs="Times New Roman"/>
          <w:i/>
          <w:sz w:val="24"/>
          <w:szCs w:val="24"/>
        </w:rPr>
        <w:t xml:space="preserve">simplifying assumptions. </w:t>
      </w:r>
      <w:r w:rsidR="000657DA" w:rsidRPr="000657DA">
        <w:rPr>
          <w:rFonts w:ascii="Times New Roman" w:hAnsi="Times New Roman" w:cs="Times New Roman"/>
          <w:iCs/>
          <w:sz w:val="24"/>
          <w:szCs w:val="24"/>
        </w:rPr>
        <w:t xml:space="preserve">The remaining assumptions are first-principle </w:t>
      </w:r>
      <w:r w:rsidR="000657DA">
        <w:rPr>
          <w:rFonts w:ascii="Times New Roman" w:hAnsi="Times New Roman" w:cs="Times New Roman"/>
          <w:iCs/>
          <w:sz w:val="24"/>
          <w:szCs w:val="24"/>
        </w:rPr>
        <w:t xml:space="preserve">and are referred to as </w:t>
      </w:r>
      <w:r w:rsidR="000657DA" w:rsidRPr="000657DA">
        <w:rPr>
          <w:rFonts w:ascii="Times New Roman" w:hAnsi="Times New Roman" w:cs="Times New Roman"/>
          <w:i/>
          <w:sz w:val="24"/>
          <w:szCs w:val="24"/>
        </w:rPr>
        <w:t>mechanistic assumptions</w:t>
      </w:r>
      <w:r w:rsidR="000657DA" w:rsidRPr="000657DA">
        <w:rPr>
          <w:rFonts w:ascii="Times New Roman" w:hAnsi="Times New Roman" w:cs="Times New Roman"/>
          <w:iCs/>
          <w:sz w:val="24"/>
          <w:szCs w:val="24"/>
        </w:rPr>
        <w:t>.</w:t>
      </w:r>
      <w:r w:rsidR="000657D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following list outlines all the </w:t>
      </w:r>
      <w:r w:rsidR="0053335B">
        <w:rPr>
          <w:rFonts w:ascii="Times New Roman" w:hAnsi="Times New Roman" w:cs="Times New Roman"/>
          <w:sz w:val="24"/>
          <w:szCs w:val="24"/>
        </w:rPr>
        <w:t xml:space="preserve">simplifying and mechanistic </w:t>
      </w:r>
      <w:r>
        <w:rPr>
          <w:rFonts w:ascii="Times New Roman" w:hAnsi="Times New Roman" w:cs="Times New Roman"/>
          <w:sz w:val="24"/>
          <w:szCs w:val="24"/>
        </w:rPr>
        <w:t xml:space="preserve">assumptions </w:t>
      </w:r>
      <w:r w:rsidR="0053335B">
        <w:rPr>
          <w:rFonts w:ascii="Times New Roman" w:hAnsi="Times New Roman" w:cs="Times New Roman"/>
          <w:sz w:val="24"/>
          <w:szCs w:val="24"/>
        </w:rPr>
        <w:t xml:space="preserve">that underly </w:t>
      </w:r>
      <w:r>
        <w:rPr>
          <w:rFonts w:ascii="Times New Roman" w:hAnsi="Times New Roman" w:cs="Times New Roman"/>
          <w:sz w:val="24"/>
          <w:szCs w:val="24"/>
        </w:rPr>
        <w:t>our model.</w:t>
      </w:r>
    </w:p>
    <w:p w14:paraId="3EEEE882" w14:textId="3EF6033E" w:rsidR="00E71017" w:rsidRPr="00482353" w:rsidRDefault="00E71017" w:rsidP="00E710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2353">
        <w:rPr>
          <w:rFonts w:ascii="Times New Roman" w:hAnsi="Times New Roman" w:cs="Times New Roman"/>
          <w:sz w:val="24"/>
          <w:szCs w:val="24"/>
        </w:rPr>
        <w:t xml:space="preserve">(A1) </w:t>
      </w:r>
      <w:r w:rsidR="000657DA">
        <w:rPr>
          <w:rFonts w:ascii="Times New Roman" w:hAnsi="Times New Roman" w:cs="Times New Roman"/>
          <w:sz w:val="24"/>
          <w:szCs w:val="24"/>
        </w:rPr>
        <w:t xml:space="preserve">A constant </w:t>
      </w:r>
      <w:r w:rsidRPr="00482353">
        <w:rPr>
          <w:rFonts w:ascii="Times New Roman" w:hAnsi="Times New Roman" w:cs="Times New Roman"/>
          <w:sz w:val="24"/>
          <w:szCs w:val="24"/>
        </w:rPr>
        <w:t>population can be compartmentalized as follows</w:t>
      </w:r>
      <w:r w:rsidR="000657DA">
        <w:rPr>
          <w:rFonts w:ascii="Times New Roman" w:hAnsi="Times New Roman" w:cs="Times New Roman"/>
          <w:sz w:val="24"/>
          <w:szCs w:val="24"/>
        </w:rPr>
        <w:t xml:space="preserve"> where the </w:t>
      </w:r>
      <w:r w:rsidR="004D294E">
        <w:rPr>
          <w:rFonts w:ascii="Times New Roman" w:hAnsi="Times New Roman" w:cs="Times New Roman"/>
          <w:sz w:val="24"/>
          <w:szCs w:val="24"/>
        </w:rPr>
        <w:t>active individuals or exercisers</w:t>
      </w:r>
      <w:r w:rsidR="000657DA">
        <w:rPr>
          <w:rFonts w:ascii="Times New Roman" w:hAnsi="Times New Roman" w:cs="Times New Roman"/>
          <w:sz w:val="24"/>
          <w:szCs w:val="24"/>
        </w:rPr>
        <w:t xml:space="preserve"> are considered “infected”</w:t>
      </w:r>
    </w:p>
    <w:p w14:paraId="6E5A9FE9" w14:textId="6BB02606" w:rsidR="00E71017" w:rsidRPr="00482353" w:rsidRDefault="00E71017" w:rsidP="00E7101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Individuals with </w:t>
      </w:r>
      <w:r w:rsidR="001A18EB">
        <w:rPr>
          <w:rFonts w:ascii="Times New Roman" w:eastAsiaTheme="minorEastAsia" w:hAnsi="Times New Roman" w:cs="Times New Roman"/>
          <w:sz w:val="24"/>
          <w:szCs w:val="24"/>
        </w:rPr>
        <w:t xml:space="preserve">few 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exercise habits at week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(susceptible).</w:t>
      </w:r>
    </w:p>
    <w:p w14:paraId="25B5A1EF" w14:textId="5253F0A6" w:rsidR="00E71017" w:rsidRDefault="00417A60" w:rsidP="00E7101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E71017">
        <w:rPr>
          <w:rFonts w:ascii="Times New Roman" w:eastAsiaTheme="minorEastAsia" w:hAnsi="Times New Roman" w:cs="Times New Roman"/>
          <w:sz w:val="24"/>
          <w:szCs w:val="24"/>
        </w:rPr>
        <w:t xml:space="preserve"> Individuals who are moderately active at week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</m:t>
        </m:r>
      </m:oMath>
      <w:r w:rsidR="00E7101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657DA">
        <w:rPr>
          <w:rFonts w:ascii="Times New Roman" w:eastAsiaTheme="minorEastAsia" w:hAnsi="Times New Roman" w:cs="Times New Roman"/>
          <w:sz w:val="24"/>
          <w:szCs w:val="24"/>
        </w:rPr>
        <w:t>infected</w:t>
      </w:r>
      <w:r w:rsidR="00E7101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44122411" w14:textId="575534A2" w:rsidR="00E71017" w:rsidRDefault="00417A60" w:rsidP="00E7101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E71017">
        <w:rPr>
          <w:rFonts w:ascii="Times New Roman" w:eastAsiaTheme="minorEastAsia" w:hAnsi="Times New Roman" w:cs="Times New Roman"/>
          <w:sz w:val="24"/>
          <w:szCs w:val="24"/>
        </w:rPr>
        <w:t xml:space="preserve"> Individuals who are extremely active at week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E7101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657DA">
        <w:rPr>
          <w:rFonts w:ascii="Times New Roman" w:eastAsiaTheme="minorEastAsia" w:hAnsi="Times New Roman" w:cs="Times New Roman"/>
          <w:sz w:val="24"/>
          <w:szCs w:val="24"/>
        </w:rPr>
        <w:t>infected</w:t>
      </w:r>
      <w:r w:rsidR="00E7101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06FE7CA4" w14:textId="32863F17" w:rsidR="00E71017" w:rsidRPr="00482353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(A2) Social interactions between compartments are governed by the law of mass action and are modeled </w:t>
      </w:r>
      <w:r w:rsidR="000657DA">
        <w:rPr>
          <w:rFonts w:ascii="Times New Roman" w:eastAsiaTheme="minorEastAsia" w:hAnsi="Times New Roman" w:cs="Times New Roman"/>
          <w:sz w:val="24"/>
          <w:szCs w:val="24"/>
        </w:rPr>
        <w:t>as a product of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population numbers in each compartment. </w:t>
      </w:r>
    </w:p>
    <w:p w14:paraId="6C005899" w14:textId="7EE74506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(A3) Mobility between compartments occurs </w:t>
      </w:r>
      <w:r w:rsidR="000657DA">
        <w:rPr>
          <w:rFonts w:ascii="Times New Roman" w:eastAsiaTheme="minorEastAsia" w:hAnsi="Times New Roman" w:cs="Times New Roman"/>
          <w:sz w:val="24"/>
          <w:szCs w:val="24"/>
        </w:rPr>
        <w:t xml:space="preserve">both from 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(i) social interaction and (ii) non-social factors. </w:t>
      </w:r>
    </w:p>
    <w:p w14:paraId="6453C830" w14:textId="77777777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(A4) Social interactions between members of the exposed compartment (i.e., mobility between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vice versa) is modeled linearly.</w:t>
      </w:r>
    </w:p>
    <w:p w14:paraId="7D33B4C6" w14:textId="5D142DDD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(A5) A fraction of the population will transition from susceptible to exposed due to non</w:t>
      </w:r>
      <w:r w:rsidR="004D294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social factors. This transition is modeled linearly. </w:t>
      </w:r>
    </w:p>
    <w:p w14:paraId="43AAF9E1" w14:textId="61593EAF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(A6) Exposed individuals</w:t>
      </w:r>
      <w:r w:rsidR="00201D35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transition to the susceptible compartment as a result of social interactions </w:t>
      </w:r>
      <w:r w:rsidR="00201D35">
        <w:rPr>
          <w:rFonts w:ascii="Times New Roman" w:eastAsiaTheme="minorEastAsia" w:hAnsi="Times New Roman" w:cs="Times New Roman"/>
          <w:sz w:val="24"/>
          <w:szCs w:val="24"/>
        </w:rPr>
        <w:t>or due to non-social factors (e.g. due to an injury)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201D35">
        <w:rPr>
          <w:rFonts w:ascii="Times New Roman" w:eastAsiaTheme="minorEastAsia" w:hAnsi="Times New Roman" w:cs="Times New Roman"/>
          <w:sz w:val="24"/>
          <w:szCs w:val="24"/>
        </w:rPr>
        <w:t xml:space="preserve">Social interactions are modeled through the </w:t>
      </w:r>
      <w:r w:rsidR="0061280E">
        <w:rPr>
          <w:rFonts w:ascii="Times New Roman" w:eastAsiaTheme="minorEastAsia" w:hAnsi="Times New Roman" w:cs="Times New Roman"/>
          <w:sz w:val="24"/>
          <w:szCs w:val="24"/>
        </w:rPr>
        <w:t>law of mass action while non-social transition is modeled linearly.</w:t>
      </w:r>
    </w:p>
    <w:p w14:paraId="11410096" w14:textId="77777777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sz w:val="24"/>
          <w:szCs w:val="24"/>
        </w:rPr>
        <w:t>We formulate the assumptions (A1)-(A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>) using a system of t</w:t>
      </w:r>
      <w:r>
        <w:rPr>
          <w:rFonts w:ascii="Times New Roman" w:eastAsiaTheme="minorEastAsia" w:hAnsi="Times New Roman" w:cs="Times New Roman"/>
          <w:sz w:val="24"/>
          <w:szCs w:val="24"/>
        </w:rPr>
        <w:t>hree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differential equations and arrive at the following system of equations:</w:t>
      </w:r>
    </w:p>
    <w:p w14:paraId="05C037CA" w14:textId="544BBACD" w:rsidR="00E71017" w:rsidRDefault="00417A60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 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3A28E3D3" w14:textId="3E1E48DD" w:rsidR="00E71017" w:rsidRDefault="00417A60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4DB8EC45" w14:textId="1216C347" w:rsidR="00E71017" w:rsidRDefault="00417A60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4A4CEC02" w14:textId="77777777" w:rsidR="00E71017" w:rsidRPr="00482353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06D382" w14:textId="4BA5A063" w:rsidR="00E71017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Subject to three </w:t>
      </w:r>
      <w:r w:rsidR="00A127CA">
        <w:rPr>
          <w:rFonts w:ascii="Times New Roman" w:eastAsiaTheme="minorEastAsia" w:hAnsi="Times New Roman" w:cs="Times New Roman"/>
          <w:sz w:val="24"/>
          <w:szCs w:val="24"/>
        </w:rPr>
        <w:t xml:space="preserve">non-negative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initial conditions: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14ECE058" w14:textId="60489150" w:rsidR="00E71017" w:rsidRPr="00092988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353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2353">
        <w:rPr>
          <w:rFonts w:ascii="Times New Roman" w:hAnsi="Times New Roman" w:cs="Times New Roman"/>
          <w:sz w:val="24"/>
          <w:szCs w:val="24"/>
        </w:rPr>
        <w:t xml:space="preserve">) We are interested in investigating the time-dependent changes in active and sedentary groups within a fixed population, hence we impose </w:t>
      </w:r>
      <w:r w:rsidR="00A127CA">
        <w:rPr>
          <w:rFonts w:ascii="Times New Roman" w:hAnsi="Times New Roman" w:cs="Times New Roman"/>
          <w:sz w:val="24"/>
          <w:szCs w:val="24"/>
        </w:rPr>
        <w:t>the</w:t>
      </w:r>
      <w:r w:rsidRPr="00482353">
        <w:rPr>
          <w:rFonts w:ascii="Times New Roman" w:hAnsi="Times New Roman" w:cs="Times New Roman"/>
          <w:sz w:val="24"/>
          <w:szCs w:val="24"/>
        </w:rPr>
        <w:t xml:space="preserve"> restriction that the total number of individuals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remains constant and is defined as the sum of the susceptible and exposed individuals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=N= 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5E6759B2" w14:textId="66CD77C5" w:rsidR="00E71017" w:rsidRPr="00B75070" w:rsidRDefault="00E71017" w:rsidP="00E710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sz w:val="24"/>
          <w:szCs w:val="24"/>
        </w:rPr>
        <w:t>Assumption (A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) is consistent with the above system of differential equations provided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</m:t>
        </m:r>
      </m:oMath>
      <w:r w:rsidRPr="00482353">
        <w:rPr>
          <w:rFonts w:ascii="Times New Roman" w:eastAsiaTheme="minorEastAsia" w:hAnsi="Times New Roman" w:cs="Times New Roman"/>
          <w:sz w:val="24"/>
          <w:szCs w:val="24"/>
        </w:rPr>
        <w:t>which holds when the total number of individuals entering West Point equals the total number of individuals leaving West Point. We refer to the above system of equation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 as </w:t>
      </w:r>
      <w:r w:rsidRPr="00482353">
        <w:rPr>
          <w:rFonts w:ascii="Times New Roman" w:eastAsiaTheme="minorEastAsia" w:hAnsi="Times New Roman" w:cs="Times New Roman"/>
          <w:b/>
          <w:sz w:val="24"/>
          <w:szCs w:val="24"/>
        </w:rPr>
        <w:t xml:space="preserve">System 1. </w:t>
      </w:r>
      <w:r w:rsidR="003B51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3B5125" w:rsidRPr="003B5125">
        <w:rPr>
          <w:rFonts w:ascii="Times New Roman" w:eastAsiaTheme="minorEastAsia" w:hAnsi="Times New Roman" w:cs="Times New Roman"/>
          <w:bCs/>
          <w:sz w:val="24"/>
          <w:szCs w:val="24"/>
        </w:rPr>
        <w:t xml:space="preserve">A full description of each term in </w:t>
      </w:r>
      <w:r w:rsidR="003B5125" w:rsidRPr="003B5125">
        <w:rPr>
          <w:rFonts w:ascii="Times New Roman" w:eastAsiaTheme="minorEastAsia" w:hAnsi="Times New Roman" w:cs="Times New Roman"/>
          <w:b/>
          <w:sz w:val="24"/>
          <w:szCs w:val="24"/>
        </w:rPr>
        <w:t>System 1</w:t>
      </w:r>
      <w:r w:rsidR="003B5125" w:rsidRPr="003B512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appears in </w:t>
      </w:r>
      <w:r w:rsidR="003B5125" w:rsidRPr="003B5125">
        <w:rPr>
          <w:rFonts w:ascii="Times New Roman" w:eastAsiaTheme="minorEastAsia" w:hAnsi="Times New Roman" w:cs="Times New Roman"/>
          <w:b/>
          <w:sz w:val="24"/>
          <w:szCs w:val="24"/>
        </w:rPr>
        <w:t>Table 1</w:t>
      </w:r>
      <w:r w:rsidR="003B5125" w:rsidRPr="003B512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1B03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A flow chart of the movement between compartments appears in </w:t>
      </w:r>
      <w:r w:rsidR="001B0322" w:rsidRPr="001B0322">
        <w:rPr>
          <w:rFonts w:ascii="Times New Roman" w:eastAsiaTheme="minorEastAsia" w:hAnsi="Times New Roman" w:cs="Times New Roman"/>
          <w:b/>
          <w:sz w:val="24"/>
          <w:szCs w:val="24"/>
        </w:rPr>
        <w:t>Figure 1</w:t>
      </w:r>
      <w:r w:rsidR="001B032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669FE17B" w14:textId="77777777" w:rsidR="00E71017" w:rsidRDefault="00E71017" w:rsidP="00EC7E93">
      <w:pPr>
        <w:pStyle w:val="ListParagraph"/>
        <w:spacing w:after="0" w:line="480" w:lineRule="auto"/>
        <w:ind w:left="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690DB74" w14:textId="7F215982" w:rsidR="00EB5371" w:rsidRPr="000F5341" w:rsidRDefault="00EB5371" w:rsidP="000F5341">
      <w:pPr>
        <w:pStyle w:val="ListParagraph"/>
        <w:numPr>
          <w:ilvl w:val="0"/>
          <w:numId w:val="8"/>
        </w:numPr>
        <w:spacing w:after="0" w:line="480" w:lineRule="auto"/>
        <w:ind w:left="0"/>
        <w:rPr>
          <w:rFonts w:ascii="Times New Roman" w:eastAsia="Cambria" w:hAnsi="Times New Roman" w:cs="Times New Roman"/>
          <w:b/>
          <w:sz w:val="24"/>
          <w:szCs w:val="24"/>
        </w:rPr>
      </w:pPr>
      <w:r w:rsidRPr="000F5341">
        <w:rPr>
          <w:rFonts w:ascii="Times New Roman" w:hAnsi="Times New Roman" w:cs="Times New Roman"/>
          <w:b/>
          <w:sz w:val="24"/>
          <w:szCs w:val="24"/>
        </w:rPr>
        <w:t>DESCRIPTION OF THEORETICAL RESULTS</w:t>
      </w:r>
    </w:p>
    <w:p w14:paraId="0C2D80F8" w14:textId="541A3C5E" w:rsidR="00EB5371" w:rsidRPr="0031708E" w:rsidRDefault="00FF2A44" w:rsidP="0031708E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The solutions to </w:t>
      </w:r>
      <w:r w:rsidRPr="00FF2A44">
        <w:rPr>
          <w:rFonts w:ascii="Times New Roman" w:hAnsi="Times New Roman" w:cs="Times New Roman"/>
          <w:b/>
          <w:bCs/>
          <w:sz w:val="24"/>
          <w:szCs w:val="24"/>
        </w:rPr>
        <w:t>System 1</w:t>
      </w:r>
      <w:r>
        <w:rPr>
          <w:rFonts w:ascii="Times New Roman" w:hAnsi="Times New Roman" w:cs="Times New Roman"/>
          <w:sz w:val="24"/>
          <w:szCs w:val="24"/>
        </w:rPr>
        <w:t xml:space="preserve"> exist, are non-negative, and </w:t>
      </w:r>
      <w:r w:rsidR="23B5B773" w:rsidRPr="23B5B773">
        <w:rPr>
          <w:rFonts w:ascii="Times New Roman" w:hAnsi="Times New Roman" w:cs="Times New Roman"/>
          <w:sz w:val="24"/>
          <w:szCs w:val="24"/>
        </w:rPr>
        <w:t xml:space="preserve">bounded.    </w:t>
      </w:r>
      <w:r>
        <w:rPr>
          <w:rFonts w:ascii="Times New Roman" w:hAnsi="Times New Roman" w:cs="Times New Roman"/>
          <w:sz w:val="24"/>
          <w:szCs w:val="24"/>
        </w:rPr>
        <w:t>This is easily proved and w</w:t>
      </w:r>
      <w:r w:rsidR="23B5B773" w:rsidRPr="23B5B773">
        <w:rPr>
          <w:rFonts w:ascii="Times New Roman" w:hAnsi="Times New Roman" w:cs="Times New Roman"/>
          <w:sz w:val="24"/>
          <w:szCs w:val="24"/>
        </w:rPr>
        <w:t>e refer the reader to the article</w:t>
      </w:r>
      <w:r w:rsidR="0031708E">
        <w:rPr>
          <w:rFonts w:ascii="Times New Roman" w:hAnsi="Times New Roman" w:cs="Times New Roman"/>
          <w:sz w:val="24"/>
          <w:szCs w:val="24"/>
        </w:rPr>
        <w:t xml:space="preserve"> by Thomas et al. in </w:t>
      </w:r>
      <w:r w:rsidR="003854C0">
        <w:rPr>
          <w:rFonts w:ascii="Times New Roman" w:hAnsi="Times New Roman" w:cs="Times New Roman"/>
          <w:sz w:val="24"/>
          <w:szCs w:val="24"/>
        </w:rPr>
        <w:fldChar w:fldCharType="begin"/>
      </w:r>
      <w:r w:rsidR="003854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&lt;EndNote&gt;&lt;Cite&gt;&lt;Author&gt;Thomas DM&lt;/Author&gt;&lt;Year&gt;2014&lt;/Year&gt;&lt;RecNum&gt;0&lt;/RecNum&gt;&lt;IDText&gt;Dynamic model predicting overweight, obesity and extreme obesity prevalence trends.&lt;/IDText&gt;&lt;DisplayText&gt;&lt;style face="superscript"&gt;2&lt;/style&gt;&lt;/DisplayText&gt;&lt;record&gt;&lt;ref-type name="Journal Article"&gt;17&lt;/ref-type&gt;&lt;contributors&gt;&lt;authors&gt;&lt;author&gt;Thomas DM, Weedermann M, Fuemmeler BF, et al.&lt;/author&gt;&lt;/authors&gt;&lt;/contributors&gt;&lt;titles&gt;&lt;title&gt;Dynamic model predicting overweight, obesity and extreme obesity prevalence trends.&lt;/title&gt;&lt;secondary-title&gt;Obesity (Silver Spring)&lt;/secondary-title&gt;&lt;/titles&gt;&lt;dates&gt;&lt;year&gt;2014&lt;/year&gt;&lt;/dates&gt;&lt;pages&gt;590-597&lt;/pages&gt;&lt;/record&gt;&lt;/Cite&gt;&lt;/EndNote&gt;</w:instrText>
      </w:r>
      <w:r w:rsidR="003854C0">
        <w:rPr>
          <w:rFonts w:ascii="Times New Roman" w:hAnsi="Times New Roman" w:cs="Times New Roman"/>
          <w:sz w:val="24"/>
          <w:szCs w:val="24"/>
        </w:rPr>
        <w:fldChar w:fldCharType="separate"/>
      </w:r>
      <w:r w:rsidR="003854C0" w:rsidRPr="003854C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3854C0">
        <w:rPr>
          <w:rFonts w:ascii="Times New Roman" w:hAnsi="Times New Roman" w:cs="Times New Roman"/>
          <w:sz w:val="24"/>
          <w:szCs w:val="24"/>
        </w:rPr>
        <w:fldChar w:fldCharType="end"/>
      </w:r>
      <w:r w:rsidR="23B5B773" w:rsidRPr="23B5B773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923AB9">
        <w:rPr>
          <w:rFonts w:ascii="Times New Roman" w:hAnsi="Times New Roman" w:cs="Times New Roman"/>
          <w:sz w:val="24"/>
          <w:szCs w:val="24"/>
        </w:rPr>
        <w:t>analogous</w:t>
      </w:r>
      <w:r>
        <w:rPr>
          <w:rFonts w:ascii="Times New Roman" w:hAnsi="Times New Roman" w:cs="Times New Roman"/>
          <w:sz w:val="24"/>
          <w:szCs w:val="24"/>
        </w:rPr>
        <w:t xml:space="preserve"> rigorous proof to this statement.</w:t>
      </w:r>
    </w:p>
    <w:p w14:paraId="0878AB58" w14:textId="7D4CAD2F" w:rsidR="007F3CBC" w:rsidRDefault="00923AB9" w:rsidP="007F3CB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 have objective information on physical activity data at</w:t>
      </w:r>
      <w:r w:rsidR="00EB5371" w:rsidRPr="00E9661B">
        <w:rPr>
          <w:rFonts w:ascii="Times New Roman" w:hAnsi="Times New Roman" w:cs="Times New Roman"/>
          <w:sz w:val="24"/>
          <w:szCs w:val="24"/>
        </w:rPr>
        <w:t xml:space="preserve"> the United States Military Academy</w:t>
      </w:r>
      <w:r>
        <w:rPr>
          <w:rFonts w:ascii="Times New Roman" w:hAnsi="Times New Roman" w:cs="Times New Roman"/>
          <w:sz w:val="24"/>
          <w:szCs w:val="24"/>
        </w:rPr>
        <w:t xml:space="preserve"> (USMA), we will use USMA data</w:t>
      </w:r>
      <w:r w:rsidR="00EB5371" w:rsidRPr="00E9661B">
        <w:rPr>
          <w:rFonts w:ascii="Times New Roman" w:hAnsi="Times New Roman" w:cs="Times New Roman"/>
          <w:sz w:val="24"/>
          <w:szCs w:val="24"/>
        </w:rPr>
        <w:t xml:space="preserve"> to estimate parameters and thresholds required to draw individuals to an active lifestyle. </w:t>
      </w:r>
      <w:r>
        <w:rPr>
          <w:rFonts w:ascii="Times New Roman" w:hAnsi="Times New Roman" w:cs="Times New Roman"/>
          <w:sz w:val="24"/>
          <w:szCs w:val="24"/>
        </w:rPr>
        <w:t xml:space="preserve"> For our simulations and to derive meaningful parameter estimates,</w:t>
      </w:r>
      <w:r w:rsidR="00EB5371" w:rsidRPr="00E9661B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EB5371" w:rsidRPr="00E9661B">
        <w:rPr>
          <w:rFonts w:ascii="Times New Roman" w:hAnsi="Times New Roman" w:cs="Times New Roman"/>
          <w:sz w:val="24"/>
          <w:szCs w:val="24"/>
        </w:rPr>
        <w:t xml:space="preserve">assume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This means that we are assuming all physical activity changes </w:t>
      </w:r>
      <w:r w:rsidR="00467DD3">
        <w:rPr>
          <w:rFonts w:ascii="Times New Roman" w:eastAsiaTheme="minorEastAsia" w:hAnsi="Times New Roman" w:cs="Times New Roman"/>
          <w:sz w:val="24"/>
          <w:szCs w:val="24"/>
        </w:rPr>
        <w:t xml:space="preserve">in the sedentary population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are due to </w:t>
      </w:r>
      <w:r w:rsidR="00EB5371" w:rsidRPr="00E9661B">
        <w:rPr>
          <w:rFonts w:ascii="Times New Roman" w:eastAsiaTheme="minorEastAsia" w:hAnsi="Times New Roman" w:cs="Times New Roman"/>
          <w:sz w:val="24"/>
          <w:szCs w:val="24"/>
        </w:rPr>
        <w:t xml:space="preserve">social interaction.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3CBC">
        <w:rPr>
          <w:rFonts w:ascii="Times New Roman" w:eastAsiaTheme="minorEastAsia" w:hAnsi="Times New Roman" w:cs="Times New Roman"/>
          <w:sz w:val="24"/>
          <w:szCs w:val="24"/>
        </w:rPr>
        <w:t>After making this assumption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we</w:t>
      </w:r>
      <w:r w:rsidR="00EB5371" w:rsidRPr="00E9661B">
        <w:rPr>
          <w:rFonts w:ascii="Times New Roman" w:eastAsiaTheme="minorEastAsia" w:hAnsi="Times New Roman" w:cs="Times New Roman"/>
          <w:sz w:val="24"/>
          <w:szCs w:val="24"/>
        </w:rPr>
        <w:t xml:space="preserve"> can determine the </w:t>
      </w:r>
      <w:r w:rsidR="007F3CBC">
        <w:rPr>
          <w:rFonts w:ascii="Times New Roman" w:eastAsiaTheme="minorEastAsia" w:hAnsi="Times New Roman" w:cs="Times New Roman"/>
          <w:sz w:val="24"/>
          <w:szCs w:val="24"/>
        </w:rPr>
        <w:t xml:space="preserve">range of </w:t>
      </w:r>
      <w:r w:rsidR="00EB5371" w:rsidRPr="00E9661B">
        <w:rPr>
          <w:rFonts w:ascii="Times New Roman" w:eastAsiaTheme="minorEastAsia" w:hAnsi="Times New Roman" w:cs="Times New Roman"/>
          <w:sz w:val="24"/>
          <w:szCs w:val="24"/>
        </w:rPr>
        <w:t xml:space="preserve">parameter values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 </m:t>
            </m:r>
          </m:sup>
        </m:sSubSup>
      </m:oMath>
      <w:r w:rsidR="00EB5371" w:rsidRPr="00E9661B">
        <w:rPr>
          <w:rFonts w:ascii="Times New Roman" w:eastAsiaTheme="minorEastAsia" w:hAnsi="Times New Roman" w:cs="Times New Roman"/>
          <w:sz w:val="24"/>
          <w:szCs w:val="24"/>
        </w:rPr>
        <w:t xml:space="preserve">that will draw more individuals to increase their weekly physical activity.  </w:t>
      </w:r>
      <w:r w:rsidR="007F3CBC">
        <w:rPr>
          <w:rFonts w:ascii="Times New Roman" w:eastAsiaTheme="minorEastAsia" w:hAnsi="Times New Roman" w:cs="Times New Roman"/>
          <w:sz w:val="24"/>
          <w:szCs w:val="24"/>
        </w:rPr>
        <w:t xml:space="preserve">This range is known as a Threshold Theorem and depends on the value of the parameter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7F3CBC">
        <w:rPr>
          <w:rFonts w:ascii="Times New Roman" w:eastAsiaTheme="minorEastAsia" w:hAnsi="Times New Roman" w:cs="Times New Roman"/>
          <w:sz w:val="24"/>
          <w:szCs w:val="24"/>
        </w:rPr>
        <w:t xml:space="preserve"> stated “R naught”.  This value is known as the basic reproduction number, which represents the average number of secondary infections produced by a typical infection in a population where everyone is susceptible. If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&lt;1,</m:t>
        </m:r>
      </m:oMath>
      <w:r w:rsidR="007F3CBC">
        <w:rPr>
          <w:rFonts w:ascii="Times New Roman" w:eastAsiaTheme="minorEastAsia" w:hAnsi="Times New Roman" w:cs="Times New Roman"/>
          <w:sz w:val="24"/>
          <w:szCs w:val="24"/>
        </w:rPr>
        <w:t xml:space="preserve"> the infection dies out; whereas if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 w:rsidR="007F3CBC">
        <w:rPr>
          <w:rFonts w:ascii="Times New Roman" w:eastAsiaTheme="minorEastAsia" w:hAnsi="Times New Roman" w:cs="Times New Roman"/>
          <w:sz w:val="24"/>
          <w:szCs w:val="24"/>
        </w:rPr>
        <w:t xml:space="preserve">, the viral infection spreads through the population.  We are interested in the combination and range of model parameters that yield a basic reproduction number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&gt;1.</m:t>
        </m:r>
      </m:oMath>
    </w:p>
    <w:p w14:paraId="48B95B9F" w14:textId="18520C43" w:rsidR="00EB5371" w:rsidRPr="00E9661B" w:rsidRDefault="00EB5371" w:rsidP="00923AB9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9FCBF14" w14:textId="4121C8C2" w:rsidR="00EB5371" w:rsidRPr="00482353" w:rsidRDefault="00EB5371" w:rsidP="00EB5371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b/>
          <w:sz w:val="24"/>
          <w:szCs w:val="24"/>
        </w:rPr>
        <w:t>Proposition 2</w:t>
      </w:r>
      <w:r w:rsidRPr="0048235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482353">
        <w:rPr>
          <w:rFonts w:ascii="Times New Roman" w:eastAsiaTheme="minorEastAsia" w:hAnsi="Times New Roman" w:cs="Times New Roman"/>
          <w:i/>
          <w:sz w:val="24"/>
          <w:szCs w:val="24"/>
        </w:rPr>
        <w:t xml:space="preserve">Threshold </w:t>
      </w:r>
      <w:r w:rsidR="007F3CBC">
        <w:rPr>
          <w:rFonts w:ascii="Times New Roman" w:eastAsiaTheme="minorEastAsia" w:hAnsi="Times New Roman" w:cs="Times New Roman"/>
          <w:i/>
          <w:sz w:val="24"/>
          <w:szCs w:val="24"/>
        </w:rPr>
        <w:t>Theorem</w:t>
      </w:r>
    </w:p>
    <w:p w14:paraId="0E2FD374" w14:textId="7BBD2035" w:rsidR="009C2A35" w:rsidRPr="005B36E5" w:rsidRDefault="00EB5371" w:rsidP="009C2A35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Given parameters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, healthy lifestyle by means of exercise will spread throughout the population if the basic reproduction numbe</w:t>
      </w:r>
      <w:r w:rsidR="007F3CBC">
        <w:rPr>
          <w:rFonts w:ascii="Times New Roman" w:eastAsiaTheme="minorEastAsia" w:hAnsi="Times New Roman" w:cs="Times New Roman"/>
          <w:i/>
          <w:sz w:val="24"/>
          <w:szCs w:val="24"/>
        </w:rPr>
        <w:t>r,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7F3CBC">
        <w:rPr>
          <w:rFonts w:ascii="Times New Roman" w:eastAsiaTheme="minorEastAsia" w:hAnsi="Times New Roman" w:cs="Times New Roman"/>
          <w:i/>
          <w:sz w:val="24"/>
          <w:szCs w:val="24"/>
        </w:rPr>
        <w:t xml:space="preserve"> has the property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&gt;1.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then the healthy lifestyle habits amongst the population will “die out”.</w:t>
      </w:r>
      <w:r w:rsidR="007F3CBC">
        <w:rPr>
          <w:rFonts w:ascii="Times New Roman" w:eastAsiaTheme="minorEastAsia" w:hAnsi="Times New Roman" w:cs="Times New Roman"/>
          <w:i/>
          <w:sz w:val="24"/>
          <w:szCs w:val="24"/>
        </w:rPr>
        <w:t xml:space="preserve">  The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7F3CBC">
        <w:rPr>
          <w:rFonts w:ascii="Times New Roman" w:eastAsiaTheme="minorEastAsia" w:hAnsi="Times New Roman" w:cs="Times New Roman"/>
          <w:i/>
          <w:sz w:val="24"/>
          <w:szCs w:val="24"/>
        </w:rPr>
        <w:t xml:space="preserve"> is given by: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</m:oMath>
      <w:r w:rsidR="005B36E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5B36E5">
        <w:rPr>
          <w:rFonts w:ascii="Times New Roman" w:eastAsiaTheme="minorEastAsia" w:hAnsi="Times New Roman" w:cs="Times New Roman"/>
          <w:i/>
          <w:iCs/>
          <w:sz w:val="24"/>
          <w:szCs w:val="24"/>
        </w:rPr>
        <w:t>w</w:t>
      </w:r>
      <w:r w:rsidR="009C2A35" w:rsidRPr="005B36E5">
        <w:rPr>
          <w:rFonts w:ascii="Times New Roman" w:eastAsiaTheme="minorEastAsia" w:hAnsi="Times New Roman" w:cs="Times New Roman"/>
          <w:i/>
          <w:iCs/>
          <w:sz w:val="24"/>
          <w:szCs w:val="24"/>
        </w:rPr>
        <w:t>here A B and C are combinations of the parameters</w:t>
      </w:r>
      <w:r w:rsidR="005B36E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,N</m:t>
        </m:r>
      </m:oMath>
      <w:r w:rsidR="009C2A35" w:rsidRPr="005B36E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as follows: </w:t>
      </w:r>
    </w:p>
    <w:p w14:paraId="0DC3F1C7" w14:textId="77777777" w:rsidR="00C610F1" w:rsidRPr="006D1E23" w:rsidRDefault="00C610F1" w:rsidP="00C610F1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340A548D" w14:textId="45A89C5C" w:rsidR="0081381D" w:rsidRPr="006D1E23" w:rsidRDefault="00285BAD" w:rsidP="0081381D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[N (α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)+N (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</m:oMath>
      </m:oMathPara>
    </w:p>
    <w:p w14:paraId="2092B643" w14:textId="77777777" w:rsidR="006D1E23" w:rsidRPr="006D1E23" w:rsidRDefault="006D1E23" w:rsidP="006D1E23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14:paraId="403B0D5A" w14:textId="615FE932" w:rsidR="00EB5371" w:rsidRPr="00A414B6" w:rsidRDefault="00A414B6" w:rsidP="009C2A3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23B5B773">
        <w:rPr>
          <w:rFonts w:ascii="Times New Roman" w:eastAsiaTheme="minorEastAsia" w:hAnsi="Times New Roman" w:cs="Times New Roman"/>
          <w:sz w:val="24"/>
          <w:szCs w:val="24"/>
        </w:rPr>
        <w:t>We use the next generation matrix method as outlined 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54C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3854C0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&lt;EndNote&gt;&lt;Cite&gt;&lt;Author&gt;Driessche&lt;/Author&gt;&lt;Year&gt;2017&lt;/Year&gt;&lt;RecNum&gt;0&lt;/RecNum&gt;&lt;IDText&gt;Reproduction numbers of infectious disease models.&lt;/IDText&gt;&lt;DisplayText&gt;&lt;style face="superscript"&gt;3&lt;/style&gt;&lt;/DisplayText&gt;&lt;record&gt;&lt;ref-type name="Journal Article"&gt;17&lt;/ref-type&gt;&lt;contributors&gt;&lt;authors&gt;&lt;author&gt;Driessche, P. van den&lt;/author&gt;&lt;/authors&gt;&lt;/contributors&gt;&lt;titles&gt;&lt;title&gt;Reproduction numbers of infectious disease models.&lt;/title&gt;&lt;secondary-title&gt;Infectious disease modeling&lt;/secondary-title&gt;&lt;/titles&gt;&lt;dates&gt;&lt;year&gt;2017&lt;/year&gt;&lt;/dates&gt;&lt;pages&gt;288-303&lt;/pages&gt;&lt;/record&gt;&lt;/Cite&gt;&lt;/EndNote&gt;</w:instrText>
      </w:r>
      <w:r w:rsidR="003854C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3854C0" w:rsidRPr="003854C0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3</w:t>
      </w:r>
      <w:r w:rsidR="003854C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23B5B773">
        <w:rPr>
          <w:rFonts w:ascii="Times New Roman" w:eastAsiaTheme="minorEastAsia" w:hAnsi="Times New Roman" w:cs="Times New Roman"/>
          <w:sz w:val="24"/>
          <w:szCs w:val="24"/>
        </w:rPr>
        <w:t xml:space="preserve"> and split the terms in the exposed compartments into two categories:</w:t>
      </w:r>
    </w:p>
    <w:p w14:paraId="528A499D" w14:textId="55492563" w:rsidR="009C2A35" w:rsidRDefault="009C2A35" w:rsidP="009C2A3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rate of appearance of new active individuals (new infections) in compartment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, denoted by</w:t>
      </w:r>
      <w:r w:rsidR="00BC11D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1E36E1D5" w14:textId="5006F1FB" w:rsidR="009C2A35" w:rsidRDefault="009C2A35" w:rsidP="009C2A3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rate of transfer of individuals into compartment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all other means (other than newly infected), denoted by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The rate of transfer of individuals out of compartment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denoted by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3A825B08" w14:textId="3265DB8C" w:rsidR="009C2A35" w:rsidRPr="0093013B" w:rsidRDefault="009C2A35" w:rsidP="009C2A3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terms defined in (ii) can be combined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5EB13A7" w14:textId="0DFCF7DF" w:rsidR="009C2A35" w:rsidRDefault="00417A60" w:rsidP="009C2A3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 is the largest eigenvalue of the matrix obtained by forming the product of the Jacobian matrix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 =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en>
        </m:f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  and the inverse of the Jacobian matrix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 =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en>
        </m:f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 (i.e.,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d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), both evaluated at the disease free equilibrium (DFE). The disease free equilibrium takes the form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  Evaluating F and V at the disease free equilibrium point, we obtain: </w:t>
      </w:r>
    </w:p>
    <w:p w14:paraId="165DCE07" w14:textId="39E842D8" w:rsidR="009C2A35" w:rsidRDefault="00F454E1" w:rsidP="009C2A35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 = 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en>
        </m:f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 w:rsidR="009C2A3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 = 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 w:rsidR="005C09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6973C94" w14:textId="1DC21A45" w:rsidR="005C0988" w:rsidRDefault="005C0988" w:rsidP="005C09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largest eigenvalue leads to the thresho</w:t>
      </w:r>
      <w:r w:rsidR="00E35025">
        <w:rPr>
          <w:rFonts w:ascii="Times New Roman" w:eastAsiaTheme="minorEastAsia" w:hAnsi="Times New Roman" w:cs="Times New Roman"/>
          <w:sz w:val="24"/>
          <w:szCs w:val="24"/>
        </w:rPr>
        <w:t>ld parameter, which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takes the form: </w:t>
      </w:r>
    </w:p>
    <w:p w14:paraId="42FBC212" w14:textId="342EE35A" w:rsidR="005C0988" w:rsidRDefault="00417A60" w:rsidP="005C0988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0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B +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4F51113E" w14:textId="4F9BB56A" w:rsidR="005C0988" w:rsidRDefault="00E35025" w:rsidP="005C09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5C0988">
        <w:rPr>
          <w:rFonts w:ascii="Times New Roman" w:eastAsiaTheme="minorEastAsia" w:hAnsi="Times New Roman" w:cs="Times New Roman"/>
          <w:sz w:val="24"/>
          <w:szCs w:val="24"/>
        </w:rPr>
        <w:t xml:space="preserve">here A B and C are combinations of the parameters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,N</m:t>
        </m:r>
      </m:oMath>
      <w:r w:rsidR="005C0988">
        <w:rPr>
          <w:rFonts w:ascii="Times New Roman" w:eastAsiaTheme="minorEastAsia" w:hAnsi="Times New Roman" w:cs="Times New Roman"/>
          <w:sz w:val="24"/>
          <w:szCs w:val="24"/>
        </w:rPr>
        <w:t xml:space="preserve"> as follows: </w:t>
      </w:r>
    </w:p>
    <w:p w14:paraId="06953796" w14:textId="77777777" w:rsidR="00CF69C2" w:rsidRPr="00CF69C2" w:rsidRDefault="00CF69C2" w:rsidP="00CF69C2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25821856" w14:textId="77777777" w:rsidR="00CF69C2" w:rsidRPr="00CF69C2" w:rsidRDefault="00CF69C2" w:rsidP="00CF69C2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[N (α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)+N (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</m:oMath>
      </m:oMathPara>
    </w:p>
    <w:p w14:paraId="0AEC607B" w14:textId="77777777" w:rsidR="00CF69C2" w:rsidRPr="00CF69C2" w:rsidRDefault="00CF69C2" w:rsidP="00CF69C2">
      <w:pPr>
        <w:spacing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14:paraId="16500331" w14:textId="77777777" w:rsidR="005C0988" w:rsidRDefault="005C0988" w:rsidP="009C2A35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D2BD95" w14:textId="4606AB0B" w:rsidR="009C2A35" w:rsidRDefault="009C2A35" w:rsidP="009C2A35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The above simulation can be simplified for cases in which interactions between compartments are limited. Specifically, we look at the following case</w:t>
      </w:r>
      <w:r w:rsidR="00F11708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</w:p>
    <w:p w14:paraId="78CEE1A2" w14:textId="7C2FFA36" w:rsidR="00F11708" w:rsidRPr="00CC550A" w:rsidRDefault="00F11708" w:rsidP="00F11708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C55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There are no social interactions between sedentary and moderately individuals and the spontaneous recidivism rate of </w:t>
      </w:r>
      <w:r w:rsidR="00571239">
        <w:rPr>
          <w:rFonts w:ascii="Times New Roman" w:eastAsiaTheme="minorEastAsia" w:hAnsi="Times New Roman" w:cs="Times New Roman"/>
          <w:bCs/>
          <w:sz w:val="24"/>
          <w:szCs w:val="24"/>
        </w:rPr>
        <w:t>all</w:t>
      </w:r>
      <w:r w:rsidRPr="00CC55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compartments are zero. This can be achieved by setting the </w:t>
      </w:r>
      <w:r w:rsidR="00026C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social </w:t>
      </w:r>
      <w:r w:rsidRPr="00CC55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transition rates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 w:rsidR="00026C3C">
        <w:rPr>
          <w:rFonts w:ascii="Times New Roman" w:eastAsiaTheme="minorEastAsia" w:hAnsi="Times New Roman" w:cs="Times New Roman"/>
          <w:sz w:val="24"/>
          <w:szCs w:val="24"/>
        </w:rPr>
        <w:t xml:space="preserve"> and spontaneous movement parameters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0 &amp; 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0.</m:t>
        </m:r>
      </m:oMath>
    </w:p>
    <w:p w14:paraId="33B30EEB" w14:textId="77777777" w:rsidR="00F11708" w:rsidRPr="00DF30F4" w:rsidRDefault="00417A60" w:rsidP="00F11708">
      <w:pPr>
        <w:pStyle w:val="ListParagraph"/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18487D2B" w14:textId="77777777" w:rsidR="00C052E1" w:rsidRDefault="00F11708" w:rsidP="00AD223C">
      <w:pPr>
        <w:pStyle w:val="ListParagraph"/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1708">
        <w:rPr>
          <w:rFonts w:ascii="Times New Roman" w:eastAsiaTheme="minorEastAsia" w:hAnsi="Times New Roman" w:cs="Times New Roman"/>
          <w:b/>
          <w:sz w:val="24"/>
          <w:szCs w:val="24"/>
        </w:rPr>
        <w:t>Figure 2A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shows that the sedentary population becomes extinct over time with the population transitioning to a plateau of exercisers. </w:t>
      </w:r>
      <w:r w:rsidRPr="00F11708">
        <w:rPr>
          <w:rFonts w:ascii="Times New Roman" w:eastAsiaTheme="minorEastAsia" w:hAnsi="Times New Roman" w:cs="Times New Roman"/>
          <w:b/>
          <w:sz w:val="24"/>
          <w:szCs w:val="24"/>
        </w:rPr>
        <w:t>Figure 2B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illustrates that if the sum of the social parameters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are lower than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 exercising populations become extinct and sedentary behavior persists.</w:t>
      </w:r>
    </w:p>
    <w:p w14:paraId="1F999AF2" w14:textId="77777777" w:rsidR="00CF5DBA" w:rsidRPr="00CF5DBA" w:rsidRDefault="00F11708" w:rsidP="00CF5DBA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92331" w:rsidRPr="00B97EB5">
        <w:rPr>
          <w:rFonts w:ascii="Times New Roman" w:eastAsiaTheme="minorEastAsia" w:hAnsi="Times New Roman" w:cs="Times New Roman"/>
          <w:bCs/>
          <w:sz w:val="24"/>
          <w:szCs w:val="24"/>
        </w:rPr>
        <w:t>There are no social interactions between sedentary and extremely active individuals and there is no</w:t>
      </w:r>
      <w:r w:rsidR="0009233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spontaneous</w:t>
      </w:r>
      <w:r w:rsidR="00092331" w:rsidRPr="00B97E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movement </w:t>
      </w:r>
      <w:r w:rsidR="00092331">
        <w:rPr>
          <w:rFonts w:ascii="Times New Roman" w:eastAsiaTheme="minorEastAsia" w:hAnsi="Times New Roman" w:cs="Times New Roman"/>
          <w:bCs/>
          <w:sz w:val="24"/>
          <w:szCs w:val="24"/>
        </w:rPr>
        <w:t xml:space="preserve">from extremely active to sedentary </w:t>
      </w:r>
      <w:r w:rsidR="00092331" w:rsidRPr="00B97EB5">
        <w:rPr>
          <w:rFonts w:ascii="Times New Roman" w:eastAsiaTheme="minorEastAsia" w:hAnsi="Times New Roman" w:cs="Times New Roman"/>
          <w:bCs/>
          <w:sz w:val="24"/>
          <w:szCs w:val="24"/>
        </w:rPr>
        <w:t>compartments</w:t>
      </w:r>
      <w:r w:rsidR="00092331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092331" w:rsidRPr="00B97E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Transition rates: 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w:bookmarkStart w:id="1" w:name="_Hlk51173906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0 &amp;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(k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1 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  <w:bookmarkEnd w:id="1"/>
    </w:p>
    <w:p w14:paraId="1C180A44" w14:textId="2A1FC371" w:rsidR="00092331" w:rsidRPr="00CF5DBA" w:rsidRDefault="00092331" w:rsidP="00CF5DBA">
      <w:pPr>
        <w:pStyle w:val="ListParagraph"/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F5DBA">
        <w:rPr>
          <w:rFonts w:ascii="Times New Roman" w:eastAsiaTheme="minorEastAsia" w:hAnsi="Times New Roman" w:cs="Times New Roman"/>
          <w:b/>
          <w:sz w:val="24"/>
          <w:szCs w:val="24"/>
        </w:rPr>
        <w:t>Figure 3A</w:t>
      </w:r>
      <w:r w:rsidRPr="00CF5DB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shows that the sedentary population becomes extinct over time with the population transitioning to a plateau of exercisers. </w:t>
      </w:r>
      <w:r w:rsidRPr="00CF5DBA">
        <w:rPr>
          <w:rFonts w:ascii="Times New Roman" w:eastAsiaTheme="minorEastAsia" w:hAnsi="Times New Roman" w:cs="Times New Roman"/>
          <w:b/>
          <w:sz w:val="24"/>
          <w:szCs w:val="24"/>
        </w:rPr>
        <w:t>Figure 3B</w:t>
      </w:r>
      <w:r w:rsidRPr="00CF5DB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illustrates </w:t>
      </w:r>
      <w:r w:rsidR="00AC6245" w:rsidRPr="00CF5DBA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case where </w:t>
      </w:r>
      <w:r w:rsidRPr="00CF5DBA">
        <w:rPr>
          <w:rFonts w:ascii="Times New Roman" w:eastAsiaTheme="minorEastAsia" w:hAnsi="Times New Roman" w:cs="Times New Roman"/>
          <w:bCs/>
          <w:sz w:val="24"/>
          <w:szCs w:val="24"/>
        </w:rPr>
        <w:t>exercising populations become extinct and sedentary behavior persists.</w:t>
      </w:r>
    </w:p>
    <w:p w14:paraId="0141DFEF" w14:textId="0D15B01F" w:rsidR="00D95BE8" w:rsidRPr="00AD223C" w:rsidRDefault="00D95BE8" w:rsidP="00AD223C">
      <w:pPr>
        <w:pStyle w:val="ListParagraph"/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66103D5" w14:textId="3E3F68D4" w:rsidR="00182CC1" w:rsidRPr="00927C4D" w:rsidRDefault="007540BF" w:rsidP="00182CC1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Suppose</w:t>
      </w:r>
      <w:r w:rsidR="00182CC1" w:rsidRPr="00927C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that there are no social interactions between the sedentary and moderately active groups. Additionally, extremely active individuals do not transition to the sedentary </w:t>
      </w:r>
      <w:r w:rsidR="00182CC1" w:rsidRPr="00927C4D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compartment (no injuries among extremely active). Mathematically, we set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bidi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bidi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bidi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 xml:space="preserve">0,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=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= 0,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bidi="en-US"/>
          </w:rPr>
          <m:t>=0</m:t>
        </m:r>
      </m:oMath>
      <w:r w:rsidR="00182CC1" w:rsidRPr="00927C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The parameter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0</m:t>
            </m:r>
          </m:sub>
        </m:sSub>
      </m:oMath>
      <w:r w:rsidR="00FB44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82CC1" w:rsidRPr="00927C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takes the following form: </w:t>
      </w:r>
    </w:p>
    <w:p w14:paraId="4A8F3142" w14:textId="77777777" w:rsidR="00FF64B7" w:rsidRPr="00FF64B7" w:rsidRDefault="00182CC1" w:rsidP="00FF64B7">
      <w:pPr>
        <w:pStyle w:val="ListParagraph"/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bidi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))+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763F7AFD" w14:textId="2F9E5166" w:rsidR="00182CC1" w:rsidRPr="00FF64B7" w:rsidRDefault="00FF64B7" w:rsidP="00FF64B7">
      <w:pPr>
        <w:pStyle w:val="ListParagraph"/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In this case, we see that the</w:t>
      </w:r>
      <w:r w:rsidR="003B49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6F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threshold parameter depends on the social </w:t>
      </w:r>
      <w:r w:rsidR="00D1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interactions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658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that draw sedentary individuals to the exercise compartments (such as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bidi="en-US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2</m:t>
            </m:r>
          </m:sub>
        </m:sSub>
      </m:oMath>
      <w:r w:rsidR="003F06ED">
        <w:rPr>
          <w:rFonts w:ascii="Times New Roman" w:eastAsia="Calibri" w:hAnsi="Times New Roman" w:cs="Times New Roman"/>
          <w:sz w:val="24"/>
          <w:szCs w:val="24"/>
          <w:lang w:bidi="en-US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06ED">
        <w:rPr>
          <w:rFonts w:ascii="Times New Roman" w:eastAsia="Calibri" w:hAnsi="Times New Roman" w:cs="Times New Roman"/>
          <w:sz w:val="24"/>
          <w:szCs w:val="24"/>
          <w:lang w:bidi="en-US"/>
        </w:rPr>
        <w:t>the social</w:t>
      </w:r>
      <w:r w:rsidR="00D1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interactions </w:t>
      </w:r>
      <w:r w:rsidR="003F4A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that drive movement between the active compartments </w:t>
      </w:r>
      <w:r w:rsidR="00D12133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α</m:t>
            </m:r>
            <m:ctrlP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1</m:t>
            </m:r>
          </m:sub>
        </m:sSub>
      </m:oMath>
      <w:r w:rsidR="00C52C3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α</m:t>
            </m:r>
            <m:ctrlP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bidi="en-US"/>
              </w:rPr>
              <m:t>2</m:t>
            </m:r>
          </m:sub>
        </m:sSub>
      </m:oMath>
      <w:r w:rsidR="00C52C3D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="00D121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the recidivism </w:t>
      </w:r>
      <w:r w:rsidR="003F06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parameters that </w:t>
      </w:r>
      <w:r w:rsidR="00D12133">
        <w:rPr>
          <w:rFonts w:ascii="Times New Roman" w:eastAsia="Calibri" w:hAnsi="Times New Roman" w:cs="Times New Roman"/>
          <w:sz w:val="24"/>
          <w:szCs w:val="24"/>
          <w:lang w:bidi="en-US"/>
        </w:rPr>
        <w:t>draw the exercis</w:t>
      </w:r>
      <w:r w:rsidR="00C52C3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ers to a sedentary </w:t>
      </w:r>
      <w:r w:rsidR="003F4A3C">
        <w:rPr>
          <w:rFonts w:ascii="Times New Roman" w:eastAsia="Calibri" w:hAnsi="Times New Roman" w:cs="Times New Roman"/>
          <w:sz w:val="24"/>
          <w:szCs w:val="24"/>
          <w:lang w:bidi="en-US"/>
        </w:rPr>
        <w:t>lifestyle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="00C220FA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Figure </w:t>
      </w:r>
      <w:r w:rsidR="00CF5DBA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  <w:r w:rsidR="006B0DFE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A</w:t>
      </w:r>
      <w:r w:rsidR="00C220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shows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simulations that lead to</w:t>
      </w:r>
      <w:r w:rsidR="00797C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prevalence of exercise and</w:t>
      </w:r>
      <w:r w:rsidR="00797C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97C1D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Figure </w:t>
      </w:r>
      <w:r w:rsidR="00CF5DBA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  <w:r w:rsidR="006B0DFE" w:rsidRPr="003F4A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B</w:t>
      </w:r>
      <w:r w:rsidR="00797C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shows the simulations that lead to the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prevalence of sedentary habits.</w:t>
      </w:r>
    </w:p>
    <w:p w14:paraId="2A729E5B" w14:textId="10FA8201" w:rsidR="00EB5371" w:rsidRDefault="00EB5371" w:rsidP="00EB5371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82353">
        <w:rPr>
          <w:rFonts w:ascii="Times New Roman" w:eastAsiaTheme="minorEastAsia" w:hAnsi="Times New Roman" w:cs="Times New Roman"/>
          <w:b/>
          <w:sz w:val="24"/>
          <w:szCs w:val="24"/>
        </w:rPr>
        <w:t xml:space="preserve">Proposition 3: </w:t>
      </w:r>
      <w:r w:rsidRPr="00482353">
        <w:rPr>
          <w:rFonts w:ascii="Times New Roman" w:eastAsiaTheme="minorEastAsia" w:hAnsi="Times New Roman" w:cs="Times New Roman"/>
          <w:i/>
          <w:sz w:val="24"/>
          <w:szCs w:val="24"/>
        </w:rPr>
        <w:t xml:space="preserve">The mathematical model (System 1) yields to a steady state.  If the physical activity prevalence arrives at this value, it remains at this value.  </w:t>
      </w:r>
    </w:p>
    <w:p w14:paraId="1E66F1DF" w14:textId="750410AD" w:rsidR="00D30D86" w:rsidRPr="0031708E" w:rsidRDefault="00D30D86" w:rsidP="001B0322">
      <w:pPr>
        <w:spacing w:after="0"/>
      </w:pPr>
      <w:r w:rsidRPr="00E9661B">
        <w:rPr>
          <w:rFonts w:ascii="Times New Roman" w:hAnsi="Times New Roman" w:cs="Times New Roman"/>
          <w:sz w:val="24"/>
          <w:szCs w:val="24"/>
        </w:rPr>
        <w:t>We refer the reader to the article by Thomas et. al.</w:t>
      </w:r>
      <w:r w:rsidR="0031708E">
        <w:rPr>
          <w:rFonts w:ascii="Times New Roman" w:hAnsi="Times New Roman" w:cs="Times New Roman"/>
          <w:sz w:val="24"/>
          <w:szCs w:val="24"/>
        </w:rPr>
        <w:t xml:space="preserve"> in</w:t>
      </w:r>
      <w:r w:rsidR="003854C0">
        <w:rPr>
          <w:rFonts w:ascii="Times New Roman" w:hAnsi="Times New Roman" w:cs="Times New Roman"/>
          <w:sz w:val="24"/>
          <w:szCs w:val="24"/>
        </w:rPr>
        <w:fldChar w:fldCharType="begin"/>
      </w:r>
      <w:r w:rsidR="003854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&lt;EndNote&gt;&lt;Cite&gt;&lt;Author&gt;Thomas DM&lt;/Author&gt;&lt;Year&gt;2014&lt;/Year&gt;&lt;RecNum&gt;0&lt;/RecNum&gt;&lt;IDText&gt;Dynamic model predicting overweight, obesity and extreme obesity prevalence trends.&lt;/IDText&gt;&lt;DisplayText&gt;&lt;style face="superscript"&gt;2&lt;/style&gt;&lt;/DisplayText&gt;&lt;record&gt;&lt;ref-type name="Journal Article"&gt;17&lt;/ref-type&gt;&lt;contributors&gt;&lt;authors&gt;&lt;author&gt;Thomas DM, Weedermann M, Fuemmeler BF, et al.&lt;/author&gt;&lt;/authors&gt;&lt;/contributors&gt;&lt;titles&gt;&lt;title&gt;Dynamic model predicting overweight, obesity and extreme obesity prevalence trends.&lt;/title&gt;&lt;secondary-title&gt;Obesity (Silver Spring)&lt;/secondary-title&gt;&lt;/titles&gt;&lt;dates&gt;&lt;year&gt;2014&lt;/year&gt;&lt;/dates&gt;&lt;pages&gt;590-597&lt;/pages&gt;&lt;/record&gt;&lt;/Cite&gt;&lt;/EndNote&gt;</w:instrText>
      </w:r>
      <w:r w:rsidR="003854C0">
        <w:rPr>
          <w:rFonts w:ascii="Times New Roman" w:hAnsi="Times New Roman" w:cs="Times New Roman"/>
          <w:sz w:val="24"/>
          <w:szCs w:val="24"/>
        </w:rPr>
        <w:fldChar w:fldCharType="separate"/>
      </w:r>
      <w:r w:rsidR="003854C0" w:rsidRPr="003854C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3854C0">
        <w:rPr>
          <w:rFonts w:ascii="Times New Roman" w:hAnsi="Times New Roman" w:cs="Times New Roman"/>
          <w:sz w:val="24"/>
          <w:szCs w:val="24"/>
        </w:rPr>
        <w:fldChar w:fldCharType="end"/>
      </w:r>
      <w:r w:rsidRPr="00E9661B">
        <w:rPr>
          <w:rFonts w:ascii="Times New Roman" w:hAnsi="Times New Roman" w:cs="Times New Roman"/>
          <w:sz w:val="24"/>
          <w:szCs w:val="24"/>
        </w:rPr>
        <w:t xml:space="preserve">, for a theoretical proof of </w:t>
      </w:r>
      <w:r w:rsidR="00626A6E">
        <w:rPr>
          <w:rFonts w:ascii="Times New Roman" w:hAnsi="Times New Roman" w:cs="Times New Roman"/>
          <w:sz w:val="24"/>
          <w:szCs w:val="24"/>
        </w:rPr>
        <w:t>P</w:t>
      </w:r>
      <w:r w:rsidRPr="00E9661B">
        <w:rPr>
          <w:rFonts w:ascii="Times New Roman" w:hAnsi="Times New Roman" w:cs="Times New Roman"/>
          <w:sz w:val="24"/>
          <w:szCs w:val="24"/>
        </w:rPr>
        <w:t xml:space="preserve">roposition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61B">
        <w:rPr>
          <w:rFonts w:ascii="Times New Roman" w:hAnsi="Times New Roman" w:cs="Times New Roman"/>
          <w:sz w:val="24"/>
          <w:szCs w:val="24"/>
        </w:rPr>
        <w:t>.</w:t>
      </w:r>
    </w:p>
    <w:p w14:paraId="1086A048" w14:textId="77777777" w:rsidR="00626A6E" w:rsidRDefault="00626A6E" w:rsidP="00BA121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0CCE5F" w14:textId="7CC31524" w:rsidR="00BA121A" w:rsidRPr="00D00057" w:rsidRDefault="00626A6E" w:rsidP="00BA121A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Appendix Figure 1</w:t>
      </w:r>
      <w:r w:rsidR="00BA121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="00BA121A" w:rsidRPr="009D76EA">
        <w:rPr>
          <w:rFonts w:ascii="Times New Roman" w:hAnsi="Times New Roman" w:cs="Times New Roman"/>
          <w:sz w:val="24"/>
          <w:szCs w:val="24"/>
        </w:rPr>
        <w:t xml:space="preserve">Dependency of the sedentary population on the social interaction parameters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,δ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A121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121A" w:rsidRPr="00D378EA">
        <w:rPr>
          <w:rFonts w:ascii="Times New Roman" w:eastAsiaTheme="minorEastAsia" w:hAnsi="Times New Roman" w:cs="Times New Roman"/>
          <w:b/>
          <w:bCs/>
          <w:sz w:val="24"/>
          <w:szCs w:val="24"/>
        </w:rPr>
        <w:t>Panel A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illustrates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evolution 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>of the sedentary population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over 1500 weeks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plotted for ten different transition rates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ranging from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=0.001 to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=0.01</m:t>
        </m:r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represents the fraction of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sedentary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individuals who become extremely active as a result of interactions with moderately active individuals.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121A" w:rsidRPr="00D378EA">
        <w:rPr>
          <w:rFonts w:ascii="Times New Roman" w:eastAsiaTheme="minorEastAsia" w:hAnsi="Times New Roman" w:cs="Times New Roman"/>
          <w:b/>
          <w:bCs/>
          <w:sz w:val="24"/>
          <w:szCs w:val="24"/>
        </w:rPr>
        <w:t>Panel B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shows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the percent of sedentary population for ten transition rates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ranging from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=0.001 to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=0.01</m:t>
        </m:r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represents the fraction of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sedentary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individuals who become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moderately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active as a result of interacting with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moderately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active individuals. </w:t>
      </w:r>
      <w:r w:rsidR="00BA121A" w:rsidRPr="00D378EA">
        <w:rPr>
          <w:rFonts w:ascii="Times New Roman" w:eastAsiaTheme="minorEastAsia" w:hAnsi="Times New Roman" w:cs="Times New Roman"/>
          <w:b/>
          <w:bCs/>
          <w:sz w:val="24"/>
          <w:szCs w:val="24"/>
        </w:rPr>
        <w:t>Panel C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illustrates the percentage of sedentary population over time as the transition parameter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varies from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=0.001 to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=0.01</m:t>
        </m:r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represents the 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fraction of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sedentary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individuals who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spontaneously transition </w:t>
      </w:r>
      <w:proofErr w:type="gramStart"/>
      <w:r w:rsidR="00BA121A"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moderately active. </w:t>
      </w:r>
      <w:r w:rsidR="00BA121A" w:rsidRPr="00D378EA">
        <w:rPr>
          <w:rFonts w:ascii="Times New Roman" w:eastAsiaTheme="minorEastAsia" w:hAnsi="Times New Roman" w:cs="Times New Roman"/>
          <w:b/>
          <w:bCs/>
          <w:sz w:val="24"/>
          <w:szCs w:val="24"/>
        </w:rPr>
        <w:t>Panel D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illustrates the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evolution of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percentage of sedentary population over time as the transition parameter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varies from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=0.001 to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=0.01</m:t>
        </m:r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represents the fraction of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moderately active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individuals who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spontaneously transition to sedentary (e.g., as result of injury).  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Panel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illustrates the percentage of sedentary population over time as the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social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transition parameter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varies from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=0.001 to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=0.01</m:t>
        </m:r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represents the fraction of 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>moderately active</w:t>
      </w:r>
      <w:r w:rsidR="00BA121A" w:rsidRPr="009D76EA">
        <w:rPr>
          <w:rFonts w:ascii="Times New Roman" w:eastAsiaTheme="minorEastAsia" w:hAnsi="Times New Roman" w:cs="Times New Roman"/>
          <w:sz w:val="24"/>
          <w:szCs w:val="24"/>
        </w:rPr>
        <w:t xml:space="preserve"> individuals who</w:t>
      </w:r>
      <w:r w:rsidR="00BA121A">
        <w:rPr>
          <w:rFonts w:ascii="Times New Roman" w:eastAsiaTheme="minorEastAsia" w:hAnsi="Times New Roman" w:cs="Times New Roman"/>
          <w:sz w:val="24"/>
          <w:szCs w:val="24"/>
        </w:rPr>
        <w:t xml:space="preserve"> transition to sedentary as a result of social interactions with sedentary individuals.</w:t>
      </w: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616"/>
      </w:tblGrid>
      <w:tr w:rsidR="00BE1272" w14:paraId="36107E48" w14:textId="77777777" w:rsidTr="008C25C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65D" w14:textId="77777777" w:rsidR="00070DC3" w:rsidRPr="00E807D6" w:rsidRDefault="00070DC3" w:rsidP="00BC552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Increasing social interactions between sedentary and extremely active individuals (increase social interaction rate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moves sedentary to extremely active) decreases the long-term plateau of sedentary population by 16%.  </w:t>
            </w:r>
          </w:p>
          <w:p w14:paraId="326C71C5" w14:textId="2F20E72E" w:rsidR="00070DC3" w:rsidRPr="00070DC3" w:rsidRDefault="00070DC3" w:rsidP="00070DC3">
            <w:pPr>
              <w:pStyle w:val="ListParagraph"/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51AA87" wp14:editId="23E8754C">
                  <wp:extent cx="2877754" cy="2158316"/>
                  <wp:effectExtent l="0" t="0" r="0" b="0"/>
                  <wp:docPr id="12" name="Picture 1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693" cy="217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C75" w14:textId="5CEBE140" w:rsidR="00070DC3" w:rsidRDefault="00070DC3" w:rsidP="008C25C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Increasing social interactions between sedentary and extremely individuals (increase social interaction rate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moves sedentary to moderately active)   decreases the long-term plateau of the sedentary population by 13%.</w:t>
            </w:r>
          </w:p>
          <w:p w14:paraId="602D3E6C" w14:textId="77777777" w:rsidR="00070DC3" w:rsidRDefault="00070DC3" w:rsidP="00070DC3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5557A8" w14:textId="1EF6C5F2" w:rsidR="00070DC3" w:rsidRPr="00070DC3" w:rsidRDefault="00070DC3" w:rsidP="00070DC3">
            <w:pPr>
              <w:pStyle w:val="ListParagraph"/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14A7DB" wp14:editId="3B80364E">
                  <wp:extent cx="2964617" cy="2223463"/>
                  <wp:effectExtent l="0" t="0" r="7620" b="5715"/>
                  <wp:docPr id="13" name="Picture 1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512" cy="228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72" w14:paraId="232ACCA5" w14:textId="77777777" w:rsidTr="008C25C7">
        <w:trPr>
          <w:trHeight w:val="251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35F" w14:textId="77777777" w:rsidR="00070DC3" w:rsidRDefault="00070DC3" w:rsidP="008C25C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Increasing spontaneous movement parameter from sedentary to extremely active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decreases the long-term plateau of sedentary population by 20 %. </w:t>
            </w:r>
          </w:p>
          <w:p w14:paraId="31C9571D" w14:textId="29C3C2AE" w:rsidR="00070DC3" w:rsidRPr="00070DC3" w:rsidRDefault="00BE1272" w:rsidP="00070DC3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1068D9" wp14:editId="12C6CC22">
                  <wp:extent cx="2461847" cy="1846385"/>
                  <wp:effectExtent l="0" t="0" r="0" b="1905"/>
                  <wp:docPr id="14" name="Picture 14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185" cy="185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4F1" w14:textId="77777777" w:rsidR="00070DC3" w:rsidRPr="0061395E" w:rsidRDefault="00070DC3" w:rsidP="006F08B5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95E">
              <w:rPr>
                <w:rFonts w:ascii="Times New Roman" w:eastAsiaTheme="minorEastAsia" w:hAnsi="Times New Roman" w:cs="Times New Roman"/>
                <w:sz w:val="24"/>
                <w:szCs w:val="24"/>
              </w:rPr>
              <w:t>Increasing spontaneous movement parameter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613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extremely active </w:t>
            </w:r>
            <w:r w:rsidRPr="00613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sedentary</w:t>
            </w:r>
            <w:r w:rsidRPr="00613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decreases the long-term plateau of sedentary population by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  <w:r w:rsidRPr="00613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%. </w:t>
            </w:r>
          </w:p>
          <w:p w14:paraId="141FCDE7" w14:textId="2AAB30BD" w:rsidR="00070DC3" w:rsidRPr="00070DC3" w:rsidRDefault="00BE1272" w:rsidP="00BE1272">
            <w:pPr>
              <w:pStyle w:val="ListParagraph"/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799888" wp14:editId="5DA25CD5">
                  <wp:extent cx="2522806" cy="1892104"/>
                  <wp:effectExtent l="0" t="0" r="0" b="0"/>
                  <wp:docPr id="16" name="Picture 1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58" cy="191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72" w:rsidRPr="00B7569A" w14:paraId="374F73BA" w14:textId="77777777" w:rsidTr="008C25C7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01D" w14:textId="77777777" w:rsidR="00BE1272" w:rsidRPr="00B7569A" w:rsidRDefault="00BE1272" w:rsidP="00C94FD6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56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Increasing social interactions between sedentary and extremely active individuals (increase recidivism rate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B7569A">
              <w:rPr>
                <w:rFonts w:ascii="Times New Roman" w:eastAsiaTheme="minorEastAsia" w:hAnsi="Times New Roman" w:cs="Times New Roman"/>
                <w:sz w:val="24"/>
                <w:szCs w:val="24"/>
              </w:rPr>
              <w:t>) increases the long-term plateau of the sedentary population by 21%.</w:t>
            </w:r>
          </w:p>
          <w:p w14:paraId="3714E2D9" w14:textId="5C73DC2D" w:rsidR="00BE1272" w:rsidRPr="00B7569A" w:rsidRDefault="00BE1272" w:rsidP="00BE1272">
            <w:pPr>
              <w:pStyle w:val="ListParagraph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7569A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D295CB" wp14:editId="593DE380">
                  <wp:extent cx="3284807" cy="2463605"/>
                  <wp:effectExtent l="0" t="0" r="0" b="0"/>
                  <wp:docPr id="17" name="Picture 17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217" cy="247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D1E99" w14:textId="52B2243C" w:rsidR="00CD3CA0" w:rsidRPr="00B7569A" w:rsidRDefault="00CD3CA0" w:rsidP="00F3750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24EFE9" w14:textId="7F147683" w:rsidR="000D615F" w:rsidRPr="00B7569A" w:rsidRDefault="000D615F" w:rsidP="00F3750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E0BF5C" w14:textId="32509DBF" w:rsidR="00B7569A" w:rsidRPr="00B7569A" w:rsidRDefault="00B7569A" w:rsidP="00B7569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Pr="00B7569A">
        <w:rPr>
          <w:rFonts w:ascii="Times New Roman" w:eastAsiaTheme="minorEastAsia" w:hAnsi="Times New Roman" w:cs="Times New Roman"/>
          <w:b/>
          <w:bCs/>
          <w:sz w:val="24"/>
          <w:szCs w:val="24"/>
        </w:rPr>
        <w:t>Table 1</w:t>
      </w:r>
      <w:r w:rsidRPr="00B7569A">
        <w:rPr>
          <w:rFonts w:ascii="Times New Roman" w:eastAsiaTheme="minorEastAsia" w:hAnsi="Times New Roman" w:cs="Times New Roman"/>
          <w:sz w:val="24"/>
          <w:szCs w:val="24"/>
        </w:rPr>
        <w:t xml:space="preserve"> Summary characteristics of Army Physical Fitness Test Run Time by USMA Academic Department</w:t>
      </w: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19"/>
        <w:gridCol w:w="2621"/>
      </w:tblGrid>
      <w:tr w:rsidR="00B7569A" w:rsidRPr="00B7569A" w14:paraId="1B2A5690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1A079B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Unit (N)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0A2C7AF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FD36082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 Time (seconds)</w:t>
            </w:r>
          </w:p>
        </w:tc>
      </w:tr>
      <w:tr w:rsidR="00B7569A" w:rsidRPr="00B7569A" w14:paraId="253426ED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42478530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(32)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CCD6917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36.97±5.53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7F456B59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886.66±200.28</w:t>
            </w:r>
          </w:p>
        </w:tc>
      </w:tr>
      <w:tr w:rsidR="00B7569A" w:rsidRPr="00B7569A" w14:paraId="429A1597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5CC613A9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 (25)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5ED11C3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36.92±5.69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62CF37BC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789.36±306.17</w:t>
            </w:r>
          </w:p>
        </w:tc>
      </w:tr>
      <w:tr w:rsidR="00B7569A" w:rsidRPr="00B7569A" w14:paraId="05E9FD16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2C3B2A15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 (36)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4CA3481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36.53±4.91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0C4D20A4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841.33±97.09</w:t>
            </w:r>
          </w:p>
        </w:tc>
      </w:tr>
      <w:tr w:rsidR="00B7569A" w:rsidRPr="00B7569A" w14:paraId="65BAC98E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C9EEFBC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 (22)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85FE8B8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36.68±5.52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126FCA91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849.36±109.42</w:t>
            </w:r>
          </w:p>
        </w:tc>
      </w:tr>
      <w:tr w:rsidR="00B7569A" w:rsidRPr="00B7569A" w14:paraId="50ADE711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49D34538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(21)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913601E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40.00±5.97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075B3286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993.19±96.63</w:t>
            </w:r>
          </w:p>
        </w:tc>
      </w:tr>
      <w:tr w:rsidR="00B7569A" w:rsidRPr="00B7569A" w14:paraId="3EC896BE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A864D58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(23)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D51FE76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39.17±5.92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5D9BD85F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959.65±339.40</w:t>
            </w:r>
          </w:p>
        </w:tc>
      </w:tr>
      <w:tr w:rsidR="00B7569A" w:rsidRPr="00B7569A" w14:paraId="61F4F580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04BD5E2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(20)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859174A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41.60±5.16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3CDF6A11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976.10±253.56</w:t>
            </w:r>
          </w:p>
        </w:tc>
      </w:tr>
      <w:tr w:rsidR="00B7569A" w:rsidRPr="00B7569A" w14:paraId="2E36C462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D7B1BDA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(22)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6E82055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38.50±7.17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522D482D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899.68±101.49</w:t>
            </w:r>
          </w:p>
        </w:tc>
      </w:tr>
      <w:tr w:rsidR="00B7569A" w:rsidRPr="00B7569A" w14:paraId="7389A28C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618BBDF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 (30)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DEC0C6F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39.83±5.55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63A607E4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1007.20±406.28</w:t>
            </w:r>
          </w:p>
        </w:tc>
      </w:tr>
      <w:tr w:rsidR="00B7569A" w:rsidRPr="00B7569A" w14:paraId="02315214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22DC435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(27)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0CCD5BC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38.67±5.92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3D3054C8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938.67±86.16</w:t>
            </w:r>
          </w:p>
        </w:tc>
      </w:tr>
      <w:tr w:rsidR="00B7569A" w:rsidRPr="00B7569A" w14:paraId="3829DAE9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9267F71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(24)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4F3D20B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39.25±6.39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68CDBF1E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936.46±208.49</w:t>
            </w:r>
          </w:p>
        </w:tc>
      </w:tr>
      <w:tr w:rsidR="00B7569A" w:rsidRPr="00B7569A" w14:paraId="186D9881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8BFDD89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(9)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3A28FC9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43.11±4.96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7E72E2A4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1007.33±138.68</w:t>
            </w:r>
          </w:p>
        </w:tc>
      </w:tr>
      <w:tr w:rsidR="00B7569A" w:rsidRPr="00B7569A" w14:paraId="38A80A63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F804822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(42)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75C0DD4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35.86±4.38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618B50CF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908.62±277.74</w:t>
            </w:r>
          </w:p>
        </w:tc>
      </w:tr>
      <w:tr w:rsidR="00B7569A" w:rsidRPr="00B7569A" w14:paraId="3C2E8D8C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21A3551A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(17)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20497D2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35.88±5.89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554110CE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769.41±208.41</w:t>
            </w:r>
          </w:p>
        </w:tc>
      </w:tr>
      <w:tr w:rsidR="00B7569A" w:rsidRPr="00B7569A" w14:paraId="4E462DEC" w14:textId="77777777" w:rsidTr="009A6547">
        <w:trPr>
          <w:trHeight w:val="290"/>
          <w:jc w:val="center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60F8FE1D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(22)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B397899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37.59±6.12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14:paraId="76D46C28" w14:textId="77777777" w:rsidR="00B7569A" w:rsidRPr="00B7569A" w:rsidRDefault="00B7569A" w:rsidP="009A654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909.18±115.16</w:t>
            </w:r>
          </w:p>
        </w:tc>
      </w:tr>
    </w:tbl>
    <w:p w14:paraId="755C8615" w14:textId="77777777" w:rsidR="00B7569A" w:rsidRPr="00B7569A" w:rsidRDefault="00B7569A" w:rsidP="00B7569A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990BB2D" w14:textId="77777777" w:rsidR="00B7569A" w:rsidRPr="00B7569A" w:rsidRDefault="00B7569A" w:rsidP="00B7569A">
      <w:pPr>
        <w:rPr>
          <w:rFonts w:ascii="Times New Roman" w:hAnsi="Times New Roman" w:cs="Times New Roman"/>
          <w:sz w:val="24"/>
          <w:szCs w:val="24"/>
        </w:rPr>
      </w:pPr>
    </w:p>
    <w:p w14:paraId="4DA1FFD7" w14:textId="77777777" w:rsidR="00B7569A" w:rsidRDefault="00B7569A" w:rsidP="00495273">
      <w:pPr>
        <w:spacing w:line="480" w:lineRule="auto"/>
      </w:pPr>
    </w:p>
    <w:p w14:paraId="7F86D8AC" w14:textId="77777777" w:rsidR="003854C0" w:rsidRDefault="003854C0" w:rsidP="0031708E">
      <w:pPr>
        <w:spacing w:after="0"/>
        <w:jc w:val="center"/>
      </w:pPr>
    </w:p>
    <w:p w14:paraId="12293E8B" w14:textId="77777777" w:rsidR="003854C0" w:rsidRDefault="003854C0" w:rsidP="0031708E">
      <w:pPr>
        <w:spacing w:after="0"/>
        <w:jc w:val="center"/>
      </w:pPr>
    </w:p>
    <w:p w14:paraId="6A808F64" w14:textId="77777777" w:rsidR="00626A6E" w:rsidRPr="00417A60" w:rsidRDefault="003854C0" w:rsidP="00626A6E">
      <w:pPr>
        <w:pStyle w:val="EndNoteBibliographyTitle"/>
        <w:jc w:val="left"/>
        <w:rPr>
          <w:b/>
          <w:bCs/>
          <w:sz w:val="28"/>
          <w:szCs w:val="28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26A6E" w:rsidRPr="00417A60">
        <w:rPr>
          <w:b/>
          <w:bCs/>
          <w:sz w:val="28"/>
          <w:szCs w:val="28"/>
        </w:rPr>
        <w:t>References</w:t>
      </w:r>
    </w:p>
    <w:p w14:paraId="548D6DB5" w14:textId="77777777" w:rsidR="00626A6E" w:rsidRPr="00626A6E" w:rsidRDefault="00626A6E" w:rsidP="00626A6E">
      <w:pPr>
        <w:pStyle w:val="EndNoteBibliographyTitle"/>
        <w:jc w:val="left"/>
      </w:pPr>
    </w:p>
    <w:p w14:paraId="2C49A36A" w14:textId="77777777" w:rsidR="00626A6E" w:rsidRPr="00626A6E" w:rsidRDefault="00626A6E" w:rsidP="00626A6E">
      <w:pPr>
        <w:pStyle w:val="EndNoteBibliography"/>
        <w:spacing w:after="0"/>
        <w:ind w:left="720" w:hanging="720"/>
        <w:jc w:val="left"/>
      </w:pPr>
      <w:r w:rsidRPr="00626A6E">
        <w:t>1.</w:t>
      </w:r>
      <w:r w:rsidRPr="00626A6E">
        <w:tab/>
        <w:t xml:space="preserve">Kermack WO, McKendrick AG. A contribution to the mathematical theory of epidemics. </w:t>
      </w:r>
      <w:r w:rsidRPr="00626A6E">
        <w:rPr>
          <w:i/>
        </w:rPr>
        <w:t xml:space="preserve">Proc R Soc Lond A </w:t>
      </w:r>
      <w:r w:rsidRPr="00626A6E">
        <w:t>1927;115:700–721.</w:t>
      </w:r>
    </w:p>
    <w:p w14:paraId="6B60EA08" w14:textId="77777777" w:rsidR="00626A6E" w:rsidRPr="00626A6E" w:rsidRDefault="00626A6E" w:rsidP="00626A6E">
      <w:pPr>
        <w:pStyle w:val="EndNoteBibliography"/>
        <w:spacing w:after="0"/>
        <w:ind w:left="720" w:hanging="720"/>
        <w:jc w:val="left"/>
      </w:pPr>
      <w:r w:rsidRPr="00626A6E">
        <w:t>2.</w:t>
      </w:r>
      <w:r w:rsidRPr="00626A6E">
        <w:tab/>
        <w:t xml:space="preserve">Thomas DM WM, Fuemmeler BF, et al. Dynamic model predicting overweight, obesity and extreme obesity prevalence trends. </w:t>
      </w:r>
      <w:r w:rsidRPr="00626A6E">
        <w:rPr>
          <w:i/>
        </w:rPr>
        <w:t xml:space="preserve">Obesity (Silver Spring). </w:t>
      </w:r>
      <w:r w:rsidRPr="00626A6E">
        <w:t>2014:590-597.</w:t>
      </w:r>
    </w:p>
    <w:p w14:paraId="793B6C3B" w14:textId="77777777" w:rsidR="00626A6E" w:rsidRPr="00626A6E" w:rsidRDefault="00626A6E" w:rsidP="00626A6E">
      <w:pPr>
        <w:pStyle w:val="EndNoteBibliography"/>
        <w:ind w:left="720" w:hanging="720"/>
        <w:jc w:val="left"/>
      </w:pPr>
      <w:r w:rsidRPr="00626A6E">
        <w:t>3.</w:t>
      </w:r>
      <w:r w:rsidRPr="00626A6E">
        <w:tab/>
        <w:t xml:space="preserve">Driessche Pvd. Reproduction numbers of infectious disease models. </w:t>
      </w:r>
      <w:r w:rsidRPr="00626A6E">
        <w:rPr>
          <w:i/>
        </w:rPr>
        <w:t xml:space="preserve">Infectious disease modeling. </w:t>
      </w:r>
      <w:r w:rsidRPr="00626A6E">
        <w:t>2017:288-303.</w:t>
      </w:r>
    </w:p>
    <w:p w14:paraId="29E0121E" w14:textId="55F47E75" w:rsidR="0031708E" w:rsidRDefault="003854C0" w:rsidP="00626A6E">
      <w:pPr>
        <w:spacing w:after="0"/>
      </w:pPr>
      <w:r>
        <w:fldChar w:fldCharType="end"/>
      </w:r>
    </w:p>
    <w:sectPr w:rsidR="003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7B82" w14:textId="77777777" w:rsidR="00C918EF" w:rsidRDefault="00C918EF">
      <w:pPr>
        <w:spacing w:after="0" w:line="240" w:lineRule="auto"/>
      </w:pPr>
      <w:r>
        <w:separator/>
      </w:r>
    </w:p>
  </w:endnote>
  <w:endnote w:type="continuationSeparator" w:id="0">
    <w:p w14:paraId="74DFD1D8" w14:textId="77777777" w:rsidR="00C918EF" w:rsidRDefault="00C9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43CD" w14:textId="77777777" w:rsidR="00C918EF" w:rsidRDefault="00C918EF">
      <w:pPr>
        <w:spacing w:after="0" w:line="240" w:lineRule="auto"/>
      </w:pPr>
      <w:r>
        <w:separator/>
      </w:r>
    </w:p>
  </w:footnote>
  <w:footnote w:type="continuationSeparator" w:id="0">
    <w:p w14:paraId="481C3BB2" w14:textId="77777777" w:rsidR="00C918EF" w:rsidRDefault="00C9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5D4"/>
    <w:multiLevelType w:val="hybridMultilevel"/>
    <w:tmpl w:val="A99422E0"/>
    <w:lvl w:ilvl="0" w:tplc="6B7AC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D6A92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8CB"/>
    <w:multiLevelType w:val="hybridMultilevel"/>
    <w:tmpl w:val="E738D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3F1"/>
    <w:multiLevelType w:val="hybridMultilevel"/>
    <w:tmpl w:val="84A67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937B02"/>
    <w:multiLevelType w:val="hybridMultilevel"/>
    <w:tmpl w:val="FB08E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5E7"/>
    <w:multiLevelType w:val="hybridMultilevel"/>
    <w:tmpl w:val="2594F560"/>
    <w:lvl w:ilvl="0" w:tplc="46E6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81E"/>
    <w:multiLevelType w:val="hybridMultilevel"/>
    <w:tmpl w:val="AC0E3ED2"/>
    <w:lvl w:ilvl="0" w:tplc="2E7A4F0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2EB52A9"/>
    <w:multiLevelType w:val="hybridMultilevel"/>
    <w:tmpl w:val="88C427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869BC"/>
    <w:multiLevelType w:val="hybridMultilevel"/>
    <w:tmpl w:val="641C0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01D4"/>
    <w:multiLevelType w:val="hybridMultilevel"/>
    <w:tmpl w:val="B600C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2155"/>
    <w:multiLevelType w:val="hybridMultilevel"/>
    <w:tmpl w:val="D93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23C1"/>
    <w:multiLevelType w:val="hybridMultilevel"/>
    <w:tmpl w:val="6FBE4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D1C"/>
    <w:multiLevelType w:val="hybridMultilevel"/>
    <w:tmpl w:val="CCE0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5EE"/>
    <w:multiLevelType w:val="hybridMultilevel"/>
    <w:tmpl w:val="636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7582"/>
    <w:multiLevelType w:val="hybridMultilevel"/>
    <w:tmpl w:val="44CCD7DC"/>
    <w:lvl w:ilvl="0" w:tplc="835A766A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A5FD7"/>
    <w:multiLevelType w:val="hybridMultilevel"/>
    <w:tmpl w:val="B9DE2860"/>
    <w:lvl w:ilvl="0" w:tplc="B9AEC80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171"/>
    <w:multiLevelType w:val="multilevel"/>
    <w:tmpl w:val="F30EFB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CB50192"/>
    <w:multiLevelType w:val="hybridMultilevel"/>
    <w:tmpl w:val="58A2C6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305F"/>
    <w:multiLevelType w:val="hybridMultilevel"/>
    <w:tmpl w:val="84B6C36C"/>
    <w:lvl w:ilvl="0" w:tplc="1A300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0392C"/>
    <w:multiLevelType w:val="hybridMultilevel"/>
    <w:tmpl w:val="7DE8C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F1207"/>
    <w:multiLevelType w:val="hybridMultilevel"/>
    <w:tmpl w:val="A8544D14"/>
    <w:lvl w:ilvl="0" w:tplc="5A3AB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B3503"/>
    <w:multiLevelType w:val="hybridMultilevel"/>
    <w:tmpl w:val="386272A6"/>
    <w:lvl w:ilvl="0" w:tplc="04090015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644877D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5C62A85"/>
    <w:multiLevelType w:val="hybridMultilevel"/>
    <w:tmpl w:val="79843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7B30"/>
    <w:multiLevelType w:val="hybridMultilevel"/>
    <w:tmpl w:val="1E807F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F46D2"/>
    <w:multiLevelType w:val="hybridMultilevel"/>
    <w:tmpl w:val="758E2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5D8A"/>
    <w:multiLevelType w:val="hybridMultilevel"/>
    <w:tmpl w:val="F35ED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0309">
    <w:abstractNumId w:val="17"/>
  </w:num>
  <w:num w:numId="2" w16cid:durableId="1038702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2894359">
    <w:abstractNumId w:val="13"/>
  </w:num>
  <w:num w:numId="4" w16cid:durableId="1495679428">
    <w:abstractNumId w:val="9"/>
  </w:num>
  <w:num w:numId="5" w16cid:durableId="1118450372">
    <w:abstractNumId w:val="11"/>
  </w:num>
  <w:num w:numId="6" w16cid:durableId="1523859573">
    <w:abstractNumId w:val="21"/>
  </w:num>
  <w:num w:numId="7" w16cid:durableId="2019573641">
    <w:abstractNumId w:val="15"/>
  </w:num>
  <w:num w:numId="8" w16cid:durableId="39281492">
    <w:abstractNumId w:val="4"/>
  </w:num>
  <w:num w:numId="9" w16cid:durableId="1970284633">
    <w:abstractNumId w:val="12"/>
  </w:num>
  <w:num w:numId="10" w16cid:durableId="2041392788">
    <w:abstractNumId w:val="2"/>
  </w:num>
  <w:num w:numId="11" w16cid:durableId="1585451162">
    <w:abstractNumId w:val="14"/>
  </w:num>
  <w:num w:numId="12" w16cid:durableId="1737513376">
    <w:abstractNumId w:val="0"/>
  </w:num>
  <w:num w:numId="13" w16cid:durableId="919872342">
    <w:abstractNumId w:val="20"/>
  </w:num>
  <w:num w:numId="14" w16cid:durableId="753360763">
    <w:abstractNumId w:val="23"/>
  </w:num>
  <w:num w:numId="15" w16cid:durableId="103157666">
    <w:abstractNumId w:val="6"/>
  </w:num>
  <w:num w:numId="16" w16cid:durableId="959461257">
    <w:abstractNumId w:val="5"/>
  </w:num>
  <w:num w:numId="17" w16cid:durableId="435684170">
    <w:abstractNumId w:val="22"/>
  </w:num>
  <w:num w:numId="18" w16cid:durableId="239828436">
    <w:abstractNumId w:val="1"/>
  </w:num>
  <w:num w:numId="19" w16cid:durableId="1647667551">
    <w:abstractNumId w:val="16"/>
  </w:num>
  <w:num w:numId="20" w16cid:durableId="1809203701">
    <w:abstractNumId w:val="24"/>
  </w:num>
  <w:num w:numId="21" w16cid:durableId="316690234">
    <w:abstractNumId w:val="19"/>
  </w:num>
  <w:num w:numId="22" w16cid:durableId="1332677096">
    <w:abstractNumId w:val="8"/>
  </w:num>
  <w:num w:numId="23" w16cid:durableId="1870529932">
    <w:abstractNumId w:val="3"/>
  </w:num>
  <w:num w:numId="24" w16cid:durableId="1520194409">
    <w:abstractNumId w:val="7"/>
  </w:num>
  <w:num w:numId="25" w16cid:durableId="1944192267">
    <w:abstractNumId w:val="25"/>
  </w:num>
  <w:num w:numId="26" w16cid:durableId="1322193532">
    <w:abstractNumId w:val="18"/>
  </w:num>
  <w:num w:numId="27" w16cid:durableId="439840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ublic Health&lt;/Style&gt;&lt;LeftDelim&gt;{&lt;/LeftDelim&gt;&lt;RightDelim&gt;}&lt;/RightDelim&gt;&lt;FontName&gt;Times New Roman&lt;/FontName&gt;&lt;FontSize&gt;11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22ddreosf0f4ede085fap1259t92a95w5d&quot;&gt;My EndNote Library&lt;record-ids&gt;&lt;item&gt;16&lt;/item&gt;&lt;/record-ids&gt;&lt;/item&gt;&lt;/Libraries&gt;"/>
  </w:docVars>
  <w:rsids>
    <w:rsidRoot w:val="00EB5371"/>
    <w:rsid w:val="00000B54"/>
    <w:rsid w:val="00016A8F"/>
    <w:rsid w:val="00026C3C"/>
    <w:rsid w:val="000657DA"/>
    <w:rsid w:val="00070DC3"/>
    <w:rsid w:val="00073868"/>
    <w:rsid w:val="000849C1"/>
    <w:rsid w:val="00092331"/>
    <w:rsid w:val="000A1CC6"/>
    <w:rsid w:val="000C32C6"/>
    <w:rsid w:val="000D5288"/>
    <w:rsid w:val="000D615F"/>
    <w:rsid w:val="000D6399"/>
    <w:rsid w:val="000F00D0"/>
    <w:rsid w:val="000F429B"/>
    <w:rsid w:val="000F5341"/>
    <w:rsid w:val="00101B70"/>
    <w:rsid w:val="00101C7C"/>
    <w:rsid w:val="001641CF"/>
    <w:rsid w:val="00164FBA"/>
    <w:rsid w:val="0018024B"/>
    <w:rsid w:val="00182917"/>
    <w:rsid w:val="00182CC1"/>
    <w:rsid w:val="00197B6E"/>
    <w:rsid w:val="001A18EB"/>
    <w:rsid w:val="001A5135"/>
    <w:rsid w:val="001B0322"/>
    <w:rsid w:val="001D1A71"/>
    <w:rsid w:val="001E599B"/>
    <w:rsid w:val="001F6FAF"/>
    <w:rsid w:val="00201D35"/>
    <w:rsid w:val="00205B14"/>
    <w:rsid w:val="0021477B"/>
    <w:rsid w:val="00227158"/>
    <w:rsid w:val="00263517"/>
    <w:rsid w:val="0026536B"/>
    <w:rsid w:val="002658D4"/>
    <w:rsid w:val="00282128"/>
    <w:rsid w:val="00285BAD"/>
    <w:rsid w:val="00295EA7"/>
    <w:rsid w:val="002A05DD"/>
    <w:rsid w:val="002B45B8"/>
    <w:rsid w:val="002E06AE"/>
    <w:rsid w:val="003131DC"/>
    <w:rsid w:val="0031708E"/>
    <w:rsid w:val="00321861"/>
    <w:rsid w:val="0032389D"/>
    <w:rsid w:val="00333F5C"/>
    <w:rsid w:val="00336FB8"/>
    <w:rsid w:val="0033745C"/>
    <w:rsid w:val="00340F61"/>
    <w:rsid w:val="00343661"/>
    <w:rsid w:val="00346266"/>
    <w:rsid w:val="00364DB4"/>
    <w:rsid w:val="003844AD"/>
    <w:rsid w:val="003854C0"/>
    <w:rsid w:val="00385561"/>
    <w:rsid w:val="00392528"/>
    <w:rsid w:val="00392CB1"/>
    <w:rsid w:val="003B492A"/>
    <w:rsid w:val="003B5125"/>
    <w:rsid w:val="003C25B6"/>
    <w:rsid w:val="003E1670"/>
    <w:rsid w:val="003F06ED"/>
    <w:rsid w:val="003F214C"/>
    <w:rsid w:val="003F4A3C"/>
    <w:rsid w:val="0040711B"/>
    <w:rsid w:val="00417A60"/>
    <w:rsid w:val="00435BB7"/>
    <w:rsid w:val="00435E87"/>
    <w:rsid w:val="00437393"/>
    <w:rsid w:val="004462D9"/>
    <w:rsid w:val="004536DE"/>
    <w:rsid w:val="00460E61"/>
    <w:rsid w:val="004625E5"/>
    <w:rsid w:val="00464925"/>
    <w:rsid w:val="00467DD3"/>
    <w:rsid w:val="004870DE"/>
    <w:rsid w:val="00495273"/>
    <w:rsid w:val="004A1071"/>
    <w:rsid w:val="004A3D93"/>
    <w:rsid w:val="004A744A"/>
    <w:rsid w:val="004D294E"/>
    <w:rsid w:val="005113C6"/>
    <w:rsid w:val="00512AD6"/>
    <w:rsid w:val="00515067"/>
    <w:rsid w:val="00527276"/>
    <w:rsid w:val="0053335B"/>
    <w:rsid w:val="00544417"/>
    <w:rsid w:val="00554141"/>
    <w:rsid w:val="00557F40"/>
    <w:rsid w:val="00562BBA"/>
    <w:rsid w:val="00563131"/>
    <w:rsid w:val="00571239"/>
    <w:rsid w:val="005724CF"/>
    <w:rsid w:val="00574A97"/>
    <w:rsid w:val="00584322"/>
    <w:rsid w:val="005B05F4"/>
    <w:rsid w:val="005B36E5"/>
    <w:rsid w:val="005B7F44"/>
    <w:rsid w:val="005C0988"/>
    <w:rsid w:val="005C7E0C"/>
    <w:rsid w:val="005E7CA8"/>
    <w:rsid w:val="0061280E"/>
    <w:rsid w:val="00617CE6"/>
    <w:rsid w:val="00626A6E"/>
    <w:rsid w:val="00627F5F"/>
    <w:rsid w:val="00631572"/>
    <w:rsid w:val="006317F1"/>
    <w:rsid w:val="0063382B"/>
    <w:rsid w:val="00637AE9"/>
    <w:rsid w:val="00654AD3"/>
    <w:rsid w:val="006629F7"/>
    <w:rsid w:val="00665860"/>
    <w:rsid w:val="00674136"/>
    <w:rsid w:val="00685971"/>
    <w:rsid w:val="006B0DFE"/>
    <w:rsid w:val="006B4790"/>
    <w:rsid w:val="006D1E23"/>
    <w:rsid w:val="006E2609"/>
    <w:rsid w:val="006E4239"/>
    <w:rsid w:val="006E43A7"/>
    <w:rsid w:val="006F08B5"/>
    <w:rsid w:val="006F3A9F"/>
    <w:rsid w:val="00711D69"/>
    <w:rsid w:val="007475F2"/>
    <w:rsid w:val="007540BF"/>
    <w:rsid w:val="0077636B"/>
    <w:rsid w:val="007803E0"/>
    <w:rsid w:val="007942F1"/>
    <w:rsid w:val="00795F30"/>
    <w:rsid w:val="00797C1D"/>
    <w:rsid w:val="007B6DB5"/>
    <w:rsid w:val="007C3CED"/>
    <w:rsid w:val="007C4046"/>
    <w:rsid w:val="007D599B"/>
    <w:rsid w:val="007E7E58"/>
    <w:rsid w:val="007F3CBC"/>
    <w:rsid w:val="0080036A"/>
    <w:rsid w:val="00810231"/>
    <w:rsid w:val="0081381D"/>
    <w:rsid w:val="00831AAB"/>
    <w:rsid w:val="00836BF5"/>
    <w:rsid w:val="00850137"/>
    <w:rsid w:val="0085112F"/>
    <w:rsid w:val="008550D4"/>
    <w:rsid w:val="008744D8"/>
    <w:rsid w:val="008766D0"/>
    <w:rsid w:val="008869DD"/>
    <w:rsid w:val="00896057"/>
    <w:rsid w:val="008A3A59"/>
    <w:rsid w:val="008B66FC"/>
    <w:rsid w:val="008C1E54"/>
    <w:rsid w:val="008C25C7"/>
    <w:rsid w:val="008C5291"/>
    <w:rsid w:val="008E0519"/>
    <w:rsid w:val="008E689D"/>
    <w:rsid w:val="008F12AC"/>
    <w:rsid w:val="008F36FC"/>
    <w:rsid w:val="00903706"/>
    <w:rsid w:val="00920A50"/>
    <w:rsid w:val="00923AB9"/>
    <w:rsid w:val="00927C4D"/>
    <w:rsid w:val="00943008"/>
    <w:rsid w:val="00967FAD"/>
    <w:rsid w:val="00970C5F"/>
    <w:rsid w:val="00992B4F"/>
    <w:rsid w:val="009A3895"/>
    <w:rsid w:val="009B122C"/>
    <w:rsid w:val="009B1562"/>
    <w:rsid w:val="009B2F46"/>
    <w:rsid w:val="009C2A35"/>
    <w:rsid w:val="009E18B5"/>
    <w:rsid w:val="009E5313"/>
    <w:rsid w:val="009F39DC"/>
    <w:rsid w:val="00A054B6"/>
    <w:rsid w:val="00A127CA"/>
    <w:rsid w:val="00A14105"/>
    <w:rsid w:val="00A414B6"/>
    <w:rsid w:val="00A6090A"/>
    <w:rsid w:val="00A70101"/>
    <w:rsid w:val="00A9430C"/>
    <w:rsid w:val="00AA15A9"/>
    <w:rsid w:val="00AA421F"/>
    <w:rsid w:val="00AB6E45"/>
    <w:rsid w:val="00AC6245"/>
    <w:rsid w:val="00AD223C"/>
    <w:rsid w:val="00AE62B3"/>
    <w:rsid w:val="00AF7B50"/>
    <w:rsid w:val="00B14C3C"/>
    <w:rsid w:val="00B15E4D"/>
    <w:rsid w:val="00B37247"/>
    <w:rsid w:val="00B46B96"/>
    <w:rsid w:val="00B52ABD"/>
    <w:rsid w:val="00B7569A"/>
    <w:rsid w:val="00B83A65"/>
    <w:rsid w:val="00B97253"/>
    <w:rsid w:val="00B97EB5"/>
    <w:rsid w:val="00BA121A"/>
    <w:rsid w:val="00BA1834"/>
    <w:rsid w:val="00BC11D6"/>
    <w:rsid w:val="00BC5529"/>
    <w:rsid w:val="00BD12C8"/>
    <w:rsid w:val="00BD1C98"/>
    <w:rsid w:val="00BE1272"/>
    <w:rsid w:val="00BE3DA7"/>
    <w:rsid w:val="00BF25F6"/>
    <w:rsid w:val="00C052E1"/>
    <w:rsid w:val="00C14131"/>
    <w:rsid w:val="00C220FA"/>
    <w:rsid w:val="00C23A1B"/>
    <w:rsid w:val="00C331DA"/>
    <w:rsid w:val="00C52C3D"/>
    <w:rsid w:val="00C610F1"/>
    <w:rsid w:val="00C66F02"/>
    <w:rsid w:val="00C85B47"/>
    <w:rsid w:val="00C86A24"/>
    <w:rsid w:val="00C918EF"/>
    <w:rsid w:val="00C92177"/>
    <w:rsid w:val="00C930A3"/>
    <w:rsid w:val="00C94FD6"/>
    <w:rsid w:val="00C974E0"/>
    <w:rsid w:val="00CB5A16"/>
    <w:rsid w:val="00CC550A"/>
    <w:rsid w:val="00CD225C"/>
    <w:rsid w:val="00CD3CA0"/>
    <w:rsid w:val="00CE1761"/>
    <w:rsid w:val="00CE49BC"/>
    <w:rsid w:val="00CF5DBA"/>
    <w:rsid w:val="00CF69C2"/>
    <w:rsid w:val="00D1140D"/>
    <w:rsid w:val="00D12133"/>
    <w:rsid w:val="00D30D86"/>
    <w:rsid w:val="00D33026"/>
    <w:rsid w:val="00D60346"/>
    <w:rsid w:val="00D607A3"/>
    <w:rsid w:val="00D63850"/>
    <w:rsid w:val="00D73206"/>
    <w:rsid w:val="00D7366B"/>
    <w:rsid w:val="00D77914"/>
    <w:rsid w:val="00D77D45"/>
    <w:rsid w:val="00D84A02"/>
    <w:rsid w:val="00D95BE8"/>
    <w:rsid w:val="00DA09A4"/>
    <w:rsid w:val="00DB486D"/>
    <w:rsid w:val="00DB79EB"/>
    <w:rsid w:val="00DC3162"/>
    <w:rsid w:val="00DE4ED6"/>
    <w:rsid w:val="00DF30F4"/>
    <w:rsid w:val="00E01861"/>
    <w:rsid w:val="00E30D0E"/>
    <w:rsid w:val="00E35025"/>
    <w:rsid w:val="00E37FF8"/>
    <w:rsid w:val="00E55C7E"/>
    <w:rsid w:val="00E6278A"/>
    <w:rsid w:val="00E71017"/>
    <w:rsid w:val="00E75501"/>
    <w:rsid w:val="00E868F8"/>
    <w:rsid w:val="00E876C4"/>
    <w:rsid w:val="00E91711"/>
    <w:rsid w:val="00EB2819"/>
    <w:rsid w:val="00EB5371"/>
    <w:rsid w:val="00EC7E93"/>
    <w:rsid w:val="00EE60A4"/>
    <w:rsid w:val="00EF271F"/>
    <w:rsid w:val="00EF5F26"/>
    <w:rsid w:val="00EF707D"/>
    <w:rsid w:val="00F0000F"/>
    <w:rsid w:val="00F02747"/>
    <w:rsid w:val="00F11708"/>
    <w:rsid w:val="00F16C42"/>
    <w:rsid w:val="00F17275"/>
    <w:rsid w:val="00F25062"/>
    <w:rsid w:val="00F26720"/>
    <w:rsid w:val="00F304EF"/>
    <w:rsid w:val="00F3078F"/>
    <w:rsid w:val="00F37501"/>
    <w:rsid w:val="00F43683"/>
    <w:rsid w:val="00F436D3"/>
    <w:rsid w:val="00F440A9"/>
    <w:rsid w:val="00F454E1"/>
    <w:rsid w:val="00F50097"/>
    <w:rsid w:val="00F807CC"/>
    <w:rsid w:val="00F85737"/>
    <w:rsid w:val="00F93EE1"/>
    <w:rsid w:val="00FA360B"/>
    <w:rsid w:val="00FB4405"/>
    <w:rsid w:val="00FC291B"/>
    <w:rsid w:val="00FD3F86"/>
    <w:rsid w:val="00FD7204"/>
    <w:rsid w:val="00FF2A44"/>
    <w:rsid w:val="00FF64B7"/>
    <w:rsid w:val="23B5B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255E9"/>
  <w15:chartTrackingRefBased/>
  <w15:docId w15:val="{1BCB09EE-DD76-40EE-BF1B-C5399B8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C2"/>
  </w:style>
  <w:style w:type="paragraph" w:styleId="Heading1">
    <w:name w:val="heading 1"/>
    <w:basedOn w:val="Normal"/>
    <w:next w:val="Normal"/>
    <w:link w:val="Heading1Char"/>
    <w:uiPriority w:val="9"/>
    <w:qFormat/>
    <w:rsid w:val="000F5341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341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341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341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341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341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341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341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341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3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3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3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3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3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3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3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D77D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6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48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C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854C0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54C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854C0"/>
    <w:pPr>
      <w:spacing w:line="480" w:lineRule="auto"/>
      <w:jc w:val="center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854C0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Tho14</b:Tag>
    <b:SourceType>JournalArticle</b:SourceType>
    <b:Guid>{1A564DBE-FCEF-4424-BED7-DE59FCB25470}</b:Guid>
    <b:Author>
      <b:Author>
        <b:NameList>
          <b:Person>
            <b:Last>Thomas DM</b:Last>
            <b:First>Weedermann</b:First>
            <b:Middle>M, Fuemmeler BF, et al.</b:Middle>
          </b:Person>
        </b:NameList>
      </b:Author>
    </b:Author>
    <b:Title>Dynamic model predicting overweight, obesity and extreme obesity prevalence trends.</b:Title>
    <b:JournalName>Obesity (Silver Spring)</b:JournalName>
    <b:Year>2014</b:Year>
    <b:Pages>590-597</b:Pages>
    <b:RefOrder>1</b:RefOrder>
  </b:Source>
  <b:Source>
    <b:Tag>van17</b:Tag>
    <b:SourceType>JournalArticle</b:SourceType>
    <b:Guid>{0BB69302-950A-47B0-8C38-35ED6A6FE98D}</b:Guid>
    <b:Author>
      <b:Author>
        <b:NameList>
          <b:Person>
            <b:Last>Driessche</b:Last>
            <b:First>P.</b:First>
            <b:Middle>van den</b:Middle>
          </b:Person>
        </b:NameList>
      </b:Author>
    </b:Author>
    <b:Title>Reproduction numbers of infectious disease models.</b:Title>
    <b:JournalName>Infectious disease modeling</b:JournalName>
    <b:Year>2017</b:Year>
    <b:Pages>288-303</b:Pages>
    <b:RefOrder>2</b:RefOrder>
  </b:Source>
</b:Sources>
</file>

<file path=customXml/itemProps1.xml><?xml version="1.0" encoding="utf-8"?>
<ds:datastoreItem xmlns:ds="http://schemas.openxmlformats.org/officeDocument/2006/customXml" ds:itemID="{03575428-A5EE-47EB-8694-213E7D53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Mema, Ensela CIV</dc:creator>
  <cp:keywords/>
  <dc:description/>
  <cp:lastModifiedBy>chn off31</cp:lastModifiedBy>
  <cp:revision>4</cp:revision>
  <dcterms:created xsi:type="dcterms:W3CDTF">2022-06-03T17:17:00Z</dcterms:created>
  <dcterms:modified xsi:type="dcterms:W3CDTF">2022-09-28T07:14:00Z</dcterms:modified>
</cp:coreProperties>
</file>