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51" w:rsidRPr="00097288" w:rsidRDefault="00AB1551" w:rsidP="00992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18"/>
        </w:rPr>
        <w:t>A</w:t>
      </w:r>
      <w:r>
        <w:rPr>
          <w:rFonts w:ascii="Times New Roman" w:hAnsi="Times New Roman"/>
          <w:sz w:val="24"/>
        </w:rPr>
        <w:t xml:space="preserve">dditional File </w:t>
      </w:r>
      <w:r w:rsidR="00FE63F9">
        <w:rPr>
          <w:rFonts w:ascii="Times New Roman" w:hAnsi="Times New Roman"/>
          <w:sz w:val="24"/>
        </w:rPr>
        <w:t>Tabl</w:t>
      </w:r>
      <w:r w:rsidR="000C457A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S1. </w:t>
      </w:r>
      <w:r>
        <w:rPr>
          <w:rFonts w:ascii="Times New Roman" w:hAnsi="Times New Roman" w:cs="Times New Roman"/>
          <w:sz w:val="24"/>
          <w:szCs w:val="24"/>
        </w:rPr>
        <w:t xml:space="preserve">Univariate </w:t>
      </w:r>
      <w:r w:rsidRPr="00097288">
        <w:rPr>
          <w:rFonts w:ascii="Times New Roman" w:hAnsi="Times New Roman" w:cs="Times New Roman"/>
          <w:sz w:val="24"/>
          <w:szCs w:val="24"/>
        </w:rPr>
        <w:t xml:space="preserve">logistic regression for association between maternal exposure to different forms of IPV and use of maternal healthcare services for </w:t>
      </w:r>
      <w:r>
        <w:rPr>
          <w:rFonts w:ascii="Times New Roman" w:hAnsi="Times New Roman" w:cs="Times New Roman"/>
          <w:sz w:val="24"/>
          <w:szCs w:val="24"/>
        </w:rPr>
        <w:t xml:space="preserve">2863 (weighted) </w:t>
      </w:r>
      <w:r w:rsidRPr="00097288">
        <w:rPr>
          <w:rFonts w:ascii="Times New Roman" w:hAnsi="Times New Roman" w:cs="Times New Roman"/>
          <w:sz w:val="24"/>
          <w:szCs w:val="24"/>
        </w:rPr>
        <w:t xml:space="preserve">currently married </w:t>
      </w:r>
      <w:r>
        <w:rPr>
          <w:rFonts w:ascii="Times New Roman" w:hAnsi="Times New Roman" w:cs="Times New Roman"/>
          <w:sz w:val="24"/>
          <w:szCs w:val="24"/>
        </w:rPr>
        <w:t xml:space="preserve">Ethiopian </w:t>
      </w:r>
      <w:r w:rsidRPr="00097288">
        <w:rPr>
          <w:rFonts w:ascii="Times New Roman" w:hAnsi="Times New Roman" w:cs="Times New Roman"/>
          <w:sz w:val="24"/>
          <w:szCs w:val="24"/>
        </w:rPr>
        <w:t>wom</w:t>
      </w:r>
      <w:r>
        <w:rPr>
          <w:rFonts w:ascii="Times New Roman" w:hAnsi="Times New Roman" w:cs="Times New Roman"/>
          <w:sz w:val="24"/>
          <w:szCs w:val="24"/>
        </w:rPr>
        <w:t xml:space="preserve">en using the 2016 Ethiopian Demographic Health Survey. </w:t>
      </w:r>
    </w:p>
    <w:tbl>
      <w:tblPr>
        <w:tblStyle w:val="TableGrid"/>
        <w:tblW w:w="45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3467"/>
        <w:gridCol w:w="3508"/>
      </w:tblGrid>
      <w:tr w:rsidR="00D02942" w:rsidRPr="00CD2640" w:rsidTr="003C3083">
        <w:trPr>
          <w:trHeight w:hRule="exact" w:val="399"/>
        </w:trPr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D02942" w:rsidRDefault="00D02942" w:rsidP="006000FB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D02942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EDHS Years</w:t>
            </w:r>
          </w:p>
        </w:tc>
        <w:tc>
          <w:tcPr>
            <w:tcW w:w="1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A71AD7" w:rsidRDefault="00D02942" w:rsidP="006000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D2640"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  <w:t>2016</w:t>
            </w:r>
          </w:p>
        </w:tc>
        <w:tc>
          <w:tcPr>
            <w:tcW w:w="146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21606D" w:rsidRDefault="00D02942" w:rsidP="006000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URWPalladioL-Bold"/>
                <w:b/>
                <w:bCs/>
                <w:sz w:val="24"/>
                <w:szCs w:val="24"/>
              </w:rPr>
            </w:pPr>
          </w:p>
        </w:tc>
      </w:tr>
      <w:tr w:rsidR="00D02942" w:rsidRPr="00CD2640" w:rsidTr="003C3083">
        <w:trPr>
          <w:trHeight w:hRule="exact" w:val="434"/>
        </w:trPr>
        <w:tc>
          <w:tcPr>
            <w:tcW w:w="208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D02942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Maternal health outcomes</w:t>
            </w:r>
          </w:p>
        </w:tc>
        <w:tc>
          <w:tcPr>
            <w:tcW w:w="144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F2024C" w:rsidRDefault="00D02942" w:rsidP="006000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Avenir-Black"/>
                <w:b/>
                <w:sz w:val="24"/>
                <w:szCs w:val="16"/>
              </w:rPr>
            </w:pPr>
            <w:r w:rsidRPr="00A71AD7">
              <w:rPr>
                <w:rFonts w:ascii="Palatino Linotype" w:hAnsi="Palatino Linotype"/>
                <w:b/>
                <w:bCs/>
                <w:sz w:val="24"/>
                <w:szCs w:val="24"/>
              </w:rPr>
              <w:t>Adequate ANC Visits</w:t>
            </w:r>
          </w:p>
        </w:tc>
        <w:tc>
          <w:tcPr>
            <w:tcW w:w="1466" w:type="pct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F2024C" w:rsidRDefault="00D02942" w:rsidP="006000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Avenir-Black"/>
                <w:b/>
                <w:sz w:val="24"/>
                <w:szCs w:val="24"/>
              </w:rPr>
            </w:pPr>
            <w:r w:rsidRPr="0021606D">
              <w:rPr>
                <w:rFonts w:ascii="Palatino Linotype" w:hAnsi="Palatino Linotype" w:cs="URWPalladioL-Bold"/>
                <w:b/>
                <w:bCs/>
                <w:sz w:val="24"/>
                <w:szCs w:val="24"/>
              </w:rPr>
              <w:t>Inst</w:t>
            </w:r>
            <w:r>
              <w:rPr>
                <w:rFonts w:ascii="Palatino Linotype" w:hAnsi="Palatino Linotype" w:cs="URWPalladioL-Bold"/>
                <w:b/>
                <w:bCs/>
                <w:sz w:val="24"/>
                <w:szCs w:val="24"/>
              </w:rPr>
              <w:t>itutional Delivery</w:t>
            </w:r>
          </w:p>
        </w:tc>
      </w:tr>
      <w:tr w:rsidR="00D02942" w:rsidRPr="00CD2640" w:rsidTr="003C3083">
        <w:trPr>
          <w:trHeight w:hRule="exact" w:val="409"/>
        </w:trPr>
        <w:tc>
          <w:tcPr>
            <w:tcW w:w="208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6000FB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Models </w:t>
            </w:r>
          </w:p>
        </w:tc>
        <w:tc>
          <w:tcPr>
            <w:tcW w:w="144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F2024C" w:rsidRDefault="00D02942" w:rsidP="006000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  <w:r w:rsidRPr="00F2024C">
              <w:rPr>
                <w:rFonts w:ascii="Palatino Linotype" w:hAnsi="Palatino Linotype" w:cs="Avenir-Black"/>
                <w:b/>
                <w:sz w:val="24"/>
                <w:szCs w:val="16"/>
              </w:rPr>
              <w:t xml:space="preserve">Model I </w:t>
            </w:r>
          </w:p>
        </w:tc>
        <w:tc>
          <w:tcPr>
            <w:tcW w:w="1466" w:type="pct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F2024C" w:rsidRDefault="00D02942" w:rsidP="006000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b/>
                <w:color w:val="000000"/>
                <w:sz w:val="24"/>
                <w:szCs w:val="24"/>
                <w:lang w:val="en-US" w:eastAsia="de-DE"/>
              </w:rPr>
            </w:pPr>
            <w:r w:rsidRPr="00F2024C">
              <w:rPr>
                <w:rFonts w:ascii="Palatino Linotype" w:hAnsi="Palatino Linotype" w:cs="Avenir-Black"/>
                <w:b/>
                <w:sz w:val="24"/>
                <w:szCs w:val="24"/>
              </w:rPr>
              <w:t>Model II</w:t>
            </w: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942" w:rsidRPr="00001500" w:rsidRDefault="00D02942" w:rsidP="006000FB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  <w:r w:rsidRPr="00001500">
              <w:rPr>
                <w:rFonts w:ascii="Palatino Linotype" w:eastAsia="Times New Roman" w:hAnsi="Palatino Linotype"/>
                <w:b/>
                <w:color w:val="000000"/>
                <w:sz w:val="24"/>
                <w:lang w:val="en-US" w:eastAsia="de-DE"/>
              </w:rPr>
              <w:t>Characteristics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942" w:rsidRPr="00CD2640" w:rsidRDefault="00353A43" w:rsidP="006000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b/>
              </w:rPr>
              <w:t>C</w:t>
            </w:r>
            <w:r w:rsidR="00D02942" w:rsidRPr="00421F74">
              <w:rPr>
                <w:b/>
              </w:rPr>
              <w:t>OR (95 % CI)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353A43" w:rsidP="006000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b/>
              </w:rPr>
              <w:t>C</w:t>
            </w:r>
            <w:r w:rsidR="00D02942" w:rsidRPr="00421F74">
              <w:rPr>
                <w:b/>
              </w:rPr>
              <w:t>OR (95 % CI)</w:t>
            </w:r>
          </w:p>
        </w:tc>
      </w:tr>
      <w:tr w:rsidR="00D02942" w:rsidRPr="00CD2640" w:rsidTr="003C3083"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6000FB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b/>
                <w:color w:val="000000"/>
                <w:sz w:val="24"/>
                <w:lang w:val="en-US" w:eastAsia="de-DE"/>
              </w:rPr>
              <w:t>Individual level Factors</w:t>
            </w:r>
          </w:p>
        </w:tc>
        <w:tc>
          <w:tcPr>
            <w:tcW w:w="14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6000FB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6000FB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D02942" w:rsidRPr="00CD2640" w:rsidTr="003C3083">
        <w:trPr>
          <w:trHeight w:hRule="exact" w:val="320"/>
        </w:trPr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2942" w:rsidRPr="00572139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sz w:val="24"/>
                <w:lang w:val="en-US" w:eastAsia="de-DE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4"/>
                <w:lang w:val="en-US" w:eastAsia="de-DE"/>
              </w:rPr>
              <w:t>Violence related</w:t>
            </w:r>
          </w:p>
          <w:p w:rsidR="00D02942" w:rsidRPr="00572139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4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D02942" w:rsidRPr="00CD2640" w:rsidTr="003C3083">
        <w:trPr>
          <w:trHeight w:hRule="exact" w:val="273"/>
        </w:trPr>
        <w:tc>
          <w:tcPr>
            <w:tcW w:w="208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5F2EB5" w:rsidRDefault="00035E7C" w:rsidP="00330A8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Emotional IPV</w:t>
            </w:r>
          </w:p>
          <w:p w:rsidR="00D02942" w:rsidRPr="00572139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</w:p>
        </w:tc>
        <w:tc>
          <w:tcPr>
            <w:tcW w:w="144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B25624" w:rsidRPr="00CD2640" w:rsidTr="003C3083">
        <w:trPr>
          <w:trHeight w:hRule="exact" w:val="267"/>
        </w:trPr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5624" w:rsidRPr="00572139" w:rsidRDefault="00B25624" w:rsidP="00B25624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No (ref)</w:t>
            </w:r>
          </w:p>
          <w:p w:rsidR="00B25624" w:rsidRPr="00572139" w:rsidRDefault="00B25624" w:rsidP="00B25624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624" w:rsidRPr="00171E2F" w:rsidRDefault="00B25624" w:rsidP="00B256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eastAsia="de-DE"/>
              </w:rPr>
            </w:pPr>
            <w:r w:rsidRPr="00171E2F">
              <w:rPr>
                <w:rFonts w:ascii="Palatino Linotype" w:hAnsi="Palatino Linotype"/>
              </w:rPr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624" w:rsidRPr="00171E2F" w:rsidRDefault="00B25624" w:rsidP="00B256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eastAsia="de-DE"/>
              </w:rPr>
            </w:pPr>
            <w:r w:rsidRPr="00171E2F">
              <w:rPr>
                <w:rFonts w:ascii="Palatino Linotype" w:hAnsi="Palatino Linotype"/>
              </w:rPr>
              <w:t>1 (1,1)</w:t>
            </w:r>
          </w:p>
        </w:tc>
      </w:tr>
      <w:tr w:rsidR="00B25624" w:rsidRPr="00CD2640" w:rsidTr="003C3083">
        <w:trPr>
          <w:trHeight w:hRule="exact" w:val="285"/>
        </w:trPr>
        <w:tc>
          <w:tcPr>
            <w:tcW w:w="20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24" w:rsidRPr="00572139" w:rsidRDefault="00B25624" w:rsidP="00B25624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Yes</w:t>
            </w:r>
          </w:p>
          <w:p w:rsidR="00B25624" w:rsidRPr="00572139" w:rsidRDefault="00B25624" w:rsidP="00B25624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49" w:type="pct"/>
          </w:tcPr>
          <w:p w:rsidR="00B25624" w:rsidRPr="00171E2F" w:rsidRDefault="00710A54" w:rsidP="00B2562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0.67(0.52, 0.85</w:t>
            </w:r>
            <w:r w:rsidR="00B25624" w:rsidRPr="00171E2F">
              <w:rPr>
                <w:rFonts w:ascii="Palatino Linotype" w:hAnsi="Palatino Linotype"/>
                <w:b/>
              </w:rPr>
              <w:t>)**</w:t>
            </w:r>
            <w:r>
              <w:rPr>
                <w:b/>
              </w:rPr>
              <w:t>*</w:t>
            </w:r>
          </w:p>
        </w:tc>
        <w:tc>
          <w:tcPr>
            <w:tcW w:w="1466" w:type="pct"/>
            <w:tcBorders>
              <w:right w:val="single" w:sz="12" w:space="0" w:color="auto"/>
            </w:tcBorders>
          </w:tcPr>
          <w:p w:rsidR="00B25624" w:rsidRPr="00B25624" w:rsidRDefault="00A234AF" w:rsidP="00B2562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0.93 (0.71, 1.2</w:t>
            </w:r>
            <w:r w:rsidR="00B25624" w:rsidRPr="00B25624">
              <w:rPr>
                <w:rFonts w:ascii="Palatino Linotype" w:hAnsi="Palatino Linotype"/>
              </w:rPr>
              <w:t>0)</w:t>
            </w:r>
            <w:r w:rsidR="006D7098">
              <w:rPr>
                <w:rFonts w:ascii="Palatino Linotype" w:hAnsi="Palatino Linotype"/>
              </w:rPr>
              <w:t xml:space="preserve"> </w:t>
            </w:r>
          </w:p>
        </w:tc>
      </w:tr>
      <w:tr w:rsidR="00D02942" w:rsidRPr="00CD2640" w:rsidTr="003C3083">
        <w:trPr>
          <w:trHeight w:hRule="exact" w:val="288"/>
        </w:trPr>
        <w:tc>
          <w:tcPr>
            <w:tcW w:w="208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942" w:rsidRPr="005F2EB5" w:rsidRDefault="00035E7C" w:rsidP="006C7251">
            <w:pPr>
              <w:pStyle w:val="Default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Physical IPV</w:t>
            </w:r>
          </w:p>
          <w:p w:rsidR="00D02942" w:rsidRPr="00572139" w:rsidRDefault="00D02942" w:rsidP="006C7251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6C7251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6C7251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9F505F" w:rsidRPr="00CD2640" w:rsidTr="003C3083">
        <w:trPr>
          <w:trHeight w:hRule="exact" w:val="279"/>
        </w:trPr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505F" w:rsidRPr="00572139" w:rsidRDefault="009F505F" w:rsidP="009F505F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No (ref)</w:t>
            </w:r>
          </w:p>
          <w:p w:rsidR="009F505F" w:rsidRPr="00572139" w:rsidRDefault="009F505F" w:rsidP="009F505F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05F" w:rsidRPr="00171E2F" w:rsidRDefault="009F505F" w:rsidP="009F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eastAsia="de-DE"/>
              </w:rPr>
            </w:pPr>
            <w:r w:rsidRPr="00171E2F">
              <w:rPr>
                <w:rFonts w:ascii="Palatino Linotype" w:hAnsi="Palatino Linotype"/>
              </w:rPr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05F" w:rsidRPr="00171E2F" w:rsidRDefault="009F505F" w:rsidP="009F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eastAsia="de-DE"/>
              </w:rPr>
            </w:pPr>
            <w:r w:rsidRPr="00171E2F">
              <w:rPr>
                <w:rFonts w:ascii="Palatino Linotype" w:hAnsi="Palatino Linotype"/>
              </w:rPr>
              <w:t>1 (1,1)</w:t>
            </w:r>
          </w:p>
        </w:tc>
      </w:tr>
      <w:tr w:rsidR="009F505F" w:rsidRPr="00CD2640" w:rsidTr="003C3083">
        <w:trPr>
          <w:trHeight w:hRule="exact" w:val="296"/>
        </w:trPr>
        <w:tc>
          <w:tcPr>
            <w:tcW w:w="20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05F" w:rsidRPr="00572139" w:rsidRDefault="009F505F" w:rsidP="009F505F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Yes</w:t>
            </w:r>
          </w:p>
          <w:p w:rsidR="009F505F" w:rsidRPr="00572139" w:rsidRDefault="009F505F" w:rsidP="009F505F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49" w:type="pct"/>
          </w:tcPr>
          <w:p w:rsidR="009F505F" w:rsidRPr="00B25624" w:rsidRDefault="00C56FD7" w:rsidP="009F505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1.04 (0.82, 1.32</w:t>
            </w:r>
            <w:r w:rsidR="009F505F" w:rsidRPr="00B25624">
              <w:rPr>
                <w:rFonts w:ascii="Palatino Linotype" w:hAnsi="Palatino Linotype"/>
              </w:rPr>
              <w:t>)</w:t>
            </w:r>
            <w:r w:rsidR="009F505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466" w:type="pct"/>
            <w:tcBorders>
              <w:right w:val="single" w:sz="12" w:space="0" w:color="auto"/>
            </w:tcBorders>
          </w:tcPr>
          <w:p w:rsidR="009F505F" w:rsidRPr="00B25624" w:rsidRDefault="00C7057B" w:rsidP="009F505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0.86 (0.66, 1.12</w:t>
            </w:r>
            <w:r w:rsidR="009F505F" w:rsidRPr="00B25624">
              <w:rPr>
                <w:rFonts w:ascii="Palatino Linotype" w:hAnsi="Palatino Linotype"/>
              </w:rPr>
              <w:t>)</w:t>
            </w:r>
            <w:r w:rsidR="009F505F">
              <w:rPr>
                <w:rFonts w:ascii="Palatino Linotype" w:hAnsi="Palatino Linotype"/>
              </w:rPr>
              <w:t xml:space="preserve"> </w:t>
            </w:r>
          </w:p>
        </w:tc>
      </w:tr>
      <w:tr w:rsidR="00D02942" w:rsidRPr="00CD2640" w:rsidTr="003C3083">
        <w:trPr>
          <w:trHeight w:hRule="exact" w:val="273"/>
        </w:trPr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5F2EB5" w:rsidRDefault="00035E7C" w:rsidP="009B1547">
            <w:pPr>
              <w:pStyle w:val="Default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Sexual IPV</w:t>
            </w:r>
          </w:p>
          <w:p w:rsidR="00D02942" w:rsidRPr="00572139" w:rsidRDefault="00D02942" w:rsidP="009B1547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9B1547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9B1547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A32A20" w:rsidRPr="00CD2640" w:rsidTr="003C3083">
        <w:trPr>
          <w:trHeight w:hRule="exact" w:val="276"/>
        </w:trPr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2A20" w:rsidRPr="00572139" w:rsidRDefault="00A32A20" w:rsidP="00A32A20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No (ref)</w:t>
            </w:r>
          </w:p>
          <w:p w:rsidR="00A32A20" w:rsidRPr="00572139" w:rsidRDefault="00A32A20" w:rsidP="00A32A20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A20" w:rsidRPr="00171E2F" w:rsidRDefault="00A32A20" w:rsidP="00A32A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eastAsia="de-DE"/>
              </w:rPr>
            </w:pPr>
            <w:r w:rsidRPr="00171E2F">
              <w:rPr>
                <w:rFonts w:ascii="Palatino Linotype" w:hAnsi="Palatino Linotype"/>
              </w:rPr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A20" w:rsidRPr="00171E2F" w:rsidRDefault="00A32A20" w:rsidP="00A32A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eastAsia="de-DE"/>
              </w:rPr>
            </w:pPr>
            <w:r w:rsidRPr="00171E2F">
              <w:rPr>
                <w:rFonts w:ascii="Palatino Linotype" w:hAnsi="Palatino Linotype"/>
              </w:rPr>
              <w:t>1 (1,1)</w:t>
            </w:r>
          </w:p>
        </w:tc>
      </w:tr>
      <w:tr w:rsidR="00A32A20" w:rsidRPr="00CD2640" w:rsidTr="003C3083">
        <w:trPr>
          <w:trHeight w:hRule="exact" w:val="295"/>
        </w:trPr>
        <w:tc>
          <w:tcPr>
            <w:tcW w:w="20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A20" w:rsidRPr="00572139" w:rsidRDefault="00A32A20" w:rsidP="00A32A20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Yes</w:t>
            </w:r>
          </w:p>
          <w:p w:rsidR="00A32A20" w:rsidRPr="00572139" w:rsidRDefault="00A32A20" w:rsidP="00A32A20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49" w:type="pct"/>
          </w:tcPr>
          <w:p w:rsidR="00A32A20" w:rsidRPr="00B25624" w:rsidRDefault="00025FC7" w:rsidP="00A32A2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0.72 (0.50, 1.</w:t>
            </w:r>
            <w:r w:rsidR="00A32A20" w:rsidRPr="00B25624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</w:rPr>
              <w:t>3</w:t>
            </w:r>
            <w:r w:rsidR="00A32A20" w:rsidRPr="00B25624">
              <w:rPr>
                <w:rFonts w:ascii="Palatino Linotype" w:hAnsi="Palatino Linotype"/>
              </w:rPr>
              <w:t>)</w:t>
            </w:r>
            <w:r w:rsidR="00A32A20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466" w:type="pct"/>
            <w:tcBorders>
              <w:right w:val="single" w:sz="12" w:space="0" w:color="auto"/>
            </w:tcBorders>
          </w:tcPr>
          <w:p w:rsidR="00A32A20" w:rsidRPr="00B25624" w:rsidRDefault="00BE1885" w:rsidP="00A32A2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1.21 (0.82 1.77</w:t>
            </w:r>
            <w:r w:rsidR="00A32A20" w:rsidRPr="00B25624">
              <w:rPr>
                <w:rFonts w:ascii="Palatino Linotype" w:hAnsi="Palatino Linotype"/>
              </w:rPr>
              <w:t>)</w:t>
            </w:r>
            <w:r w:rsidR="00A32A20">
              <w:rPr>
                <w:rFonts w:ascii="Palatino Linotype" w:hAnsi="Palatino Linotype"/>
              </w:rPr>
              <w:t xml:space="preserve"> </w:t>
            </w:r>
          </w:p>
        </w:tc>
      </w:tr>
      <w:tr w:rsidR="00D530AB" w:rsidRPr="00CD2640" w:rsidTr="00143F48">
        <w:trPr>
          <w:trHeight w:hRule="exact" w:val="295"/>
        </w:trPr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0AB" w:rsidRPr="005F2EB5" w:rsidRDefault="00D530AB" w:rsidP="00D530AB">
            <w:pPr>
              <w:pStyle w:val="Default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Any form of IPV</w:t>
            </w:r>
          </w:p>
          <w:p w:rsidR="00D530AB" w:rsidRPr="00572139" w:rsidRDefault="00D530AB" w:rsidP="00D530AB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</w:p>
        </w:tc>
        <w:tc>
          <w:tcPr>
            <w:tcW w:w="1449" w:type="pct"/>
          </w:tcPr>
          <w:p w:rsidR="00D530AB" w:rsidRDefault="00D530AB" w:rsidP="00D530A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66" w:type="pct"/>
            <w:tcBorders>
              <w:right w:val="single" w:sz="12" w:space="0" w:color="auto"/>
            </w:tcBorders>
          </w:tcPr>
          <w:p w:rsidR="00D530AB" w:rsidRDefault="00D530AB" w:rsidP="00D530AB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D530AB" w:rsidRPr="00CD2640" w:rsidTr="0065406F">
        <w:trPr>
          <w:trHeight w:hRule="exact" w:val="295"/>
        </w:trPr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30AB" w:rsidRPr="00572139" w:rsidRDefault="00D530AB" w:rsidP="00D530AB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No (ref)</w:t>
            </w:r>
          </w:p>
          <w:p w:rsidR="00D530AB" w:rsidRPr="00572139" w:rsidRDefault="00D530AB" w:rsidP="00D530AB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30AB" w:rsidRPr="00171E2F" w:rsidRDefault="00D530AB" w:rsidP="00D530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eastAsia="de-DE"/>
              </w:rPr>
            </w:pPr>
            <w:r w:rsidRPr="00171E2F">
              <w:rPr>
                <w:rFonts w:ascii="Palatino Linotype" w:hAnsi="Palatino Linotype"/>
              </w:rPr>
              <w:t>1 (1,1)</w:t>
            </w:r>
          </w:p>
        </w:tc>
        <w:tc>
          <w:tcPr>
            <w:tcW w:w="1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30AB" w:rsidRPr="00171E2F" w:rsidRDefault="00D530AB" w:rsidP="00D530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eastAsia="de-DE"/>
              </w:rPr>
            </w:pPr>
            <w:r w:rsidRPr="00171E2F">
              <w:rPr>
                <w:rFonts w:ascii="Palatino Linotype" w:hAnsi="Palatino Linotype"/>
              </w:rPr>
              <w:t>1 (1,1)</w:t>
            </w:r>
          </w:p>
        </w:tc>
      </w:tr>
      <w:tr w:rsidR="00D530AB" w:rsidRPr="00CD2640" w:rsidTr="0065406F">
        <w:trPr>
          <w:trHeight w:hRule="exact" w:val="295"/>
        </w:trPr>
        <w:tc>
          <w:tcPr>
            <w:tcW w:w="20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0AB" w:rsidRPr="00572139" w:rsidRDefault="00D530AB" w:rsidP="00D530AB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Yes</w:t>
            </w:r>
          </w:p>
          <w:p w:rsidR="00D530AB" w:rsidRPr="00572139" w:rsidRDefault="00D530AB" w:rsidP="00D530AB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49" w:type="pct"/>
          </w:tcPr>
          <w:p w:rsidR="00D530AB" w:rsidRPr="00B25624" w:rsidRDefault="00FD5711" w:rsidP="00D530A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0.74 (0.55, 1.</w:t>
            </w:r>
            <w:r w:rsidR="00D530AB" w:rsidRPr="00B25624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</w:rPr>
              <w:t>1</w:t>
            </w:r>
            <w:r w:rsidR="00D530AB" w:rsidRPr="00B25624">
              <w:rPr>
                <w:rFonts w:ascii="Palatino Linotype" w:hAnsi="Palatino Linotype"/>
              </w:rPr>
              <w:t>)</w:t>
            </w:r>
            <w:r w:rsidR="00D530AB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466" w:type="pct"/>
          </w:tcPr>
          <w:p w:rsidR="00D530AB" w:rsidRPr="006A515B" w:rsidRDefault="006A515B" w:rsidP="00D530AB">
            <w:pPr>
              <w:jc w:val="center"/>
              <w:rPr>
                <w:rFonts w:ascii="Palatino Linotype" w:hAnsi="Palatino Linotype"/>
                <w:b/>
              </w:rPr>
            </w:pPr>
            <w:r w:rsidRPr="006A515B">
              <w:rPr>
                <w:rFonts w:ascii="Palatino Linotype" w:hAnsi="Palatino Linotype"/>
                <w:b/>
              </w:rPr>
              <w:t>0.64 (0.44, 0</w:t>
            </w:r>
            <w:r w:rsidR="00D530AB" w:rsidRPr="006A515B">
              <w:rPr>
                <w:rFonts w:ascii="Palatino Linotype" w:hAnsi="Palatino Linotype"/>
                <w:b/>
              </w:rPr>
              <w:t>.</w:t>
            </w:r>
            <w:r w:rsidRPr="006A515B">
              <w:rPr>
                <w:rFonts w:ascii="Palatino Linotype" w:hAnsi="Palatino Linotype"/>
                <w:b/>
              </w:rPr>
              <w:t>9</w:t>
            </w:r>
            <w:r w:rsidR="00D530AB" w:rsidRPr="006A515B">
              <w:rPr>
                <w:rFonts w:ascii="Palatino Linotype" w:hAnsi="Palatino Linotype"/>
                <w:b/>
              </w:rPr>
              <w:t>2)</w:t>
            </w:r>
            <w:r w:rsidRPr="006A515B">
              <w:rPr>
                <w:b/>
              </w:rPr>
              <w:t>**</w:t>
            </w: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  <w:t>Age when giving last birth</w:t>
            </w: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 (years)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15—24</w:t>
            </w: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 </w:t>
            </w:r>
            <w:r w:rsidRPr="00B34259">
              <w:rPr>
                <w:szCs w:val="24"/>
              </w:rPr>
              <w:t>(ref)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</w:tr>
      <w:tr w:rsidR="00440020" w:rsidRPr="00CD2640" w:rsidTr="003C3083">
        <w:tc>
          <w:tcPr>
            <w:tcW w:w="208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0020" w:rsidRPr="00CD2640" w:rsidRDefault="00440020" w:rsidP="00440020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25—34</w:t>
            </w:r>
          </w:p>
        </w:tc>
        <w:tc>
          <w:tcPr>
            <w:tcW w:w="1449" w:type="pct"/>
            <w:shd w:val="clear" w:color="auto" w:fill="auto"/>
          </w:tcPr>
          <w:p w:rsidR="00440020" w:rsidRPr="002A3CF8" w:rsidRDefault="001E2294" w:rsidP="00440020">
            <w:pPr>
              <w:jc w:val="center"/>
              <w:rPr>
                <w:b/>
              </w:rPr>
            </w:pPr>
            <w:r>
              <w:rPr>
                <w:rFonts w:ascii="Palatino Linotype" w:hAnsi="Palatino Linotype"/>
              </w:rPr>
              <w:t>1.19 (0.92, 1.53</w:t>
            </w:r>
            <w:r w:rsidR="00440020" w:rsidRPr="00B25624">
              <w:rPr>
                <w:rFonts w:ascii="Palatino Linotype" w:hAnsi="Palatino Linotype"/>
              </w:rPr>
              <w:t>)</w:t>
            </w:r>
          </w:p>
        </w:tc>
        <w:tc>
          <w:tcPr>
            <w:tcW w:w="1466" w:type="pct"/>
            <w:tcBorders>
              <w:right w:val="single" w:sz="12" w:space="0" w:color="auto"/>
            </w:tcBorders>
            <w:shd w:val="clear" w:color="auto" w:fill="auto"/>
          </w:tcPr>
          <w:p w:rsidR="00440020" w:rsidRPr="00440020" w:rsidRDefault="00FA70CB" w:rsidP="00440020">
            <w:pPr>
              <w:jc w:val="center"/>
              <w:rPr>
                <w:b/>
              </w:rPr>
            </w:pPr>
            <w:r>
              <w:rPr>
                <w:rFonts w:ascii="Palatino Linotype" w:hAnsi="Palatino Linotype"/>
                <w:b/>
              </w:rPr>
              <w:t>0.46 (0.34, 0.60</w:t>
            </w:r>
            <w:r w:rsidR="00440020" w:rsidRPr="00440020">
              <w:rPr>
                <w:rFonts w:ascii="Palatino Linotype" w:hAnsi="Palatino Linotype"/>
                <w:b/>
              </w:rPr>
              <w:t>)</w:t>
            </w:r>
            <w:r w:rsidR="00440020" w:rsidRPr="00440020">
              <w:rPr>
                <w:b/>
              </w:rPr>
              <w:t>***</w:t>
            </w:r>
          </w:p>
        </w:tc>
      </w:tr>
      <w:tr w:rsidR="00440020" w:rsidRPr="00CD2640" w:rsidTr="003C3083">
        <w:tc>
          <w:tcPr>
            <w:tcW w:w="20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020" w:rsidRPr="00CD2640" w:rsidRDefault="00440020" w:rsidP="00440020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35—49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auto"/>
          </w:tcPr>
          <w:p w:rsidR="00440020" w:rsidRPr="00991736" w:rsidRDefault="00991736" w:rsidP="00440020">
            <w:pPr>
              <w:jc w:val="center"/>
            </w:pPr>
            <w:r w:rsidRPr="00991736">
              <w:rPr>
                <w:rFonts w:ascii="Palatino Linotype" w:hAnsi="Palatino Linotype"/>
              </w:rPr>
              <w:t>0.81 (0.</w:t>
            </w:r>
            <w:r w:rsidR="00440020" w:rsidRPr="00991736">
              <w:rPr>
                <w:rFonts w:ascii="Palatino Linotype" w:hAnsi="Palatino Linotype"/>
              </w:rPr>
              <w:t>6</w:t>
            </w:r>
            <w:r w:rsidRPr="00991736">
              <w:rPr>
                <w:rFonts w:ascii="Palatino Linotype" w:hAnsi="Palatino Linotype"/>
              </w:rPr>
              <w:t>0, 1.09</w:t>
            </w:r>
            <w:r w:rsidR="00440020" w:rsidRPr="00991736">
              <w:rPr>
                <w:rFonts w:ascii="Palatino Linotype" w:hAnsi="Palatino Linotype"/>
              </w:rPr>
              <w:t>)</w:t>
            </w:r>
          </w:p>
        </w:tc>
        <w:tc>
          <w:tcPr>
            <w:tcW w:w="14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020" w:rsidRPr="004557DB" w:rsidRDefault="00440020" w:rsidP="00440020">
            <w:pPr>
              <w:jc w:val="center"/>
              <w:rPr>
                <w:b/>
              </w:rPr>
            </w:pPr>
            <w:r>
              <w:rPr>
                <w:rFonts w:ascii="Palatino Linotype" w:hAnsi="Palatino Linotype"/>
                <w:b/>
              </w:rPr>
              <w:t>0.</w:t>
            </w:r>
            <w:r w:rsidRPr="004557DB">
              <w:rPr>
                <w:rFonts w:ascii="Palatino Linotype" w:hAnsi="Palatino Linotype"/>
                <w:b/>
              </w:rPr>
              <w:t>3</w:t>
            </w:r>
            <w:r w:rsidR="00FA70CB">
              <w:rPr>
                <w:rFonts w:ascii="Palatino Linotype" w:hAnsi="Palatino Linotype"/>
                <w:b/>
              </w:rPr>
              <w:t>4</w:t>
            </w:r>
            <w:r w:rsidRPr="004557DB">
              <w:rPr>
                <w:rFonts w:ascii="Palatino Linotype" w:hAnsi="Palatino Linotype"/>
                <w:b/>
              </w:rPr>
              <w:t xml:space="preserve"> (</w:t>
            </w:r>
            <w:r w:rsidR="00FA70CB">
              <w:rPr>
                <w:rFonts w:ascii="Palatino Linotype" w:hAnsi="Palatino Linotype"/>
                <w:b/>
              </w:rPr>
              <w:t>0.25, 0.48</w:t>
            </w:r>
            <w:r w:rsidRPr="004557DB">
              <w:rPr>
                <w:rFonts w:ascii="Palatino Linotype" w:hAnsi="Palatino Linotype"/>
                <w:b/>
              </w:rPr>
              <w:t>)</w:t>
            </w:r>
            <w:r w:rsidRPr="004557DB">
              <w:rPr>
                <w:b/>
              </w:rPr>
              <w:t>**</w:t>
            </w:r>
            <w:r>
              <w:rPr>
                <w:b/>
              </w:rPr>
              <w:t>*</w:t>
            </w: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  <w:t>Order of the last birth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First</w:t>
            </w: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 </w:t>
            </w:r>
            <w:r w:rsidRPr="00B34259">
              <w:rPr>
                <w:szCs w:val="24"/>
              </w:rPr>
              <w:t>(ref)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</w:tr>
      <w:tr w:rsidR="00CF3E06" w:rsidRPr="00CD2640" w:rsidTr="003C3083">
        <w:tc>
          <w:tcPr>
            <w:tcW w:w="208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3E06" w:rsidRPr="00CD2640" w:rsidRDefault="00CF3E06" w:rsidP="00CF3E0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Second or third</w:t>
            </w:r>
          </w:p>
        </w:tc>
        <w:tc>
          <w:tcPr>
            <w:tcW w:w="1449" w:type="pct"/>
            <w:shd w:val="clear" w:color="auto" w:fill="auto"/>
          </w:tcPr>
          <w:p w:rsidR="00CF3E06" w:rsidRPr="00771A5B" w:rsidRDefault="00771A5B" w:rsidP="00CF3E06">
            <w:pPr>
              <w:jc w:val="center"/>
            </w:pPr>
            <w:r w:rsidRPr="00771A5B">
              <w:rPr>
                <w:rFonts w:ascii="Palatino Linotype" w:hAnsi="Palatino Linotype"/>
              </w:rPr>
              <w:t>0.77 (0.59, 1.02)</w:t>
            </w:r>
          </w:p>
        </w:tc>
        <w:tc>
          <w:tcPr>
            <w:tcW w:w="1466" w:type="pct"/>
            <w:tcBorders>
              <w:right w:val="single" w:sz="12" w:space="0" w:color="auto"/>
            </w:tcBorders>
            <w:shd w:val="clear" w:color="auto" w:fill="auto"/>
          </w:tcPr>
          <w:p w:rsidR="00CF3E06" w:rsidRPr="00440020" w:rsidRDefault="00EF5D5E" w:rsidP="00CF3E06">
            <w:pPr>
              <w:jc w:val="center"/>
              <w:rPr>
                <w:b/>
              </w:rPr>
            </w:pPr>
            <w:r>
              <w:rPr>
                <w:rFonts w:ascii="Palatino Linotype" w:hAnsi="Palatino Linotype"/>
                <w:b/>
              </w:rPr>
              <w:t>0.35 (0.25, 0.48</w:t>
            </w:r>
            <w:r w:rsidR="00CF3E06" w:rsidRPr="00440020">
              <w:rPr>
                <w:rFonts w:ascii="Palatino Linotype" w:hAnsi="Palatino Linotype"/>
                <w:b/>
              </w:rPr>
              <w:t>)</w:t>
            </w:r>
            <w:r w:rsidR="00CF3E06" w:rsidRPr="00440020">
              <w:rPr>
                <w:b/>
              </w:rPr>
              <w:t>***</w:t>
            </w:r>
          </w:p>
        </w:tc>
      </w:tr>
      <w:tr w:rsidR="00CF3E06" w:rsidRPr="00CD2640" w:rsidTr="003C3083">
        <w:tc>
          <w:tcPr>
            <w:tcW w:w="20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E06" w:rsidRPr="00CD2640" w:rsidRDefault="00CF3E06" w:rsidP="00CF3E0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Fourth or higher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auto"/>
          </w:tcPr>
          <w:p w:rsidR="00CF3E06" w:rsidRPr="004557DB" w:rsidRDefault="00771A5B" w:rsidP="00CF3E06">
            <w:pPr>
              <w:jc w:val="center"/>
              <w:rPr>
                <w:b/>
              </w:rPr>
            </w:pPr>
            <w:r>
              <w:rPr>
                <w:rFonts w:ascii="Palatino Linotype" w:hAnsi="Palatino Linotype"/>
                <w:b/>
              </w:rPr>
              <w:t>0.47</w:t>
            </w:r>
            <w:r w:rsidR="00CF3E06" w:rsidRPr="004557DB">
              <w:rPr>
                <w:rFonts w:ascii="Palatino Linotype" w:hAnsi="Palatino Linotype"/>
                <w:b/>
              </w:rPr>
              <w:t xml:space="preserve"> (</w:t>
            </w:r>
            <w:r>
              <w:rPr>
                <w:rFonts w:ascii="Palatino Linotype" w:hAnsi="Palatino Linotype"/>
                <w:b/>
              </w:rPr>
              <w:t>0.37, 0.64</w:t>
            </w:r>
            <w:r w:rsidR="00CF3E06" w:rsidRPr="004557DB">
              <w:rPr>
                <w:rFonts w:ascii="Palatino Linotype" w:hAnsi="Palatino Linotype"/>
                <w:b/>
              </w:rPr>
              <w:t>)</w:t>
            </w:r>
            <w:r w:rsidR="00CF3E06" w:rsidRPr="004557DB">
              <w:rPr>
                <w:b/>
              </w:rPr>
              <w:t>**</w:t>
            </w:r>
            <w:r w:rsidR="00CF3E06">
              <w:rPr>
                <w:b/>
              </w:rPr>
              <w:t>*</w:t>
            </w:r>
          </w:p>
        </w:tc>
        <w:tc>
          <w:tcPr>
            <w:tcW w:w="14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3E06" w:rsidRPr="004557DB" w:rsidRDefault="00EF5D5E" w:rsidP="00CF3E06">
            <w:pPr>
              <w:jc w:val="center"/>
              <w:rPr>
                <w:b/>
              </w:rPr>
            </w:pPr>
            <w:r>
              <w:rPr>
                <w:rFonts w:ascii="Palatino Linotype" w:hAnsi="Palatino Linotype"/>
                <w:b/>
              </w:rPr>
              <w:t>0.15</w:t>
            </w:r>
            <w:r w:rsidR="00CF3E06" w:rsidRPr="004557DB">
              <w:rPr>
                <w:rFonts w:ascii="Palatino Linotype" w:hAnsi="Palatino Linotype"/>
                <w:b/>
              </w:rPr>
              <w:t xml:space="preserve"> (</w:t>
            </w:r>
            <w:r>
              <w:rPr>
                <w:rFonts w:ascii="Palatino Linotype" w:hAnsi="Palatino Linotype"/>
                <w:b/>
              </w:rPr>
              <w:t>0.11</w:t>
            </w:r>
            <w:r w:rsidR="00CF3E06">
              <w:rPr>
                <w:rFonts w:ascii="Palatino Linotype" w:hAnsi="Palatino Linotype"/>
                <w:b/>
              </w:rPr>
              <w:t>, 0.21</w:t>
            </w:r>
            <w:r w:rsidR="00CF3E06" w:rsidRPr="004557DB">
              <w:rPr>
                <w:rFonts w:ascii="Palatino Linotype" w:hAnsi="Palatino Linotype"/>
                <w:b/>
              </w:rPr>
              <w:t>)</w:t>
            </w:r>
            <w:r w:rsidR="00CF3E06" w:rsidRPr="004557DB">
              <w:rPr>
                <w:b/>
              </w:rPr>
              <w:t>**</w:t>
            </w:r>
            <w:r w:rsidR="00CF3E06">
              <w:rPr>
                <w:b/>
              </w:rPr>
              <w:t>*</w:t>
            </w: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D530AB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highlight w:val="yellow"/>
                <w:lang w:val="en-US" w:eastAsia="de-DE"/>
              </w:rPr>
            </w:pPr>
            <w:r w:rsidRPr="00117450"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  <w:t>Education level of the women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2942" w:rsidRPr="00CD2640" w:rsidRDefault="00117450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No education</w:t>
            </w:r>
            <w:r w:rsidR="00A14DAE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 </w:t>
            </w:r>
            <w:r w:rsidR="00D02942" w:rsidRPr="00B34259">
              <w:rPr>
                <w:szCs w:val="24"/>
              </w:rPr>
              <w:t>(ref)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</w:tr>
      <w:tr w:rsidR="00D02942" w:rsidRPr="00CD2640" w:rsidTr="003C3083">
        <w:tc>
          <w:tcPr>
            <w:tcW w:w="20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117450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lastRenderedPageBreak/>
              <w:t>Primary</w:t>
            </w:r>
            <w:r w:rsidR="00D02942"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 and above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942" w:rsidRPr="00A14DAE" w:rsidRDefault="00E75FE7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2.66 (2.15, 3.29</w:t>
            </w:r>
            <w:r w:rsidR="00A14DAE" w:rsidRPr="00A14DAE">
              <w:rPr>
                <w:rFonts w:ascii="Palatino Linotype" w:hAnsi="Palatino Linotype"/>
                <w:b/>
              </w:rPr>
              <w:t>)</w:t>
            </w:r>
            <w:r w:rsidR="00A14DAE" w:rsidRPr="00A14DAE">
              <w:rPr>
                <w:b/>
              </w:rPr>
              <w:t>***</w:t>
            </w:r>
          </w:p>
        </w:tc>
        <w:tc>
          <w:tcPr>
            <w:tcW w:w="14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62089F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4.06 (3.19, 5.17</w:t>
            </w:r>
            <w:r w:rsidR="006B1EED" w:rsidRPr="00A14DAE">
              <w:rPr>
                <w:rFonts w:ascii="Palatino Linotype" w:hAnsi="Palatino Linotype"/>
                <w:b/>
              </w:rPr>
              <w:t>)</w:t>
            </w:r>
            <w:r w:rsidR="006B1EED" w:rsidRPr="00A14DAE">
              <w:rPr>
                <w:b/>
              </w:rPr>
              <w:t>***</w:t>
            </w: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D530AB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highlight w:val="yellow"/>
                <w:lang w:val="en-US" w:eastAsia="de-DE"/>
              </w:rPr>
            </w:pPr>
            <w:r w:rsidRPr="00117450"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  <w:t>Education level of their partners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No education</w:t>
            </w: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 </w:t>
            </w:r>
            <w:r w:rsidRPr="00B34259">
              <w:rPr>
                <w:szCs w:val="24"/>
              </w:rPr>
              <w:t>(ref)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</w:tr>
      <w:tr w:rsidR="001B6632" w:rsidRPr="00CD2640" w:rsidTr="003C3083">
        <w:tc>
          <w:tcPr>
            <w:tcW w:w="20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632" w:rsidRPr="00CD2640" w:rsidRDefault="00117450" w:rsidP="001B6632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Primary</w:t>
            </w:r>
            <w:r w:rsidR="001B6632"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 and above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632" w:rsidRPr="00CD2640" w:rsidRDefault="004624B5" w:rsidP="001B66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2.53 (2.02, 3.16</w:t>
            </w:r>
            <w:r w:rsidR="001B6632" w:rsidRPr="00A14DAE">
              <w:rPr>
                <w:rFonts w:ascii="Palatino Linotype" w:hAnsi="Palatino Linotype"/>
                <w:b/>
              </w:rPr>
              <w:t>)</w:t>
            </w:r>
            <w:r w:rsidR="001B6632" w:rsidRPr="00A14DAE">
              <w:rPr>
                <w:b/>
              </w:rPr>
              <w:t>***</w:t>
            </w:r>
          </w:p>
        </w:tc>
        <w:tc>
          <w:tcPr>
            <w:tcW w:w="14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632" w:rsidRPr="00CD2640" w:rsidRDefault="008C0E44" w:rsidP="001B66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2.70 (2.10, 3.48</w:t>
            </w:r>
            <w:r w:rsidR="001B6632" w:rsidRPr="00A14DAE">
              <w:rPr>
                <w:rFonts w:ascii="Palatino Linotype" w:hAnsi="Palatino Linotype"/>
                <w:b/>
              </w:rPr>
              <w:t>)</w:t>
            </w:r>
            <w:r w:rsidR="001B6632" w:rsidRPr="00A14DAE">
              <w:rPr>
                <w:b/>
              </w:rPr>
              <w:t>***</w:t>
            </w: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  <w:t>Household wealth index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Low household wealth status</w:t>
            </w: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 </w:t>
            </w:r>
            <w:r w:rsidRPr="00B34259">
              <w:rPr>
                <w:szCs w:val="24"/>
              </w:rPr>
              <w:t>(ref)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</w:tr>
      <w:tr w:rsidR="00A862BA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62BA" w:rsidRPr="00CD2640" w:rsidRDefault="00A862BA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Middle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2BA" w:rsidRPr="005970E6" w:rsidRDefault="00122551" w:rsidP="00330A86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Palatino Linotype" w:hAnsi="Palatino Linotype"/>
                <w:b/>
              </w:rPr>
              <w:t>1.71 (1.</w:t>
            </w:r>
            <w:r w:rsidR="00A862BA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2, 2.23</w:t>
            </w:r>
            <w:r w:rsidR="00A862BA" w:rsidRPr="00A14DAE">
              <w:rPr>
                <w:rFonts w:ascii="Palatino Linotype" w:hAnsi="Palatino Linotype"/>
                <w:b/>
              </w:rPr>
              <w:t>)</w:t>
            </w:r>
            <w:r w:rsidR="00A862BA" w:rsidRPr="00A14DAE">
              <w:rPr>
                <w:b/>
              </w:rPr>
              <w:t>***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BA" w:rsidRPr="005970E6" w:rsidRDefault="00FF6C3D" w:rsidP="00330A86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Palatino Linotype" w:hAnsi="Palatino Linotype"/>
                <w:b/>
              </w:rPr>
              <w:t>1.65 (1.24</w:t>
            </w:r>
            <w:r w:rsidR="00471A05">
              <w:rPr>
                <w:rFonts w:ascii="Palatino Linotype" w:hAnsi="Palatino Linotype"/>
                <w:b/>
              </w:rPr>
              <w:t>, 2</w:t>
            </w:r>
            <w:r w:rsidR="00A862BA">
              <w:rPr>
                <w:rFonts w:ascii="Palatino Linotype" w:hAnsi="Palatino Linotype"/>
                <w:b/>
              </w:rPr>
              <w:t>.20</w:t>
            </w:r>
            <w:r w:rsidR="00A862BA" w:rsidRPr="00A14DAE">
              <w:rPr>
                <w:rFonts w:ascii="Palatino Linotype" w:hAnsi="Palatino Linotype"/>
                <w:b/>
              </w:rPr>
              <w:t>)</w:t>
            </w:r>
            <w:r w:rsidR="00A862BA" w:rsidRPr="00A14DAE">
              <w:rPr>
                <w:b/>
              </w:rPr>
              <w:t>***</w:t>
            </w:r>
          </w:p>
        </w:tc>
      </w:tr>
      <w:tr w:rsidR="00D02942" w:rsidRPr="00CD2640" w:rsidTr="003C3083">
        <w:tc>
          <w:tcPr>
            <w:tcW w:w="20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High household Wealth status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122551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2.57 (2.00, 3.31</w:t>
            </w:r>
            <w:r w:rsidR="00E01331" w:rsidRPr="00A14DAE">
              <w:rPr>
                <w:rFonts w:ascii="Palatino Linotype" w:hAnsi="Palatino Linotype"/>
                <w:b/>
              </w:rPr>
              <w:t>)</w:t>
            </w:r>
            <w:r w:rsidR="00E01331" w:rsidRPr="00A14DAE">
              <w:rPr>
                <w:b/>
              </w:rPr>
              <w:t>***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471A05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3.77 (2.84, 5.01</w:t>
            </w:r>
            <w:r w:rsidR="00E01331" w:rsidRPr="00A14DAE">
              <w:rPr>
                <w:rFonts w:ascii="Palatino Linotype" w:hAnsi="Palatino Linotype"/>
                <w:b/>
              </w:rPr>
              <w:t>)</w:t>
            </w:r>
            <w:r w:rsidR="00E01331" w:rsidRPr="00A14DAE">
              <w:rPr>
                <w:b/>
              </w:rPr>
              <w:t>***</w:t>
            </w: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  <w:t>Exposure to mass media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No exposure </w:t>
            </w:r>
            <w:r w:rsidRPr="00B34259">
              <w:rPr>
                <w:szCs w:val="24"/>
              </w:rPr>
              <w:t>(ref)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</w:tr>
      <w:tr w:rsidR="009E096A" w:rsidRPr="00CD2640" w:rsidTr="003C3083">
        <w:tc>
          <w:tcPr>
            <w:tcW w:w="208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96A" w:rsidRPr="00CD2640" w:rsidRDefault="009E096A" w:rsidP="009E096A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Exposed to either radio or TV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E096A" w:rsidRPr="00CD2640" w:rsidRDefault="00431359" w:rsidP="009E0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1.70 (1.32, 2.</w:t>
            </w:r>
            <w:r w:rsidR="009E096A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8</w:t>
            </w:r>
            <w:r w:rsidR="009E096A" w:rsidRPr="00A14DAE">
              <w:rPr>
                <w:rFonts w:ascii="Palatino Linotype" w:hAnsi="Palatino Linotype"/>
                <w:b/>
              </w:rPr>
              <w:t>)</w:t>
            </w:r>
            <w:r w:rsidR="009E096A" w:rsidRPr="00A14DAE">
              <w:rPr>
                <w:b/>
              </w:rPr>
              <w:t>***</w:t>
            </w:r>
          </w:p>
        </w:tc>
        <w:tc>
          <w:tcPr>
            <w:tcW w:w="14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96A" w:rsidRPr="00CD2640" w:rsidRDefault="005E317F" w:rsidP="009E0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1.70</w:t>
            </w:r>
            <w:r w:rsidR="00DD5DB7">
              <w:rPr>
                <w:rFonts w:ascii="Palatino Linotype" w:hAnsi="Palatino Linotype"/>
                <w:b/>
              </w:rPr>
              <w:t xml:space="preserve"> (1.28, 2.27</w:t>
            </w:r>
            <w:r w:rsidR="009E096A" w:rsidRPr="00A14DAE">
              <w:rPr>
                <w:rFonts w:ascii="Palatino Linotype" w:hAnsi="Palatino Linotype"/>
                <w:b/>
              </w:rPr>
              <w:t>)</w:t>
            </w:r>
            <w:r w:rsidR="009E096A" w:rsidRPr="00A14DAE">
              <w:rPr>
                <w:b/>
              </w:rPr>
              <w:t>***</w:t>
            </w:r>
          </w:p>
        </w:tc>
      </w:tr>
      <w:tr w:rsidR="009E096A" w:rsidRPr="00CD2640" w:rsidTr="003C3083">
        <w:tc>
          <w:tcPr>
            <w:tcW w:w="20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A" w:rsidRPr="00CD2640" w:rsidRDefault="009E096A" w:rsidP="009E096A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Exposed to both radio and TV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96A" w:rsidRPr="00CD2640" w:rsidRDefault="00431359" w:rsidP="009E0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3.01 (2.23, 4.05</w:t>
            </w:r>
            <w:r w:rsidR="009E096A" w:rsidRPr="00A14DAE">
              <w:rPr>
                <w:rFonts w:ascii="Palatino Linotype" w:hAnsi="Palatino Linotype"/>
                <w:b/>
              </w:rPr>
              <w:t>)</w:t>
            </w:r>
            <w:r w:rsidR="009E096A" w:rsidRPr="00A14DAE">
              <w:rPr>
                <w:b/>
              </w:rPr>
              <w:t>***</w:t>
            </w:r>
          </w:p>
        </w:tc>
        <w:tc>
          <w:tcPr>
            <w:tcW w:w="14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96A" w:rsidRPr="00CD2640" w:rsidRDefault="00DD5DB7" w:rsidP="009E0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6.10 (4.23, 8.79</w:t>
            </w:r>
            <w:r w:rsidR="009E096A" w:rsidRPr="00A14DAE">
              <w:rPr>
                <w:rFonts w:ascii="Palatino Linotype" w:hAnsi="Palatino Linotype"/>
                <w:b/>
              </w:rPr>
              <w:t>)</w:t>
            </w:r>
            <w:r w:rsidR="009E096A" w:rsidRPr="00A14DAE">
              <w:rPr>
                <w:b/>
              </w:rPr>
              <w:t>***</w:t>
            </w:r>
          </w:p>
        </w:tc>
      </w:tr>
      <w:tr w:rsidR="00D02942" w:rsidRPr="00CD2640" w:rsidTr="003C3083">
        <w:trPr>
          <w:trHeight w:hRule="exact" w:val="446"/>
        </w:trPr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942" w:rsidRPr="00C54C3F" w:rsidRDefault="00D02942" w:rsidP="00330A86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54C3F">
              <w:rPr>
                <w:rFonts w:ascii="Palatino Linotype" w:hAnsi="Palatino Linotype"/>
                <w:b/>
                <w:sz w:val="24"/>
                <w:szCs w:val="24"/>
              </w:rPr>
              <w:t>Relationship Factors</w:t>
            </w:r>
          </w:p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D02942" w:rsidRPr="00CD2640" w:rsidTr="003C3083"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FD31A8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  <w:r w:rsidRPr="00FD31A8">
              <w:rPr>
                <w:rFonts w:ascii="Palatino Linotype" w:hAnsi="Palatino Linotype"/>
                <w:b/>
                <w:iCs/>
                <w:szCs w:val="24"/>
              </w:rPr>
              <w:t>Attitude towards Wife Beating</w:t>
            </w:r>
          </w:p>
        </w:tc>
        <w:tc>
          <w:tcPr>
            <w:tcW w:w="1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D02942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D0294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E142F0" w:rsidRDefault="00D02942" w:rsidP="00330A86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/>
                <w:b/>
                <w:iCs/>
                <w:szCs w:val="24"/>
              </w:rPr>
            </w:pPr>
            <w:r w:rsidRPr="00E142F0">
              <w:rPr>
                <w:rFonts w:ascii="Palatino Linotype" w:hAnsi="Palatino Linotype" w:cs="URWPalladioL-Roma"/>
                <w:szCs w:val="18"/>
              </w:rPr>
              <w:t>Rejects violence</w:t>
            </w:r>
            <w:r w:rsidR="007F3562">
              <w:rPr>
                <w:rFonts w:ascii="Palatino Linotype" w:hAnsi="Palatino Linotype" w:cs="URWPalladioL-Roma"/>
                <w:szCs w:val="18"/>
              </w:rPr>
              <w:t xml:space="preserve"> </w:t>
            </w:r>
            <w:r w:rsidR="007F3562" w:rsidRPr="00B34259">
              <w:rPr>
                <w:szCs w:val="24"/>
              </w:rPr>
              <w:t>(ref)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942" w:rsidRPr="00CD2640" w:rsidRDefault="009657ED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942" w:rsidRPr="00CD2640" w:rsidRDefault="009657ED" w:rsidP="0033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</w:tr>
      <w:tr w:rsidR="007F356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E142F0" w:rsidRDefault="007F3562" w:rsidP="007F3562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/>
                <w:b/>
                <w:iCs/>
                <w:szCs w:val="24"/>
              </w:rPr>
            </w:pPr>
            <w:r w:rsidRPr="00E142F0">
              <w:rPr>
                <w:rFonts w:ascii="Palatino Linotype" w:hAnsi="Palatino Linotype" w:cs="URWPalladioL-Roma"/>
                <w:szCs w:val="18"/>
              </w:rPr>
              <w:t>Accepts violence (fully)</w:t>
            </w:r>
            <w:r>
              <w:rPr>
                <w:rFonts w:ascii="Palatino Linotype" w:hAnsi="Palatino Linotype" w:cs="URWPalladioL-Roma"/>
                <w:szCs w:val="18"/>
              </w:rPr>
              <w:t xml:space="preserve"> 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50681A" w:rsidRDefault="009657ED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0681A">
              <w:rPr>
                <w:rFonts w:ascii="Palatino Linotype" w:hAnsi="Palatino Linotype"/>
              </w:rPr>
              <w:t>0.59 (0.48, 0.72)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62" w:rsidRPr="0050681A" w:rsidRDefault="009657ED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0681A">
              <w:rPr>
                <w:rFonts w:ascii="Palatino Linotype" w:hAnsi="Palatino Linotype"/>
              </w:rPr>
              <w:t>0.52 (0.41, 0.65)</w:t>
            </w:r>
          </w:p>
        </w:tc>
      </w:tr>
      <w:tr w:rsidR="007F356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D65E20" w:rsidRDefault="007F3562" w:rsidP="007F3562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  <w:r w:rsidRPr="00D65E20">
              <w:rPr>
                <w:rFonts w:ascii="Palatino Linotype" w:hAnsi="Palatino Linotype"/>
                <w:b/>
                <w:szCs w:val="24"/>
              </w:rPr>
              <w:t>Decision-making Autonomy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7F356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0C116C" w:rsidRDefault="007F3562" w:rsidP="007F3562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0C116C">
              <w:rPr>
                <w:rFonts w:ascii="Palatino Linotype" w:hAnsi="Palatino Linotype" w:cs="URWPalladioL-Roma"/>
                <w:szCs w:val="18"/>
              </w:rPr>
              <w:t>No autonomy</w:t>
            </w:r>
            <w:r>
              <w:rPr>
                <w:rFonts w:ascii="Palatino Linotype" w:hAnsi="Palatino Linotype" w:cs="URWPalladioL-Roma"/>
                <w:szCs w:val="18"/>
              </w:rPr>
              <w:t xml:space="preserve"> </w:t>
            </w:r>
            <w:r w:rsidRPr="00B34259">
              <w:rPr>
                <w:szCs w:val="24"/>
              </w:rPr>
              <w:t>(ref)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</w:tr>
      <w:tr w:rsidR="009D3E6F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E6F" w:rsidRPr="000C116C" w:rsidRDefault="009D3E6F" w:rsidP="009D3E6F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0C116C">
              <w:rPr>
                <w:rFonts w:ascii="Palatino Linotype" w:hAnsi="Palatino Linotype" w:cs="URWPalladioL-Roma"/>
                <w:szCs w:val="18"/>
              </w:rPr>
              <w:t>Medium autonomy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3E6F" w:rsidRPr="00CD2640" w:rsidRDefault="0050681A" w:rsidP="009D3E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3</w:t>
            </w:r>
            <w:r w:rsidR="00FE7FE1">
              <w:rPr>
                <w:rFonts w:ascii="Palatino Linotype" w:hAnsi="Palatino Linotype"/>
                <w:b/>
              </w:rPr>
              <w:t>.63 (2.26, 5.82</w:t>
            </w:r>
            <w:r w:rsidR="009D3E6F" w:rsidRPr="00A14DAE">
              <w:rPr>
                <w:rFonts w:ascii="Palatino Linotype" w:hAnsi="Palatino Linotype"/>
                <w:b/>
              </w:rPr>
              <w:t>)</w:t>
            </w:r>
            <w:r w:rsidR="009D3E6F" w:rsidRPr="00A14DAE">
              <w:rPr>
                <w:b/>
              </w:rPr>
              <w:t>***</w:t>
            </w:r>
          </w:p>
        </w:tc>
        <w:tc>
          <w:tcPr>
            <w:tcW w:w="14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E6F" w:rsidRPr="00CD2640" w:rsidRDefault="00ED799F" w:rsidP="009D3E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2.95 (1.83, 4.77</w:t>
            </w:r>
            <w:r w:rsidR="009D3E6F" w:rsidRPr="00A14DAE">
              <w:rPr>
                <w:rFonts w:ascii="Palatino Linotype" w:hAnsi="Palatino Linotype"/>
                <w:b/>
              </w:rPr>
              <w:t>)</w:t>
            </w:r>
            <w:r w:rsidR="009D3E6F" w:rsidRPr="00A14DAE">
              <w:rPr>
                <w:b/>
              </w:rPr>
              <w:t>***</w:t>
            </w:r>
          </w:p>
        </w:tc>
      </w:tr>
      <w:tr w:rsidR="009D3E6F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E6F" w:rsidRPr="000C116C" w:rsidRDefault="009D3E6F" w:rsidP="009D3E6F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 w:cs="URWPalladioL-Roma"/>
                <w:szCs w:val="18"/>
              </w:rPr>
            </w:pPr>
            <w:r w:rsidRPr="000C116C">
              <w:rPr>
                <w:rFonts w:ascii="Palatino Linotype" w:hAnsi="Palatino Linotype" w:cs="URWPalladioL-Roma"/>
                <w:szCs w:val="18"/>
              </w:rPr>
              <w:t>High autonomy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F" w:rsidRPr="00CD2640" w:rsidRDefault="00FE7FE1" w:rsidP="009D3E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4.08 (2.62, 6.37</w:t>
            </w:r>
            <w:r w:rsidR="009D3E6F" w:rsidRPr="00A14DAE">
              <w:rPr>
                <w:rFonts w:ascii="Palatino Linotype" w:hAnsi="Palatino Linotype"/>
                <w:b/>
              </w:rPr>
              <w:t>)</w:t>
            </w:r>
            <w:r w:rsidR="009D3E6F" w:rsidRPr="00A14DAE">
              <w:rPr>
                <w:b/>
              </w:rPr>
              <w:t>***</w:t>
            </w:r>
          </w:p>
        </w:tc>
        <w:tc>
          <w:tcPr>
            <w:tcW w:w="14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E6F" w:rsidRPr="00CD2640" w:rsidRDefault="00ED799F" w:rsidP="009D3E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2.54 (1.63, 3.95</w:t>
            </w:r>
            <w:r w:rsidR="009D3E6F" w:rsidRPr="00A14DAE">
              <w:rPr>
                <w:rFonts w:ascii="Palatino Linotype" w:hAnsi="Palatino Linotype"/>
                <w:b/>
              </w:rPr>
              <w:t>)</w:t>
            </w:r>
            <w:r w:rsidR="009D3E6F" w:rsidRPr="00A14DAE">
              <w:rPr>
                <w:b/>
              </w:rPr>
              <w:t>***</w:t>
            </w:r>
          </w:p>
        </w:tc>
      </w:tr>
      <w:tr w:rsidR="007F356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562" w:rsidRPr="007C31DD" w:rsidRDefault="007F3562" w:rsidP="007F3562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vertAlign w:val="superscript"/>
                <w:lang w:val="en-US" w:eastAsia="de-DE"/>
              </w:rPr>
            </w:pPr>
            <w:r w:rsidRPr="007C31DD">
              <w:rPr>
                <w:rFonts w:ascii="Palatino Linotype" w:hAnsi="Palatino Linotype"/>
                <w:b/>
                <w:bCs/>
                <w:sz w:val="24"/>
                <w:szCs w:val="24"/>
              </w:rPr>
              <w:t>Contextual community level factors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7F3562" w:rsidRPr="00CD2640" w:rsidTr="003C3083"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742DB4" w:rsidRDefault="007F3562" w:rsidP="007F3562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vertAlign w:val="superscript"/>
                <w:lang w:val="en-US" w:eastAsia="de-DE"/>
              </w:rPr>
            </w:pPr>
            <w:r w:rsidRPr="00742DB4">
              <w:rPr>
                <w:rFonts w:ascii="Palatino Linotype" w:hAnsi="Palatino Linotype"/>
                <w:b/>
                <w:szCs w:val="24"/>
              </w:rPr>
              <w:t>Place of residence</w:t>
            </w:r>
          </w:p>
        </w:tc>
        <w:tc>
          <w:tcPr>
            <w:tcW w:w="1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7F356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742DB4" w:rsidRDefault="007F3562" w:rsidP="007F3562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742DB4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Urban</w:t>
            </w: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 </w:t>
            </w:r>
            <w:r w:rsidRPr="00B34259">
              <w:rPr>
                <w:szCs w:val="24"/>
              </w:rPr>
              <w:t>(ref)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</w:tr>
      <w:tr w:rsidR="007F356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color w:val="000000"/>
                <w:vertAlign w:val="superscript"/>
                <w:lang w:val="en-US" w:eastAsia="de-DE"/>
              </w:rPr>
              <w:t xml:space="preserve"> </w:t>
            </w: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Rural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2" w:rsidRPr="00CD2640" w:rsidRDefault="00A321BC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0.15 (0.10, 0.22</w:t>
            </w:r>
            <w:r w:rsidR="00203169" w:rsidRPr="00440020">
              <w:rPr>
                <w:rFonts w:ascii="Palatino Linotype" w:hAnsi="Palatino Linotype"/>
                <w:b/>
              </w:rPr>
              <w:t>)</w:t>
            </w:r>
            <w:r w:rsidR="00203169" w:rsidRPr="00440020">
              <w:rPr>
                <w:b/>
              </w:rPr>
              <w:t>***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62" w:rsidRPr="00CD2640" w:rsidRDefault="00203169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0.02 (0.01, 0.04</w:t>
            </w:r>
            <w:r w:rsidRPr="00440020">
              <w:rPr>
                <w:rFonts w:ascii="Palatino Linotype" w:hAnsi="Palatino Linotype"/>
                <w:b/>
              </w:rPr>
              <w:t>)</w:t>
            </w:r>
            <w:r w:rsidRPr="00440020">
              <w:rPr>
                <w:b/>
              </w:rPr>
              <w:t>***</w:t>
            </w:r>
          </w:p>
        </w:tc>
      </w:tr>
      <w:tr w:rsidR="007F356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b/>
                <w:color w:val="000000"/>
                <w:lang w:val="en-US" w:eastAsia="de-DE"/>
              </w:rPr>
              <w:t>Contextual Regions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</w:p>
        </w:tc>
      </w:tr>
      <w:tr w:rsidR="007F3562" w:rsidRPr="00CD2640" w:rsidTr="003C3083">
        <w:tc>
          <w:tcPr>
            <w:tcW w:w="20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Agrarian</w:t>
            </w:r>
            <w:r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 </w:t>
            </w:r>
            <w:r w:rsidRPr="00B34259">
              <w:rPr>
                <w:szCs w:val="24"/>
              </w:rPr>
              <w:t>(ref)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  <w:tc>
          <w:tcPr>
            <w:tcW w:w="14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562" w:rsidRPr="00CD2640" w:rsidRDefault="007F3562" w:rsidP="007F35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5970E6">
              <w:t>1 (1,1)</w:t>
            </w:r>
          </w:p>
        </w:tc>
      </w:tr>
      <w:tr w:rsidR="00556E4E" w:rsidRPr="00CD2640" w:rsidTr="003C3083">
        <w:tc>
          <w:tcPr>
            <w:tcW w:w="208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4E" w:rsidRPr="00CD2640" w:rsidRDefault="00556E4E" w:rsidP="00556E4E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>Pastoralist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556E4E" w:rsidRPr="00CD2640" w:rsidRDefault="00552747" w:rsidP="00556E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0.58 (0.35, 0.95</w:t>
            </w:r>
            <w:r w:rsidR="00556E4E" w:rsidRPr="00440020">
              <w:rPr>
                <w:rFonts w:ascii="Palatino Linotype" w:hAnsi="Palatino Linotype"/>
                <w:b/>
              </w:rPr>
              <w:t>)</w:t>
            </w:r>
            <w:r>
              <w:rPr>
                <w:b/>
              </w:rPr>
              <w:t>**</w:t>
            </w:r>
          </w:p>
        </w:tc>
        <w:tc>
          <w:tcPr>
            <w:tcW w:w="14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4E" w:rsidRPr="00CD2640" w:rsidRDefault="00DC0A55" w:rsidP="00556E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0.36 (0.20, 0.67</w:t>
            </w:r>
            <w:r w:rsidR="00556E4E" w:rsidRPr="00440020">
              <w:rPr>
                <w:rFonts w:ascii="Palatino Linotype" w:hAnsi="Palatino Linotype"/>
                <w:b/>
              </w:rPr>
              <w:t>)</w:t>
            </w:r>
            <w:r w:rsidR="00556E4E" w:rsidRPr="00440020">
              <w:rPr>
                <w:b/>
              </w:rPr>
              <w:t>***</w:t>
            </w:r>
          </w:p>
        </w:tc>
      </w:tr>
      <w:tr w:rsidR="00556E4E" w:rsidRPr="00CD2640" w:rsidTr="003C3083">
        <w:tc>
          <w:tcPr>
            <w:tcW w:w="20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E4E" w:rsidRPr="00CD2640" w:rsidRDefault="00556E4E" w:rsidP="00556E4E">
            <w:pPr>
              <w:autoSpaceDE w:val="0"/>
              <w:autoSpaceDN w:val="0"/>
              <w:adjustRightInd w:val="0"/>
              <w:snapToGrid w:val="0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 w:rsidRPr="00CD2640">
              <w:rPr>
                <w:rFonts w:ascii="Palatino Linotype" w:eastAsia="Times New Roman" w:hAnsi="Palatino Linotype"/>
                <w:color w:val="000000"/>
                <w:lang w:val="en-US" w:eastAsia="de-DE"/>
              </w:rPr>
              <w:t xml:space="preserve">City dweller’s </w:t>
            </w:r>
          </w:p>
        </w:tc>
        <w:tc>
          <w:tcPr>
            <w:tcW w:w="14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6E4E" w:rsidRPr="00CD2640" w:rsidRDefault="00552747" w:rsidP="00556E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10.47 (5.30, 20.70</w:t>
            </w:r>
            <w:r w:rsidR="00556E4E" w:rsidRPr="00A14DAE">
              <w:rPr>
                <w:rFonts w:ascii="Palatino Linotype" w:hAnsi="Palatino Linotype"/>
                <w:b/>
              </w:rPr>
              <w:t>)</w:t>
            </w:r>
            <w:r w:rsidR="00556E4E" w:rsidRPr="00A14DAE">
              <w:rPr>
                <w:b/>
              </w:rPr>
              <w:t>***</w:t>
            </w:r>
          </w:p>
        </w:tc>
        <w:tc>
          <w:tcPr>
            <w:tcW w:w="146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E4E" w:rsidRPr="00CD2640" w:rsidRDefault="00DC0A55" w:rsidP="00556E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/>
                <w:color w:val="000000"/>
                <w:lang w:val="en-US" w:eastAsia="de-DE"/>
              </w:rPr>
            </w:pPr>
            <w:r>
              <w:rPr>
                <w:rFonts w:ascii="Palatino Linotype" w:hAnsi="Palatino Linotype"/>
                <w:b/>
              </w:rPr>
              <w:t>28.42 (10.95, 73.75</w:t>
            </w:r>
            <w:r w:rsidR="00556E4E" w:rsidRPr="00A14DAE">
              <w:rPr>
                <w:rFonts w:ascii="Palatino Linotype" w:hAnsi="Palatino Linotype"/>
                <w:b/>
              </w:rPr>
              <w:t>)</w:t>
            </w:r>
            <w:r w:rsidR="00556E4E" w:rsidRPr="00A14DAE">
              <w:rPr>
                <w:b/>
              </w:rPr>
              <w:t>***</w:t>
            </w:r>
          </w:p>
        </w:tc>
      </w:tr>
    </w:tbl>
    <w:p w:rsidR="0057497F" w:rsidRDefault="0047199B" w:rsidP="00BF6CEF">
      <w:pPr>
        <w:spacing w:after="0" w:line="240" w:lineRule="auto"/>
        <w:jc w:val="both"/>
      </w:pPr>
      <w:r w:rsidRPr="005C7B8F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Note: sig. at **sig. at 5% level; </w:t>
      </w:r>
      <w:r w:rsidR="00971212" w:rsidRPr="005C7B8F">
        <w:rPr>
          <w:rFonts w:ascii="Palatino Linotype" w:eastAsia="Times New Roman" w:hAnsi="Palatino Linotype" w:cs="Times New Roman"/>
          <w:color w:val="000000"/>
          <w:sz w:val="20"/>
          <w:szCs w:val="20"/>
          <w:lang w:eastAsia="de-DE"/>
        </w:rPr>
        <w:t xml:space="preserve">***sig. at 1% level; </w:t>
      </w:r>
      <w:r w:rsidRPr="00304843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ref = reference g</w:t>
      </w:r>
      <w:r w:rsidR="00F70279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roup; CI = Confidence Interval;</w:t>
      </w:r>
      <w:r w:rsidRPr="00304843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IPV = Intimate Partner Violence; ANC = Antenatal Care; </w:t>
      </w:r>
      <w:r w:rsidR="00BF6CEF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COR = </w:t>
      </w:r>
      <w:r w:rsidR="00BF6CEF">
        <w:rPr>
          <w:rFonts w:ascii="Times New Roman" w:hAnsi="Times New Roman"/>
          <w:sz w:val="24"/>
        </w:rPr>
        <w:t xml:space="preserve">Crude Odds Ratios. </w:t>
      </w:r>
    </w:p>
    <w:sectPr w:rsidR="0057497F" w:rsidSect="00EA6144">
      <w:footerReference w:type="default" r:id="rId6"/>
      <w:pgSz w:w="16838" w:h="11906" w:orient="landscape"/>
      <w:pgMar w:top="993" w:right="223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8D" w:rsidRDefault="0002308D" w:rsidP="00EB3D62">
      <w:pPr>
        <w:spacing w:after="0" w:line="240" w:lineRule="auto"/>
      </w:pPr>
      <w:r>
        <w:separator/>
      </w:r>
    </w:p>
  </w:endnote>
  <w:endnote w:type="continuationSeparator" w:id="0">
    <w:p w:rsidR="0002308D" w:rsidRDefault="0002308D" w:rsidP="00EB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39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D62" w:rsidRDefault="00EB3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D62" w:rsidRDefault="00EB3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8D" w:rsidRDefault="0002308D" w:rsidP="00EB3D62">
      <w:pPr>
        <w:spacing w:after="0" w:line="240" w:lineRule="auto"/>
      </w:pPr>
      <w:r>
        <w:separator/>
      </w:r>
    </w:p>
  </w:footnote>
  <w:footnote w:type="continuationSeparator" w:id="0">
    <w:p w:rsidR="0002308D" w:rsidRDefault="0002308D" w:rsidP="00EB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8C"/>
    <w:rsid w:val="00001500"/>
    <w:rsid w:val="0002308D"/>
    <w:rsid w:val="00025FC7"/>
    <w:rsid w:val="00035E7C"/>
    <w:rsid w:val="00071EF1"/>
    <w:rsid w:val="000C457A"/>
    <w:rsid w:val="000E6A1B"/>
    <w:rsid w:val="00117450"/>
    <w:rsid w:val="00122551"/>
    <w:rsid w:val="00142879"/>
    <w:rsid w:val="00153CAD"/>
    <w:rsid w:val="00166F84"/>
    <w:rsid w:val="001B0C95"/>
    <w:rsid w:val="001B0F18"/>
    <w:rsid w:val="001B6632"/>
    <w:rsid w:val="001E2294"/>
    <w:rsid w:val="00203169"/>
    <w:rsid w:val="00230252"/>
    <w:rsid w:val="002A3CF8"/>
    <w:rsid w:val="002F1419"/>
    <w:rsid w:val="00330A86"/>
    <w:rsid w:val="00342428"/>
    <w:rsid w:val="00353A43"/>
    <w:rsid w:val="003627F7"/>
    <w:rsid w:val="003C3083"/>
    <w:rsid w:val="003E6B81"/>
    <w:rsid w:val="00417027"/>
    <w:rsid w:val="00431359"/>
    <w:rsid w:val="00440020"/>
    <w:rsid w:val="00445E89"/>
    <w:rsid w:val="004557DB"/>
    <w:rsid w:val="004624B5"/>
    <w:rsid w:val="004636BA"/>
    <w:rsid w:val="0047199B"/>
    <w:rsid w:val="00471A05"/>
    <w:rsid w:val="004C29CC"/>
    <w:rsid w:val="004D06DE"/>
    <w:rsid w:val="0050681A"/>
    <w:rsid w:val="005339DB"/>
    <w:rsid w:val="00552747"/>
    <w:rsid w:val="00556E4E"/>
    <w:rsid w:val="0056752E"/>
    <w:rsid w:val="005C7701"/>
    <w:rsid w:val="005C7B8F"/>
    <w:rsid w:val="005E317F"/>
    <w:rsid w:val="00605171"/>
    <w:rsid w:val="0062089F"/>
    <w:rsid w:val="00635BEF"/>
    <w:rsid w:val="00637587"/>
    <w:rsid w:val="00664044"/>
    <w:rsid w:val="006707F2"/>
    <w:rsid w:val="006A515B"/>
    <w:rsid w:val="006B1EED"/>
    <w:rsid w:val="006C7251"/>
    <w:rsid w:val="006D7098"/>
    <w:rsid w:val="0070371D"/>
    <w:rsid w:val="00710A54"/>
    <w:rsid w:val="0071474F"/>
    <w:rsid w:val="0074378D"/>
    <w:rsid w:val="00771A5B"/>
    <w:rsid w:val="007B4D09"/>
    <w:rsid w:val="007F3562"/>
    <w:rsid w:val="00816D8B"/>
    <w:rsid w:val="00863857"/>
    <w:rsid w:val="0088721A"/>
    <w:rsid w:val="00895832"/>
    <w:rsid w:val="008C0E44"/>
    <w:rsid w:val="008D680E"/>
    <w:rsid w:val="008F5EB4"/>
    <w:rsid w:val="009657ED"/>
    <w:rsid w:val="00971212"/>
    <w:rsid w:val="00991736"/>
    <w:rsid w:val="009928B8"/>
    <w:rsid w:val="009B0D56"/>
    <w:rsid w:val="009B1547"/>
    <w:rsid w:val="009B43B4"/>
    <w:rsid w:val="009C2944"/>
    <w:rsid w:val="009D3E6F"/>
    <w:rsid w:val="009E096A"/>
    <w:rsid w:val="009F505F"/>
    <w:rsid w:val="00A14DAE"/>
    <w:rsid w:val="00A234AF"/>
    <w:rsid w:val="00A27244"/>
    <w:rsid w:val="00A321BC"/>
    <w:rsid w:val="00A32A20"/>
    <w:rsid w:val="00A3767A"/>
    <w:rsid w:val="00A42462"/>
    <w:rsid w:val="00A71AD7"/>
    <w:rsid w:val="00A862BA"/>
    <w:rsid w:val="00AB1551"/>
    <w:rsid w:val="00B25624"/>
    <w:rsid w:val="00BD3B22"/>
    <w:rsid w:val="00BE1885"/>
    <w:rsid w:val="00BF6CEF"/>
    <w:rsid w:val="00C56FD7"/>
    <w:rsid w:val="00C7057B"/>
    <w:rsid w:val="00CA4E8C"/>
    <w:rsid w:val="00CC6CE2"/>
    <w:rsid w:val="00CF3E06"/>
    <w:rsid w:val="00D02942"/>
    <w:rsid w:val="00D272E5"/>
    <w:rsid w:val="00D530AB"/>
    <w:rsid w:val="00DC0A55"/>
    <w:rsid w:val="00DD108F"/>
    <w:rsid w:val="00DD5829"/>
    <w:rsid w:val="00DD5DB7"/>
    <w:rsid w:val="00DE758F"/>
    <w:rsid w:val="00E01331"/>
    <w:rsid w:val="00E75FE7"/>
    <w:rsid w:val="00EA6144"/>
    <w:rsid w:val="00EB1CA6"/>
    <w:rsid w:val="00EB3D62"/>
    <w:rsid w:val="00ED799F"/>
    <w:rsid w:val="00EF5D5E"/>
    <w:rsid w:val="00F2024C"/>
    <w:rsid w:val="00F70279"/>
    <w:rsid w:val="00FA1788"/>
    <w:rsid w:val="00FA70CB"/>
    <w:rsid w:val="00FB2ADA"/>
    <w:rsid w:val="00FD5711"/>
    <w:rsid w:val="00FE63F9"/>
    <w:rsid w:val="00FE7FE1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7A9C0-4DC4-443E-9FBE-68948E0E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E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62"/>
  </w:style>
  <w:style w:type="paragraph" w:styleId="Footer">
    <w:name w:val="footer"/>
    <w:basedOn w:val="Normal"/>
    <w:link w:val="FooterChar"/>
    <w:uiPriority w:val="99"/>
    <w:unhideWhenUsed/>
    <w:rsid w:val="00EB3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62"/>
  </w:style>
  <w:style w:type="paragraph" w:customStyle="1" w:styleId="Default">
    <w:name w:val="Default"/>
    <w:rsid w:val="00330A8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 K Ousman</dc:creator>
  <cp:keywords/>
  <dc:description/>
  <cp:lastModifiedBy>Seman K Ousman</cp:lastModifiedBy>
  <cp:revision>2</cp:revision>
  <dcterms:created xsi:type="dcterms:W3CDTF">2022-06-23T08:17:00Z</dcterms:created>
  <dcterms:modified xsi:type="dcterms:W3CDTF">2022-06-23T08:17:00Z</dcterms:modified>
</cp:coreProperties>
</file>