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24" w:rsidRPr="00ED402D" w:rsidRDefault="00BB6524" w:rsidP="00BB6524">
      <w:pPr>
        <w:shd w:val="clear" w:color="auto" w:fill="FFFFFF"/>
        <w:snapToGrid w:val="0"/>
        <w:spacing w:after="0" w:line="480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bookmarkStart w:id="0" w:name="_Hlk95399382"/>
      <w:r w:rsidRPr="00ED402D"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S2</w:t>
      </w: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D402D">
        <w:rPr>
          <w:rFonts w:ascii="Times New Roman" w:eastAsia="휴먼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Table. Association between annual average concentration before symptom date and all-cause death at different time points.</w:t>
      </w:r>
    </w:p>
    <w:bookmarkEnd w:id="0"/>
    <w:tbl>
      <w:tblPr>
        <w:tblOverlap w:val="never"/>
        <w:tblW w:w="9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2500"/>
        <w:gridCol w:w="1275"/>
        <w:gridCol w:w="3303"/>
        <w:gridCol w:w="863"/>
      </w:tblGrid>
      <w:tr w:rsidR="00BB6524" w:rsidRPr="00ED402D" w:rsidTr="001D64E6">
        <w:trPr>
          <w:trHeight w:val="391"/>
        </w:trPr>
        <w:tc>
          <w:tcPr>
            <w:tcW w:w="132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All-cause death up to 30-day</w:t>
            </w:r>
          </w:p>
        </w:tc>
        <w:tc>
          <w:tcPr>
            <w:tcW w:w="4166" w:type="dxa"/>
            <w:gridSpan w:val="2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All-cause death after 30-day to one year</w:t>
            </w:r>
          </w:p>
        </w:tc>
      </w:tr>
      <w:tr w:rsidR="00BB6524" w:rsidRPr="00ED402D" w:rsidTr="001D64E6">
        <w:trPr>
          <w:trHeight w:val="391"/>
        </w:trPr>
        <w:tc>
          <w:tcPr>
            <w:tcW w:w="1328" w:type="dxa"/>
            <w:tcBorders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Hazard Ratio (95% CI)</w:t>
            </w:r>
          </w:p>
        </w:tc>
        <w:tc>
          <w:tcPr>
            <w:tcW w:w="1275" w:type="dxa"/>
            <w:tcBorders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P-value</w:t>
            </w:r>
          </w:p>
        </w:tc>
        <w:tc>
          <w:tcPr>
            <w:tcW w:w="3303" w:type="dxa"/>
            <w:tcBorders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Hazard Ratio (95% CI)</w:t>
            </w:r>
          </w:p>
        </w:tc>
        <w:tc>
          <w:tcPr>
            <w:tcW w:w="863" w:type="dxa"/>
            <w:tcBorders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P-value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, ppb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1.084 (1.016 - 1.157)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0.015</w:t>
            </w:r>
          </w:p>
        </w:tc>
        <w:tc>
          <w:tcPr>
            <w:tcW w:w="3303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1.008 (0.931 - 1.092)</w:t>
            </w:r>
          </w:p>
        </w:tc>
        <w:tc>
          <w:tcPr>
            <w:tcW w:w="863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0.844</w:t>
            </w:r>
          </w:p>
        </w:tc>
      </w:tr>
      <w:tr w:rsidR="00BB6524" w:rsidRPr="00ED402D" w:rsidTr="001D64E6">
        <w:trPr>
          <w:trHeight w:val="248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0.924 (0.737 - 1.159)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0.494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1.041 (0.843 - 1.285)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0.711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0.971 (0.771 - 1.224)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0.805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0.932 (0.738 - 1.176)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0.553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1.539 (1.186 - 1.996)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0.978 (0.729 - 1.312)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0.882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1.560 (1.164 - 2.092)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0.003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1.084 (0.770 - 1.527)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0.644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CO, 0.1 ppm</w:t>
            </w:r>
          </w:p>
        </w:tc>
        <w:tc>
          <w:tcPr>
            <w:tcW w:w="25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0.979 (0.919 - 1.043)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0.515</w:t>
            </w:r>
          </w:p>
        </w:tc>
        <w:tc>
          <w:tcPr>
            <w:tcW w:w="33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1.020 (0.937 - 1.110)</w:t>
            </w:r>
          </w:p>
        </w:tc>
        <w:tc>
          <w:tcPr>
            <w:tcW w:w="8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0.650</w:t>
            </w:r>
          </w:p>
        </w:tc>
      </w:tr>
      <w:tr w:rsidR="00BB6524" w:rsidRPr="00ED402D" w:rsidTr="001D64E6">
        <w:trPr>
          <w:trHeight w:val="248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CO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CO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1.080 (0.835 - 1.397)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0.558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1.131 (0.889 - 1.439)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0.316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CO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0.958 (0.727 - 1.262)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0.762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0.973 (0.740 - 1.280)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0.844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CO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1.154 (0.870 - 1.530)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0.321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1.023 (0.756 - 1.384)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0.885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CO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1.066 (0.767 - 1.481)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0.705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0.784 (0.535 - 1.150)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0.214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, ppb</w:t>
            </w:r>
          </w:p>
        </w:tc>
        <w:tc>
          <w:tcPr>
            <w:tcW w:w="25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0.960 (0.933 - 0.987)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0.004</w:t>
            </w:r>
          </w:p>
        </w:tc>
        <w:tc>
          <w:tcPr>
            <w:tcW w:w="33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0.977 (0.943 - 1.012)</w:t>
            </w:r>
          </w:p>
        </w:tc>
        <w:tc>
          <w:tcPr>
            <w:tcW w:w="8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0.200</w:t>
            </w:r>
          </w:p>
        </w:tc>
      </w:tr>
      <w:tr w:rsidR="00BB6524" w:rsidRPr="00ED402D" w:rsidTr="001D64E6">
        <w:trPr>
          <w:trHeight w:val="248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0.604 (0.472 - 0.772)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&lt;0.001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1.522 (1.065 - 2.175)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0.021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0.511 (0.380 - 0.686)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&lt;0.001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1.485 (0.972 - 2.268)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0.068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0.586 (0.425 - 0.807)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1.216 (0.779 - 1.900)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0.389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0.644 (0.448 - 0.926)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0.942 (0.576 - 1.542)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0.813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, ppb</w:t>
            </w:r>
          </w:p>
        </w:tc>
        <w:tc>
          <w:tcPr>
            <w:tcW w:w="25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1.000 (0.985 - 1.015)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0.993</w:t>
            </w:r>
          </w:p>
        </w:tc>
        <w:tc>
          <w:tcPr>
            <w:tcW w:w="33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0.981 (0.962 - 1.000)</w:t>
            </w:r>
          </w:p>
        </w:tc>
        <w:tc>
          <w:tcPr>
            <w:tcW w:w="8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0.054</w:t>
            </w:r>
          </w:p>
        </w:tc>
      </w:tr>
      <w:tr w:rsidR="00BB6524" w:rsidRPr="00ED402D" w:rsidTr="001D64E6">
        <w:trPr>
          <w:trHeight w:val="248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0.733 (0.571 - 0.940)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0.014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1.061 (0.830 - 1.356)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0.638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0.848 (0.642 - 1.121)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0.247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0.972 (0.721 - 1.311)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0.851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0.795 (0.520 - 1.214)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0.288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1.056 (0.673 - 1.658)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0.813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0.991 (0.610 - 1.611)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0.654 (0.378 - 1.133)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0.130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PM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㎍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㎥</w:t>
            </w:r>
          </w:p>
        </w:tc>
        <w:tc>
          <w:tcPr>
            <w:tcW w:w="250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1.011 (1.002 - 1.021)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0.020</w:t>
            </w:r>
          </w:p>
        </w:tc>
        <w:tc>
          <w:tcPr>
            <w:tcW w:w="330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0.998 (0.987 - 1.009)</w:t>
            </w:r>
          </w:p>
        </w:tc>
        <w:tc>
          <w:tcPr>
            <w:tcW w:w="8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0.664</w:t>
            </w:r>
          </w:p>
        </w:tc>
      </w:tr>
      <w:tr w:rsidR="00BB6524" w:rsidRPr="00ED402D" w:rsidTr="001D64E6">
        <w:trPr>
          <w:trHeight w:val="248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PM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Reference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PM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0.885 (0.707 - 1.108)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0.285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1.242 (0.985 - 1.565)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0.067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PM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1.014 (0.798 - 1.289)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0.907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1.124 (0.879 - 1.438)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0.351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PM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1.465 (1.112 - 1.928)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0.007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1.015 (0.732 - 1.408)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0.928</w:t>
            </w:r>
          </w:p>
        </w:tc>
      </w:tr>
      <w:tr w:rsidR="00BB6524" w:rsidRPr="00ED402D" w:rsidTr="001D64E6">
        <w:trPr>
          <w:trHeight w:val="305"/>
        </w:trPr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PM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10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Q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vertAlign w:val="subscrip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1.804 (1.310 - 2.484)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&lt;0.001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0.718 (0.470 - 1.098)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0.126</w:t>
            </w:r>
          </w:p>
        </w:tc>
      </w:tr>
      <w:tr w:rsidR="00BB6524" w:rsidRPr="00ED402D" w:rsidTr="001D64E6">
        <w:trPr>
          <w:trHeight w:val="864"/>
        </w:trPr>
        <w:tc>
          <w:tcPr>
            <w:tcW w:w="926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Adjusted by Age, Sex, Body mass index, Smoker, 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hd w:val="clear" w:color="auto" w:fill="FFFFFF"/>
              </w:rPr>
              <w:t>ST-segment elevation myocardial infarction,</w:t>
            </w: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Hypertension, Diabetes mellitus, Dyslipidemia, Stroke, Heart failure, Previous ischemic heart disease, Percutaneous coronary intervention, multi-vessel disease, Left Main Disease, Cardiopulmonary resuscitation, Left ventricular ejection fraction and symptom date</w:t>
            </w:r>
          </w:p>
          <w:p w:rsidR="00BB6524" w:rsidRPr="00ED402D" w:rsidRDefault="00BB6524" w:rsidP="001D64E6">
            <w:pPr>
              <w:shd w:val="clear" w:color="auto" w:fill="FFFFFF"/>
              <w:wordWrap/>
              <w:spacing w:after="0" w:line="240" w:lineRule="auto"/>
              <w:textAlignment w:val="bottom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D402D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ppm; part per million, ppb; part per billion</w:t>
            </w:r>
          </w:p>
        </w:tc>
      </w:tr>
    </w:tbl>
    <w:p w:rsidR="00BB6524" w:rsidRPr="00952AA6" w:rsidRDefault="00BB6524" w:rsidP="00BB6524">
      <w:pPr>
        <w:shd w:val="clear" w:color="auto" w:fill="FFFFFF"/>
        <w:snapToGrid w:val="0"/>
        <w:spacing w:after="0" w:line="480" w:lineRule="auto"/>
        <w:ind w:left="200" w:hanging="200"/>
        <w:textAlignment w:val="baseline"/>
        <w:rPr>
          <w:rFonts w:ascii="Times New Roman" w:hAnsi="Times New Roman"/>
          <w:color w:val="000000"/>
          <w:kern w:val="0"/>
          <w:shd w:val="clear" w:color="auto" w:fill="FFFFFF"/>
        </w:rPr>
      </w:pPr>
    </w:p>
    <w:p w:rsidR="00035564" w:rsidRPr="00BB6524" w:rsidRDefault="00035564" w:rsidP="00BB6524">
      <w:pPr>
        <w:widowControl/>
        <w:wordWrap/>
        <w:autoSpaceDE/>
        <w:autoSpaceDN/>
        <w:rPr>
          <w:rFonts w:ascii="Times New Roman" w:hAnsi="Times New Roman" w:hint="eastAsia"/>
          <w:color w:val="000000"/>
          <w:kern w:val="0"/>
          <w:shd w:val="clear" w:color="auto" w:fill="FFFFFF"/>
        </w:rPr>
      </w:pPr>
      <w:bookmarkStart w:id="1" w:name="_GoBack"/>
      <w:bookmarkEnd w:id="1"/>
    </w:p>
    <w:sectPr w:rsidR="00035564" w:rsidRPr="00BB65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24"/>
    <w:rsid w:val="00035564"/>
    <w:rsid w:val="00B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0B85"/>
  <w15:chartTrackingRefBased/>
  <w15:docId w15:val="{102DF00E-E759-45FC-A385-43E93D1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5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2022-07-21T01:37:00Z</dcterms:created>
  <dcterms:modified xsi:type="dcterms:W3CDTF">2022-07-21T01:38:00Z</dcterms:modified>
</cp:coreProperties>
</file>