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053" w14:textId="77777777" w:rsidR="001D266E" w:rsidRPr="00B35E95" w:rsidRDefault="001D266E" w:rsidP="001D26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S9</w:t>
      </w:r>
      <w:r w:rsidRPr="00B35E95">
        <w:rPr>
          <w:rFonts w:ascii="Times New Roman" w:hAnsi="Times New Roman" w:cs="Times New Roman"/>
          <w:b/>
          <w:bCs/>
          <w:sz w:val="24"/>
          <w:szCs w:val="24"/>
        </w:rPr>
        <w:t xml:space="preserve"> Table. Independent predictors for total in-hospital non-fatal complications (multivariable model not including CCI) * in women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62C6F" w14:textId="77777777" w:rsidR="001D266E" w:rsidRPr="00B35E95" w:rsidRDefault="001D266E" w:rsidP="001D266E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4111"/>
        <w:gridCol w:w="1275"/>
      </w:tblGrid>
      <w:tr w:rsidR="001D266E" w:rsidRPr="00B35E95" w14:paraId="17864C80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C638594" w14:textId="77777777" w:rsidR="001D266E" w:rsidRPr="002D7A2D" w:rsidRDefault="001D266E" w:rsidP="006230B8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2D7A2D">
              <w:rPr>
                <w:rFonts w:ascii="Times New Roman" w:hAnsi="Times New Roman" w:cs="Times New Roman"/>
                <w:b/>
                <w:bCs/>
                <w:lang w:val="en-AU"/>
              </w:rPr>
              <w:t>Parameters</w:t>
            </w:r>
          </w:p>
        </w:tc>
        <w:tc>
          <w:tcPr>
            <w:tcW w:w="4111" w:type="dxa"/>
            <w:vAlign w:val="bottom"/>
          </w:tcPr>
          <w:p w14:paraId="01083DEF" w14:textId="77777777" w:rsidR="001D266E" w:rsidRPr="002D7A2D" w:rsidRDefault="001D266E" w:rsidP="006230B8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2D7A2D">
              <w:rPr>
                <w:rFonts w:ascii="Times New Roman" w:hAnsi="Times New Roman" w:cs="Times New Roman"/>
                <w:b/>
                <w:bCs/>
                <w:lang w:val="en-AU"/>
              </w:rPr>
              <w:t>Odds ratio (95% CI)</w:t>
            </w:r>
          </w:p>
        </w:tc>
        <w:tc>
          <w:tcPr>
            <w:tcW w:w="1275" w:type="dxa"/>
            <w:vAlign w:val="bottom"/>
          </w:tcPr>
          <w:p w14:paraId="343CB206" w14:textId="77777777" w:rsidR="001D266E" w:rsidRPr="002D7A2D" w:rsidRDefault="001D266E" w:rsidP="006230B8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2D7A2D">
              <w:rPr>
                <w:rFonts w:ascii="Times New Roman" w:hAnsi="Times New Roman" w:cs="Times New Roman"/>
                <w:b/>
                <w:bCs/>
                <w:lang w:val="en-AU"/>
              </w:rPr>
              <w:t>P value</w:t>
            </w:r>
          </w:p>
        </w:tc>
      </w:tr>
      <w:tr w:rsidR="001D266E" w:rsidRPr="00B35E95" w14:paraId="2B8F7F86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163191F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Age – per 1-year increase</w:t>
            </w:r>
          </w:p>
        </w:tc>
        <w:tc>
          <w:tcPr>
            <w:tcW w:w="4111" w:type="dxa"/>
            <w:vAlign w:val="bottom"/>
          </w:tcPr>
          <w:p w14:paraId="06B8BF0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0.98 (0.98 – 0.99)</w:t>
            </w:r>
          </w:p>
        </w:tc>
        <w:tc>
          <w:tcPr>
            <w:tcW w:w="1275" w:type="dxa"/>
            <w:vAlign w:val="bottom"/>
          </w:tcPr>
          <w:p w14:paraId="7885440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21A3A53A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3B1BF1C0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Year of admission</w:t>
            </w:r>
          </w:p>
        </w:tc>
        <w:tc>
          <w:tcPr>
            <w:tcW w:w="4111" w:type="dxa"/>
            <w:vAlign w:val="bottom"/>
          </w:tcPr>
          <w:p w14:paraId="3A1623D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75" w:type="dxa"/>
            <w:vAlign w:val="bottom"/>
          </w:tcPr>
          <w:p w14:paraId="7E691DA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1A2F40FF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E066AD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2009</w:t>
            </w:r>
          </w:p>
        </w:tc>
        <w:tc>
          <w:tcPr>
            <w:tcW w:w="4111" w:type="dxa"/>
            <w:vAlign w:val="bottom"/>
          </w:tcPr>
          <w:p w14:paraId="773D08C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1.00 (</w:t>
            </w:r>
            <w:r>
              <w:rPr>
                <w:rFonts w:ascii="Times New Roman" w:hAnsi="Times New Roman" w:cs="Times New Roman"/>
                <w:lang w:val="en-AU"/>
              </w:rPr>
              <w:t>r</w:t>
            </w:r>
            <w:r w:rsidRPr="002D7A2D">
              <w:rPr>
                <w:rFonts w:ascii="Times New Roman" w:hAnsi="Times New Roman" w:cs="Times New Roman"/>
                <w:lang w:val="en-AU"/>
              </w:rPr>
              <w:t>eference)</w:t>
            </w:r>
          </w:p>
        </w:tc>
        <w:tc>
          <w:tcPr>
            <w:tcW w:w="1275" w:type="dxa"/>
            <w:vAlign w:val="bottom"/>
          </w:tcPr>
          <w:p w14:paraId="7B878CB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D266E" w:rsidRPr="00B35E95" w14:paraId="462C63A0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1DD46B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2010</w:t>
            </w:r>
          </w:p>
        </w:tc>
        <w:tc>
          <w:tcPr>
            <w:tcW w:w="4111" w:type="dxa"/>
            <w:vAlign w:val="bottom"/>
          </w:tcPr>
          <w:p w14:paraId="40EF7AC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0.84 (0.62 – 1.13)</w:t>
            </w:r>
          </w:p>
        </w:tc>
        <w:tc>
          <w:tcPr>
            <w:tcW w:w="1275" w:type="dxa"/>
            <w:vAlign w:val="bottom"/>
          </w:tcPr>
          <w:p w14:paraId="3E4708E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0.24</w:t>
            </w:r>
          </w:p>
        </w:tc>
      </w:tr>
      <w:tr w:rsidR="001D266E" w:rsidRPr="00B35E95" w14:paraId="15F79D6A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FF6BA55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2011</w:t>
            </w:r>
          </w:p>
        </w:tc>
        <w:tc>
          <w:tcPr>
            <w:tcW w:w="4111" w:type="dxa"/>
            <w:vAlign w:val="bottom"/>
          </w:tcPr>
          <w:p w14:paraId="2757141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0.91 (0.68 – 1.23)</w:t>
            </w:r>
          </w:p>
        </w:tc>
        <w:tc>
          <w:tcPr>
            <w:tcW w:w="1275" w:type="dxa"/>
            <w:vAlign w:val="bottom"/>
          </w:tcPr>
          <w:p w14:paraId="52AB701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0.53</w:t>
            </w:r>
          </w:p>
        </w:tc>
      </w:tr>
      <w:tr w:rsidR="001D266E" w:rsidRPr="00B35E95" w14:paraId="64B917BD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575E9F6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2012</w:t>
            </w:r>
          </w:p>
        </w:tc>
        <w:tc>
          <w:tcPr>
            <w:tcW w:w="4111" w:type="dxa"/>
            <w:vAlign w:val="bottom"/>
          </w:tcPr>
          <w:p w14:paraId="64173A7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0.92 (0.69 – 1.23)</w:t>
            </w:r>
          </w:p>
        </w:tc>
        <w:tc>
          <w:tcPr>
            <w:tcW w:w="1275" w:type="dxa"/>
            <w:vAlign w:val="bottom"/>
          </w:tcPr>
          <w:p w14:paraId="6A29E81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0.57</w:t>
            </w:r>
          </w:p>
        </w:tc>
      </w:tr>
      <w:tr w:rsidR="001D266E" w:rsidRPr="00B35E95" w14:paraId="542109B1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BD08AA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2013</w:t>
            </w:r>
          </w:p>
        </w:tc>
        <w:tc>
          <w:tcPr>
            <w:tcW w:w="4111" w:type="dxa"/>
            <w:vAlign w:val="bottom"/>
          </w:tcPr>
          <w:p w14:paraId="7A63C5B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0.87 (0.65 – 1.18)</w:t>
            </w:r>
          </w:p>
        </w:tc>
        <w:tc>
          <w:tcPr>
            <w:tcW w:w="1275" w:type="dxa"/>
            <w:vAlign w:val="bottom"/>
          </w:tcPr>
          <w:p w14:paraId="60A5CFC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0.36</w:t>
            </w:r>
          </w:p>
        </w:tc>
      </w:tr>
      <w:tr w:rsidR="001D266E" w:rsidRPr="00B35E95" w14:paraId="630F010B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27DA39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2014</w:t>
            </w:r>
          </w:p>
        </w:tc>
        <w:tc>
          <w:tcPr>
            <w:tcW w:w="4111" w:type="dxa"/>
            <w:vAlign w:val="bottom"/>
          </w:tcPr>
          <w:p w14:paraId="78F8CA7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0.94 (0.71 – 1.25)</w:t>
            </w:r>
          </w:p>
        </w:tc>
        <w:tc>
          <w:tcPr>
            <w:tcW w:w="1275" w:type="dxa"/>
            <w:vAlign w:val="bottom"/>
          </w:tcPr>
          <w:p w14:paraId="7B7C1A6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0.67</w:t>
            </w:r>
          </w:p>
        </w:tc>
      </w:tr>
      <w:tr w:rsidR="001D266E" w:rsidRPr="00B35E95" w14:paraId="5537F62D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51A7F26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2015</w:t>
            </w:r>
          </w:p>
        </w:tc>
        <w:tc>
          <w:tcPr>
            <w:tcW w:w="4111" w:type="dxa"/>
            <w:vAlign w:val="bottom"/>
          </w:tcPr>
          <w:p w14:paraId="330BAA2B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0.85 (0.64 – 1.14)</w:t>
            </w:r>
          </w:p>
        </w:tc>
        <w:tc>
          <w:tcPr>
            <w:tcW w:w="1275" w:type="dxa"/>
            <w:vAlign w:val="bottom"/>
          </w:tcPr>
          <w:p w14:paraId="618C0F6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0.28</w:t>
            </w:r>
          </w:p>
        </w:tc>
      </w:tr>
      <w:tr w:rsidR="001D266E" w:rsidRPr="00B35E95" w14:paraId="7C7DDED0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5EEBFDA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2016</w:t>
            </w:r>
          </w:p>
        </w:tc>
        <w:tc>
          <w:tcPr>
            <w:tcW w:w="4111" w:type="dxa"/>
            <w:vAlign w:val="bottom"/>
          </w:tcPr>
          <w:p w14:paraId="1E6FD42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1.05 (0.79 – 1.39)</w:t>
            </w:r>
          </w:p>
        </w:tc>
        <w:tc>
          <w:tcPr>
            <w:tcW w:w="1275" w:type="dxa"/>
            <w:vAlign w:val="bottom"/>
          </w:tcPr>
          <w:p w14:paraId="432BA5A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0.74</w:t>
            </w:r>
          </w:p>
        </w:tc>
      </w:tr>
      <w:tr w:rsidR="001D266E" w:rsidRPr="00B35E95" w14:paraId="7CAA258A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03D9BCC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2017</w:t>
            </w:r>
          </w:p>
        </w:tc>
        <w:tc>
          <w:tcPr>
            <w:tcW w:w="4111" w:type="dxa"/>
            <w:vAlign w:val="bottom"/>
          </w:tcPr>
          <w:p w14:paraId="532C422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0.65 (0.48 – 0.88)</w:t>
            </w:r>
          </w:p>
        </w:tc>
        <w:tc>
          <w:tcPr>
            <w:tcW w:w="1275" w:type="dxa"/>
            <w:vAlign w:val="bottom"/>
          </w:tcPr>
          <w:p w14:paraId="63F3023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0.01</w:t>
            </w:r>
          </w:p>
        </w:tc>
      </w:tr>
      <w:tr w:rsidR="001D266E" w:rsidRPr="00B35E95" w14:paraId="0A797C2C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66F2C9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 xml:space="preserve">   2018</w:t>
            </w:r>
          </w:p>
        </w:tc>
        <w:tc>
          <w:tcPr>
            <w:tcW w:w="4111" w:type="dxa"/>
            <w:vAlign w:val="bottom"/>
          </w:tcPr>
          <w:p w14:paraId="120EC10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0.36 (0.24 – 0.53)</w:t>
            </w:r>
          </w:p>
        </w:tc>
        <w:tc>
          <w:tcPr>
            <w:tcW w:w="1275" w:type="dxa"/>
            <w:vAlign w:val="bottom"/>
          </w:tcPr>
          <w:p w14:paraId="5B0FDC0B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2292B8B9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19D663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Referral source</w:t>
            </w:r>
          </w:p>
        </w:tc>
        <w:tc>
          <w:tcPr>
            <w:tcW w:w="4111" w:type="dxa"/>
            <w:vAlign w:val="bottom"/>
          </w:tcPr>
          <w:p w14:paraId="3E676210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75" w:type="dxa"/>
            <w:vAlign w:val="bottom"/>
          </w:tcPr>
          <w:p w14:paraId="1F29D30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0.02</w:t>
            </w:r>
          </w:p>
        </w:tc>
      </w:tr>
      <w:tr w:rsidR="001D266E" w:rsidRPr="00B35E95" w14:paraId="664C18D7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1C5559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Emergency department</w:t>
            </w:r>
          </w:p>
        </w:tc>
        <w:tc>
          <w:tcPr>
            <w:tcW w:w="4111" w:type="dxa"/>
            <w:vAlign w:val="bottom"/>
          </w:tcPr>
          <w:p w14:paraId="3A726205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1.00 (</w:t>
            </w:r>
            <w:r>
              <w:rPr>
                <w:rFonts w:ascii="Times New Roman" w:hAnsi="Times New Roman" w:cs="Times New Roman"/>
                <w:lang w:val="en-AU"/>
              </w:rPr>
              <w:t>r</w:t>
            </w:r>
            <w:r w:rsidRPr="002D7A2D">
              <w:rPr>
                <w:rFonts w:ascii="Times New Roman" w:hAnsi="Times New Roman" w:cs="Times New Roman"/>
                <w:lang w:val="en-AU"/>
              </w:rPr>
              <w:t>eference)</w:t>
            </w:r>
          </w:p>
        </w:tc>
        <w:tc>
          <w:tcPr>
            <w:tcW w:w="1275" w:type="dxa"/>
            <w:vAlign w:val="bottom"/>
          </w:tcPr>
          <w:p w14:paraId="5127289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D266E" w:rsidRPr="00B35E95" w14:paraId="31A77962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061EBF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Elective</w:t>
            </w:r>
          </w:p>
        </w:tc>
        <w:tc>
          <w:tcPr>
            <w:tcW w:w="4111" w:type="dxa"/>
            <w:vAlign w:val="bottom"/>
          </w:tcPr>
          <w:p w14:paraId="17A61FE0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 0.72 (0.60 – 0.88)</w:t>
            </w:r>
          </w:p>
        </w:tc>
        <w:tc>
          <w:tcPr>
            <w:tcW w:w="1275" w:type="dxa"/>
            <w:vAlign w:val="bottom"/>
          </w:tcPr>
          <w:p w14:paraId="5B21903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381422F6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00E87CC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External hospital-referred</w:t>
            </w:r>
          </w:p>
        </w:tc>
        <w:tc>
          <w:tcPr>
            <w:tcW w:w="4111" w:type="dxa"/>
            <w:vAlign w:val="bottom"/>
          </w:tcPr>
          <w:p w14:paraId="7208499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 0.89 (0.74 – 1.07)</w:t>
            </w:r>
          </w:p>
        </w:tc>
        <w:tc>
          <w:tcPr>
            <w:tcW w:w="1275" w:type="dxa"/>
            <w:vAlign w:val="bottom"/>
          </w:tcPr>
          <w:p w14:paraId="42FB2701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0.23</w:t>
            </w:r>
          </w:p>
        </w:tc>
      </w:tr>
      <w:tr w:rsidR="001D266E" w:rsidRPr="00B35E95" w14:paraId="0D93D56F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778E09C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Others</w:t>
            </w:r>
          </w:p>
        </w:tc>
        <w:tc>
          <w:tcPr>
            <w:tcW w:w="4111" w:type="dxa"/>
            <w:vAlign w:val="bottom"/>
          </w:tcPr>
          <w:p w14:paraId="1F1A5CBB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 0.73 (0.33 – 1.61)</w:t>
            </w:r>
          </w:p>
        </w:tc>
        <w:tc>
          <w:tcPr>
            <w:tcW w:w="1275" w:type="dxa"/>
            <w:vAlign w:val="bottom"/>
          </w:tcPr>
          <w:p w14:paraId="51643D6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0.43</w:t>
            </w:r>
          </w:p>
        </w:tc>
      </w:tr>
      <w:tr w:rsidR="001D266E" w:rsidRPr="00B35E95" w14:paraId="58BD5546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B6FCE5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Unknown</w:t>
            </w:r>
          </w:p>
        </w:tc>
        <w:tc>
          <w:tcPr>
            <w:tcW w:w="4111" w:type="dxa"/>
            <w:vAlign w:val="bottom"/>
          </w:tcPr>
          <w:p w14:paraId="0B4B3F8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 1.06 (0.41 – 2.77)</w:t>
            </w:r>
          </w:p>
        </w:tc>
        <w:tc>
          <w:tcPr>
            <w:tcW w:w="1275" w:type="dxa"/>
            <w:vAlign w:val="bottom"/>
          </w:tcPr>
          <w:p w14:paraId="60D14E7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0.90</w:t>
            </w:r>
          </w:p>
        </w:tc>
      </w:tr>
      <w:tr w:rsidR="001D266E" w:rsidRPr="00B35E95" w14:paraId="403D8914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27D30E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Type of facility</w:t>
            </w:r>
          </w:p>
        </w:tc>
        <w:tc>
          <w:tcPr>
            <w:tcW w:w="4111" w:type="dxa"/>
            <w:vAlign w:val="bottom"/>
          </w:tcPr>
          <w:p w14:paraId="47CACD6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75" w:type="dxa"/>
            <w:vAlign w:val="bottom"/>
          </w:tcPr>
          <w:p w14:paraId="4A3722C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D266E" w:rsidRPr="00B35E95" w14:paraId="5612E39A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3C08FD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Public</w:t>
            </w:r>
          </w:p>
        </w:tc>
        <w:tc>
          <w:tcPr>
            <w:tcW w:w="4111" w:type="dxa"/>
            <w:vAlign w:val="bottom"/>
          </w:tcPr>
          <w:p w14:paraId="5D5C1C0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1.00 (</w:t>
            </w:r>
            <w:r>
              <w:rPr>
                <w:rFonts w:ascii="Times New Roman" w:hAnsi="Times New Roman" w:cs="Times New Roman"/>
                <w:lang w:val="en-AU"/>
              </w:rPr>
              <w:t>r</w:t>
            </w:r>
            <w:r w:rsidRPr="002D7A2D">
              <w:rPr>
                <w:rFonts w:ascii="Times New Roman" w:hAnsi="Times New Roman" w:cs="Times New Roman"/>
                <w:lang w:val="en-AU"/>
              </w:rPr>
              <w:t>eference)</w:t>
            </w:r>
          </w:p>
        </w:tc>
        <w:tc>
          <w:tcPr>
            <w:tcW w:w="1275" w:type="dxa"/>
            <w:vAlign w:val="bottom"/>
          </w:tcPr>
          <w:p w14:paraId="31AD07D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D266E" w:rsidRPr="00B35E95" w14:paraId="1465233C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DB267A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Private</w:t>
            </w:r>
          </w:p>
        </w:tc>
        <w:tc>
          <w:tcPr>
            <w:tcW w:w="4111" w:type="dxa"/>
            <w:vAlign w:val="bottom"/>
          </w:tcPr>
          <w:p w14:paraId="303E7FC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 xml:space="preserve">   0.73 (0.62 – 0.85)</w:t>
            </w:r>
          </w:p>
        </w:tc>
        <w:tc>
          <w:tcPr>
            <w:tcW w:w="1275" w:type="dxa"/>
            <w:vAlign w:val="bottom"/>
          </w:tcPr>
          <w:p w14:paraId="68B8CB8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6080240C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07056DD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Complete heart block</w:t>
            </w:r>
          </w:p>
        </w:tc>
        <w:tc>
          <w:tcPr>
            <w:tcW w:w="4111" w:type="dxa"/>
            <w:vAlign w:val="bottom"/>
          </w:tcPr>
          <w:p w14:paraId="7652CD8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1.31 (1.08 – 1.58)</w:t>
            </w:r>
          </w:p>
        </w:tc>
        <w:tc>
          <w:tcPr>
            <w:tcW w:w="1275" w:type="dxa"/>
            <w:vAlign w:val="bottom"/>
          </w:tcPr>
          <w:p w14:paraId="61A3B5B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0.01</w:t>
            </w:r>
          </w:p>
        </w:tc>
      </w:tr>
      <w:tr w:rsidR="001D266E" w:rsidRPr="00B35E95" w14:paraId="2AB828D4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2EF3BB0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Sick sinus syndrome</w:t>
            </w:r>
          </w:p>
        </w:tc>
        <w:tc>
          <w:tcPr>
            <w:tcW w:w="4111" w:type="dxa"/>
            <w:vAlign w:val="bottom"/>
          </w:tcPr>
          <w:p w14:paraId="575AA6C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0.96 (0.80 – 1.14)</w:t>
            </w:r>
          </w:p>
        </w:tc>
        <w:tc>
          <w:tcPr>
            <w:tcW w:w="1275" w:type="dxa"/>
            <w:vAlign w:val="bottom"/>
          </w:tcPr>
          <w:p w14:paraId="4BBCF2B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0.62</w:t>
            </w:r>
          </w:p>
        </w:tc>
      </w:tr>
      <w:tr w:rsidR="001D266E" w:rsidRPr="00B35E95" w14:paraId="68937EB0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7603186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Others</w:t>
            </w:r>
          </w:p>
        </w:tc>
        <w:tc>
          <w:tcPr>
            <w:tcW w:w="4111" w:type="dxa"/>
            <w:vAlign w:val="bottom"/>
          </w:tcPr>
          <w:p w14:paraId="6FCBAA30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0.91 (0.73 – 1.12)</w:t>
            </w:r>
          </w:p>
        </w:tc>
        <w:tc>
          <w:tcPr>
            <w:tcW w:w="1275" w:type="dxa"/>
            <w:vAlign w:val="bottom"/>
          </w:tcPr>
          <w:p w14:paraId="734CE8F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0.36</w:t>
            </w:r>
          </w:p>
        </w:tc>
      </w:tr>
      <w:tr w:rsidR="001D266E" w:rsidRPr="00B35E95" w14:paraId="3D31FEB1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D70101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Acute coronary syndrome</w:t>
            </w:r>
          </w:p>
        </w:tc>
        <w:tc>
          <w:tcPr>
            <w:tcW w:w="4111" w:type="dxa"/>
            <w:vAlign w:val="bottom"/>
          </w:tcPr>
          <w:p w14:paraId="4F26EAC5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1.33 (0.87 – 2.02)</w:t>
            </w:r>
          </w:p>
        </w:tc>
        <w:tc>
          <w:tcPr>
            <w:tcW w:w="1275" w:type="dxa"/>
            <w:vAlign w:val="bottom"/>
          </w:tcPr>
          <w:p w14:paraId="2309774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0.18</w:t>
            </w:r>
          </w:p>
        </w:tc>
      </w:tr>
      <w:tr w:rsidR="001D266E" w:rsidRPr="00B35E95" w14:paraId="61E7D2F7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4204979B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CABG</w:t>
            </w:r>
          </w:p>
        </w:tc>
        <w:tc>
          <w:tcPr>
            <w:tcW w:w="4111" w:type="dxa"/>
            <w:vAlign w:val="bottom"/>
          </w:tcPr>
          <w:p w14:paraId="4538DDD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0.99 (0.60 – 1.64)</w:t>
            </w:r>
          </w:p>
        </w:tc>
        <w:tc>
          <w:tcPr>
            <w:tcW w:w="1275" w:type="dxa"/>
            <w:vAlign w:val="bottom"/>
          </w:tcPr>
          <w:p w14:paraId="31A3545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0.96</w:t>
            </w:r>
          </w:p>
        </w:tc>
      </w:tr>
      <w:tr w:rsidR="001D266E" w:rsidRPr="00B35E95" w14:paraId="27B5DF47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595388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All cardiac valve surgery</w:t>
            </w:r>
          </w:p>
        </w:tc>
        <w:tc>
          <w:tcPr>
            <w:tcW w:w="4111" w:type="dxa"/>
            <w:vAlign w:val="bottom"/>
          </w:tcPr>
          <w:p w14:paraId="18A5807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2.15 (1.58 – 2.93)</w:t>
            </w:r>
          </w:p>
        </w:tc>
        <w:tc>
          <w:tcPr>
            <w:tcW w:w="1275" w:type="dxa"/>
            <w:vAlign w:val="bottom"/>
          </w:tcPr>
          <w:p w14:paraId="203EE3C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15392302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07437C4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TAVI</w:t>
            </w:r>
          </w:p>
        </w:tc>
        <w:tc>
          <w:tcPr>
            <w:tcW w:w="4111" w:type="dxa"/>
            <w:vAlign w:val="bottom"/>
          </w:tcPr>
          <w:p w14:paraId="4303E00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4.34 (2.16 – 8.70)</w:t>
            </w:r>
          </w:p>
        </w:tc>
        <w:tc>
          <w:tcPr>
            <w:tcW w:w="1275" w:type="dxa"/>
            <w:vAlign w:val="bottom"/>
          </w:tcPr>
          <w:p w14:paraId="06B6286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089E8B29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4C00B58E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Ischaemic heart disease</w:t>
            </w:r>
          </w:p>
        </w:tc>
        <w:tc>
          <w:tcPr>
            <w:tcW w:w="4111" w:type="dxa"/>
            <w:vAlign w:val="bottom"/>
          </w:tcPr>
          <w:p w14:paraId="5241DA6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1.05 (0.84 – 1.32)</w:t>
            </w:r>
          </w:p>
        </w:tc>
        <w:tc>
          <w:tcPr>
            <w:tcW w:w="1275" w:type="dxa"/>
            <w:vAlign w:val="bottom"/>
          </w:tcPr>
          <w:p w14:paraId="4364AF1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0.64</w:t>
            </w:r>
          </w:p>
        </w:tc>
      </w:tr>
      <w:tr w:rsidR="001D266E" w:rsidRPr="00B35E95" w14:paraId="492F645D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454D4A0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Congestive cardiac failure</w:t>
            </w:r>
          </w:p>
        </w:tc>
        <w:tc>
          <w:tcPr>
            <w:tcW w:w="4111" w:type="dxa"/>
            <w:vAlign w:val="bottom"/>
          </w:tcPr>
          <w:p w14:paraId="411E003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1.23 (0.99 – 1.52)</w:t>
            </w:r>
          </w:p>
        </w:tc>
        <w:tc>
          <w:tcPr>
            <w:tcW w:w="1275" w:type="dxa"/>
            <w:vAlign w:val="bottom"/>
          </w:tcPr>
          <w:p w14:paraId="36FAA8ED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0.06</w:t>
            </w:r>
          </w:p>
        </w:tc>
      </w:tr>
      <w:tr w:rsidR="001D266E" w:rsidRPr="00B35E95" w14:paraId="1CD86CF7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3A2A1C9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Stroke</w:t>
            </w:r>
          </w:p>
        </w:tc>
        <w:tc>
          <w:tcPr>
            <w:tcW w:w="4111" w:type="dxa"/>
            <w:vAlign w:val="bottom"/>
          </w:tcPr>
          <w:p w14:paraId="7C97169B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1.34 (0.82 – 2.19)</w:t>
            </w:r>
          </w:p>
        </w:tc>
        <w:tc>
          <w:tcPr>
            <w:tcW w:w="1275" w:type="dxa"/>
            <w:vAlign w:val="bottom"/>
          </w:tcPr>
          <w:p w14:paraId="4B4B250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0.25</w:t>
            </w:r>
          </w:p>
        </w:tc>
      </w:tr>
      <w:tr w:rsidR="001D266E" w:rsidRPr="00B35E95" w14:paraId="7A4E5DF9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35D8F70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Peripheral vascular disease</w:t>
            </w:r>
          </w:p>
        </w:tc>
        <w:tc>
          <w:tcPr>
            <w:tcW w:w="4111" w:type="dxa"/>
            <w:vAlign w:val="bottom"/>
          </w:tcPr>
          <w:p w14:paraId="5F89A35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2.33 (1.63 – 3.31)</w:t>
            </w:r>
          </w:p>
        </w:tc>
        <w:tc>
          <w:tcPr>
            <w:tcW w:w="1275" w:type="dxa"/>
            <w:vAlign w:val="bottom"/>
          </w:tcPr>
          <w:p w14:paraId="3E4BBAE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1FF5C29E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2B7817C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Valvular heart disease</w:t>
            </w:r>
          </w:p>
        </w:tc>
        <w:tc>
          <w:tcPr>
            <w:tcW w:w="4111" w:type="dxa"/>
            <w:vAlign w:val="bottom"/>
          </w:tcPr>
          <w:p w14:paraId="39355D7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1.37 (1.03 – 1.82)</w:t>
            </w:r>
          </w:p>
        </w:tc>
        <w:tc>
          <w:tcPr>
            <w:tcW w:w="1275" w:type="dxa"/>
            <w:vAlign w:val="bottom"/>
          </w:tcPr>
          <w:p w14:paraId="4F4EE00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0.03</w:t>
            </w:r>
          </w:p>
        </w:tc>
      </w:tr>
      <w:tr w:rsidR="001D266E" w:rsidRPr="00B35E95" w14:paraId="01D70C81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3237D8D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Prosthetic heart valve</w:t>
            </w:r>
          </w:p>
        </w:tc>
        <w:tc>
          <w:tcPr>
            <w:tcW w:w="4111" w:type="dxa"/>
            <w:vAlign w:val="bottom"/>
          </w:tcPr>
          <w:p w14:paraId="2386F88A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1.54 (0.98 – 2.41)</w:t>
            </w:r>
          </w:p>
        </w:tc>
        <w:tc>
          <w:tcPr>
            <w:tcW w:w="1275" w:type="dxa"/>
            <w:vAlign w:val="bottom"/>
          </w:tcPr>
          <w:p w14:paraId="0BF99BB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0.06</w:t>
            </w:r>
          </w:p>
        </w:tc>
      </w:tr>
      <w:tr w:rsidR="001D266E" w:rsidRPr="00B35E95" w14:paraId="1DDB7D28" w14:textId="77777777" w:rsidTr="006230B8">
        <w:trPr>
          <w:trHeight w:val="256"/>
        </w:trPr>
        <w:tc>
          <w:tcPr>
            <w:tcW w:w="3681" w:type="dxa"/>
            <w:vAlign w:val="bottom"/>
          </w:tcPr>
          <w:p w14:paraId="3207689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Atrial fibrillation/flutter</w:t>
            </w:r>
          </w:p>
        </w:tc>
        <w:tc>
          <w:tcPr>
            <w:tcW w:w="4111" w:type="dxa"/>
            <w:vAlign w:val="bottom"/>
          </w:tcPr>
          <w:p w14:paraId="614507E8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1.33 (1.13 – 1.55)</w:t>
            </w:r>
          </w:p>
        </w:tc>
        <w:tc>
          <w:tcPr>
            <w:tcW w:w="1275" w:type="dxa"/>
            <w:vAlign w:val="bottom"/>
          </w:tcPr>
          <w:p w14:paraId="304D3AF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6021FE83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085D2B3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>Hypertension</w:t>
            </w:r>
          </w:p>
        </w:tc>
        <w:tc>
          <w:tcPr>
            <w:tcW w:w="4111" w:type="dxa"/>
            <w:vAlign w:val="bottom"/>
          </w:tcPr>
          <w:p w14:paraId="794ED176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1.24 (1.05 – 1.46)</w:t>
            </w:r>
          </w:p>
        </w:tc>
        <w:tc>
          <w:tcPr>
            <w:tcW w:w="1275" w:type="dxa"/>
            <w:vAlign w:val="bottom"/>
          </w:tcPr>
          <w:p w14:paraId="5FC693D3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0.01</w:t>
            </w:r>
          </w:p>
        </w:tc>
      </w:tr>
      <w:tr w:rsidR="001D266E" w:rsidRPr="00B35E95" w14:paraId="73C3C154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132DC0E8" w14:textId="77777777" w:rsidR="001D266E" w:rsidRPr="002D7A2D" w:rsidRDefault="001D266E" w:rsidP="006230B8">
            <w:pPr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>Diabetes</w:t>
            </w:r>
          </w:p>
        </w:tc>
        <w:tc>
          <w:tcPr>
            <w:tcW w:w="4111" w:type="dxa"/>
            <w:vAlign w:val="bottom"/>
          </w:tcPr>
          <w:p w14:paraId="5D4E4B8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0.91 (0.75 – 1.10)</w:t>
            </w:r>
          </w:p>
        </w:tc>
        <w:tc>
          <w:tcPr>
            <w:tcW w:w="1275" w:type="dxa"/>
            <w:vAlign w:val="bottom"/>
          </w:tcPr>
          <w:p w14:paraId="1FB4BD02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0.33</w:t>
            </w:r>
          </w:p>
        </w:tc>
      </w:tr>
      <w:tr w:rsidR="001D266E" w:rsidRPr="00B35E95" w14:paraId="52F442F7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37DC97E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>Malignancy</w:t>
            </w:r>
          </w:p>
        </w:tc>
        <w:tc>
          <w:tcPr>
            <w:tcW w:w="4111" w:type="dxa"/>
            <w:vAlign w:val="bottom"/>
          </w:tcPr>
          <w:p w14:paraId="24BCFB7F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3.30 (1.90 – 5.75)</w:t>
            </w:r>
          </w:p>
        </w:tc>
        <w:tc>
          <w:tcPr>
            <w:tcW w:w="1275" w:type="dxa"/>
            <w:vAlign w:val="bottom"/>
          </w:tcPr>
          <w:p w14:paraId="01090AE9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</w:tr>
      <w:tr w:rsidR="001D266E" w:rsidRPr="00B35E95" w14:paraId="7EDE624C" w14:textId="77777777" w:rsidTr="006230B8">
        <w:trPr>
          <w:trHeight w:val="272"/>
        </w:trPr>
        <w:tc>
          <w:tcPr>
            <w:tcW w:w="3681" w:type="dxa"/>
            <w:vAlign w:val="bottom"/>
          </w:tcPr>
          <w:p w14:paraId="7FB9F20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>Chronic pulmonary disease</w:t>
            </w:r>
          </w:p>
        </w:tc>
        <w:tc>
          <w:tcPr>
            <w:tcW w:w="4111" w:type="dxa"/>
            <w:vAlign w:val="bottom"/>
          </w:tcPr>
          <w:p w14:paraId="1B868B87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1.20 (0.78 – 1.85)</w:t>
            </w:r>
          </w:p>
        </w:tc>
        <w:tc>
          <w:tcPr>
            <w:tcW w:w="1275" w:type="dxa"/>
            <w:vAlign w:val="bottom"/>
          </w:tcPr>
          <w:p w14:paraId="13A36820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0.41</w:t>
            </w:r>
          </w:p>
        </w:tc>
      </w:tr>
      <w:tr w:rsidR="001D266E" w:rsidRPr="00B35E95" w14:paraId="56FF9DC2" w14:textId="77777777" w:rsidTr="006230B8">
        <w:trPr>
          <w:trHeight w:val="272"/>
        </w:trPr>
        <w:tc>
          <w:tcPr>
            <w:tcW w:w="3681" w:type="dxa"/>
            <w:tcBorders>
              <w:bottom w:val="single" w:sz="4" w:space="0" w:color="auto"/>
            </w:tcBorders>
            <w:vAlign w:val="bottom"/>
          </w:tcPr>
          <w:p w14:paraId="346DF32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snapToGrid w:val="0"/>
                <w:color w:val="000000"/>
                <w:lang w:val="en-AU"/>
              </w:rPr>
              <w:t>Chronic kidney disease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916B8AC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1.23 (0.96 – 1.57)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7B78894" w14:textId="77777777" w:rsidR="001D266E" w:rsidRPr="002D7A2D" w:rsidRDefault="001D266E" w:rsidP="006230B8">
            <w:pPr>
              <w:rPr>
                <w:rFonts w:ascii="Times New Roman" w:hAnsi="Times New Roman" w:cs="Times New Roman"/>
                <w:lang w:val="en-AU"/>
              </w:rPr>
            </w:pPr>
            <w:r w:rsidRPr="002D7A2D">
              <w:rPr>
                <w:rFonts w:ascii="Times New Roman" w:hAnsi="Times New Roman" w:cs="Times New Roman"/>
                <w:lang w:val="en-AU"/>
              </w:rPr>
              <w:t>0.10</w:t>
            </w:r>
          </w:p>
        </w:tc>
      </w:tr>
      <w:tr w:rsidR="001D266E" w:rsidRPr="00B35E95" w14:paraId="3703E86C" w14:textId="77777777" w:rsidTr="006230B8">
        <w:trPr>
          <w:trHeight w:val="272"/>
        </w:trPr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40F64" w14:textId="77777777" w:rsidR="001D266E" w:rsidRPr="002D7A2D" w:rsidRDefault="001D266E" w:rsidP="006230B8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D7A2D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CABG, coronary artery bypass graft; CI, confidence interval; TAVI, transcutaneous aortic valve implantation.</w:t>
            </w:r>
          </w:p>
          <w:p w14:paraId="5EDF4917" w14:textId="77777777" w:rsidR="001D266E" w:rsidRPr="00B35E95" w:rsidRDefault="001D266E" w:rsidP="001D26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2D">
              <w:rPr>
                <w:rFonts w:ascii="Times New Roman" w:hAnsi="Times New Roman" w:cs="Times New Roman"/>
                <w:sz w:val="20"/>
                <w:szCs w:val="20"/>
              </w:rPr>
              <w:t xml:space="preserve">Multivariable binary logistic regression method was used to identify independent predictors for all in-hospital complications; only </w:t>
            </w:r>
            <w:proofErr w:type="spellStart"/>
            <w:r w:rsidRPr="002D7A2D">
              <w:rPr>
                <w:rFonts w:ascii="Times New Roman" w:hAnsi="Times New Roman" w:cs="Times New Roman"/>
                <w:sz w:val="20"/>
                <w:szCs w:val="20"/>
              </w:rPr>
              <w:t>univariables</w:t>
            </w:r>
            <w:proofErr w:type="spellEnd"/>
            <w:r w:rsidRPr="002D7A2D">
              <w:rPr>
                <w:rFonts w:ascii="Times New Roman" w:hAnsi="Times New Roman" w:cs="Times New Roman"/>
                <w:sz w:val="20"/>
                <w:szCs w:val="20"/>
              </w:rPr>
              <w:t xml:space="preserve"> with P&lt;0.05 were included in the multivariable analysis.</w:t>
            </w:r>
          </w:p>
        </w:tc>
      </w:tr>
    </w:tbl>
    <w:p w14:paraId="04C4F9A0" w14:textId="77777777" w:rsidR="002E114F" w:rsidRDefault="002E114F"/>
    <w:sectPr w:rsidR="002E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121"/>
    <w:multiLevelType w:val="hybridMultilevel"/>
    <w:tmpl w:val="E210238C"/>
    <w:lvl w:ilvl="0" w:tplc="C6E606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6E"/>
    <w:rsid w:val="000967AD"/>
    <w:rsid w:val="000A106F"/>
    <w:rsid w:val="001D266E"/>
    <w:rsid w:val="00286B0B"/>
    <w:rsid w:val="002E114F"/>
    <w:rsid w:val="00305F00"/>
    <w:rsid w:val="00352670"/>
    <w:rsid w:val="003A04BD"/>
    <w:rsid w:val="003B2A3F"/>
    <w:rsid w:val="005312FA"/>
    <w:rsid w:val="005A35BD"/>
    <w:rsid w:val="005C5CF4"/>
    <w:rsid w:val="00621BC1"/>
    <w:rsid w:val="00636011"/>
    <w:rsid w:val="006E5097"/>
    <w:rsid w:val="007427C9"/>
    <w:rsid w:val="008868AA"/>
    <w:rsid w:val="008C6B77"/>
    <w:rsid w:val="00995F26"/>
    <w:rsid w:val="00AD3323"/>
    <w:rsid w:val="00B9743A"/>
    <w:rsid w:val="00BF5607"/>
    <w:rsid w:val="00C3350E"/>
    <w:rsid w:val="00D61DD5"/>
    <w:rsid w:val="00EF1EBD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227D2"/>
  <w15:chartTrackingRefBased/>
  <w15:docId w15:val="{563DC3F3-C8E2-3C47-9257-32F9A2B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6E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6E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1D26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2022-03-29T05:04:00Z</dcterms:created>
  <dcterms:modified xsi:type="dcterms:W3CDTF">2022-03-29T05:05:00Z</dcterms:modified>
</cp:coreProperties>
</file>