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32" w:rsidRPr="00DB3BC3" w:rsidRDefault="000E4732" w:rsidP="00DB3BC3">
      <w:pPr>
        <w:rPr>
          <w:rFonts w:ascii="Times New Roman" w:eastAsia="Times New Roman" w:hAnsi="Times New Roman" w:cs="Times New Roman"/>
          <w:b/>
          <w:bCs/>
          <w:color w:val="000000"/>
          <w:lang w:val="en-US" w:bidi="ne-NP"/>
        </w:rPr>
      </w:pPr>
      <w:r w:rsidRPr="00DB3BC3">
        <w:rPr>
          <w:rFonts w:ascii="Times New Roman" w:hAnsi="Times New Roman" w:cs="Times New Roman"/>
          <w:b/>
          <w:lang w:val="en-US"/>
        </w:rPr>
        <w:t xml:space="preserve">Supplementary </w:t>
      </w:r>
      <w:r w:rsidR="007D1D26" w:rsidRPr="00DB3BC3">
        <w:rPr>
          <w:rFonts w:ascii="Times New Roman" w:hAnsi="Times New Roman" w:cs="Times New Roman"/>
          <w:b/>
          <w:bCs/>
        </w:rPr>
        <w:t>Table S2: Summ</w:t>
      </w:r>
      <w:bookmarkStart w:id="0" w:name="_GoBack"/>
      <w:bookmarkEnd w:id="0"/>
      <w:r w:rsidR="007D1D26" w:rsidRPr="00DB3BC3">
        <w:rPr>
          <w:rFonts w:ascii="Times New Roman" w:hAnsi="Times New Roman" w:cs="Times New Roman"/>
          <w:b/>
          <w:bCs/>
        </w:rPr>
        <w:t xml:space="preserve">ary of fungal secondary </w:t>
      </w:r>
      <w:r w:rsidRPr="00DB3BC3">
        <w:rPr>
          <w:rFonts w:ascii="Times New Roman" w:hAnsi="Times New Roman" w:cs="Times New Roman"/>
          <w:b/>
          <w:bCs/>
        </w:rPr>
        <w:t>infections, antifungal</w:t>
      </w:r>
      <w:r w:rsidRPr="00DB3BC3">
        <w:rPr>
          <w:rFonts w:ascii="Times New Roman" w:eastAsia="Times New Roman" w:hAnsi="Times New Roman" w:cs="Times New Roman"/>
          <w:b/>
          <w:bCs/>
          <w:color w:val="000000"/>
          <w:lang w:val="en-US" w:bidi="ne-NP"/>
        </w:rPr>
        <w:t xml:space="preserve"> therapy (AFT) used, duration of AFT and outcomes COVID-19 patients</w:t>
      </w:r>
    </w:p>
    <w:p w:rsidR="000E4732" w:rsidRPr="00516E46" w:rsidRDefault="000E4732" w:rsidP="000E4732">
      <w:pPr>
        <w:pStyle w:val="ListParagraph"/>
        <w:rPr>
          <w:rFonts w:ascii="Times New Roman" w:hAnsi="Times New Roman" w:cs="Times New Roman"/>
          <w:b/>
          <w:bCs/>
          <w:sz w:val="20"/>
          <w:szCs w:val="20"/>
        </w:rPr>
      </w:pPr>
    </w:p>
    <w:tbl>
      <w:tblPr>
        <w:tblStyle w:val="TableGrid"/>
        <w:tblW w:w="15570" w:type="dxa"/>
        <w:tblInd w:w="-635" w:type="dxa"/>
        <w:tblLayout w:type="fixed"/>
        <w:tblLook w:val="04A0" w:firstRow="1" w:lastRow="0" w:firstColumn="1" w:lastColumn="0" w:noHBand="0" w:noVBand="1"/>
      </w:tblPr>
      <w:tblGrid>
        <w:gridCol w:w="2790"/>
        <w:gridCol w:w="1951"/>
        <w:gridCol w:w="1701"/>
        <w:gridCol w:w="1418"/>
        <w:gridCol w:w="1860"/>
        <w:gridCol w:w="990"/>
        <w:gridCol w:w="1170"/>
        <w:gridCol w:w="630"/>
        <w:gridCol w:w="630"/>
        <w:gridCol w:w="720"/>
        <w:gridCol w:w="720"/>
        <w:gridCol w:w="990"/>
      </w:tblGrid>
      <w:tr w:rsidR="000E4732" w:rsidRPr="00516E46" w:rsidTr="000E4732">
        <w:trPr>
          <w:cantSplit/>
          <w:trHeight w:val="638"/>
        </w:trPr>
        <w:tc>
          <w:tcPr>
            <w:tcW w:w="2790" w:type="dxa"/>
            <w:vMerge w:val="restart"/>
            <w:shd w:val="clear" w:color="auto" w:fill="auto"/>
            <w:noWrap/>
          </w:tcPr>
          <w:p w:rsidR="000E4732" w:rsidRPr="00516E46" w:rsidRDefault="000E4732" w:rsidP="000E4732">
            <w:pP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First author, Country, Year</w:t>
            </w:r>
          </w:p>
        </w:tc>
        <w:tc>
          <w:tcPr>
            <w:tcW w:w="1951" w:type="dxa"/>
            <w:vMerge w:val="restart"/>
            <w:shd w:val="clear" w:color="auto" w:fill="auto"/>
            <w:noWrap/>
            <w:vAlign w:val="center"/>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Number of COVID-19 diagnosed with fungal co-infections</w:t>
            </w:r>
          </w:p>
        </w:tc>
        <w:tc>
          <w:tcPr>
            <w:tcW w:w="7139" w:type="dxa"/>
            <w:gridSpan w:val="5"/>
            <w:shd w:val="clear" w:color="auto" w:fill="auto"/>
            <w:noWrap/>
          </w:tcPr>
          <w:p w:rsidR="000E4732" w:rsidRPr="00516E46" w:rsidRDefault="000E4732" w:rsidP="000E4732">
            <w:pPr>
              <w:jc w:val="center"/>
              <w:rPr>
                <w:rFonts w:ascii="Times New Roman" w:eastAsia="Times New Roman" w:hAnsi="Times New Roman" w:cs="Times New Roman"/>
                <w:b/>
                <w:bCs/>
                <w:color w:val="000000"/>
                <w:sz w:val="20"/>
                <w:szCs w:val="20"/>
                <w:lang w:bidi="ne-NP"/>
              </w:rPr>
            </w:pPr>
            <w:r w:rsidRPr="00516E46">
              <w:rPr>
                <w:rFonts w:ascii="Times New Roman" w:eastAsia="Times New Roman" w:hAnsi="Times New Roman" w:cs="Times New Roman"/>
                <w:b/>
                <w:bCs/>
                <w:color w:val="000000"/>
                <w:sz w:val="20"/>
                <w:szCs w:val="20"/>
                <w:lang w:val="en-US" w:bidi="ne-NP"/>
              </w:rPr>
              <w:t>Patient prescribed with AFT</w:t>
            </w:r>
          </w:p>
        </w:tc>
        <w:tc>
          <w:tcPr>
            <w:tcW w:w="1260" w:type="dxa"/>
            <w:gridSpan w:val="2"/>
            <w:shd w:val="clear" w:color="auto" w:fill="auto"/>
          </w:tcPr>
          <w:p w:rsidR="000E4732" w:rsidRPr="00516E46" w:rsidRDefault="000E4732" w:rsidP="000E4732">
            <w:pPr>
              <w:jc w:val="center"/>
              <w:rPr>
                <w:rFonts w:ascii="Times New Roman" w:eastAsia="Times New Roman" w:hAnsi="Times New Roman" w:cs="Times New Roman"/>
                <w:b/>
                <w:bCs/>
                <w:color w:val="000000"/>
                <w:sz w:val="20"/>
                <w:szCs w:val="20"/>
                <w:lang w:bidi="ne-NP"/>
              </w:rPr>
            </w:pPr>
            <w:r w:rsidRPr="00516E46">
              <w:rPr>
                <w:rFonts w:ascii="Times New Roman" w:eastAsia="Times New Roman" w:hAnsi="Times New Roman" w:cs="Times New Roman"/>
                <w:b/>
                <w:bCs/>
                <w:color w:val="000000"/>
                <w:sz w:val="20"/>
                <w:szCs w:val="20"/>
                <w:lang w:bidi="ne-NP"/>
              </w:rPr>
              <w:t>Duration of AFT (days)</w:t>
            </w:r>
          </w:p>
        </w:tc>
        <w:tc>
          <w:tcPr>
            <w:tcW w:w="2430" w:type="dxa"/>
            <w:gridSpan w:val="3"/>
            <w:shd w:val="clear" w:color="auto" w:fill="auto"/>
            <w:noWrap/>
          </w:tcPr>
          <w:p w:rsidR="000E4732" w:rsidRPr="00516E46" w:rsidRDefault="000E4732" w:rsidP="000E4732">
            <w:pPr>
              <w:jc w:val="center"/>
              <w:rPr>
                <w:rFonts w:ascii="Times New Roman" w:eastAsia="Times New Roman" w:hAnsi="Times New Roman" w:cs="Times New Roman"/>
                <w:b/>
                <w:bCs/>
                <w:color w:val="000000"/>
                <w:sz w:val="20"/>
                <w:szCs w:val="20"/>
                <w:lang w:bidi="ne-NP"/>
              </w:rPr>
            </w:pPr>
            <w:r w:rsidRPr="00516E46">
              <w:rPr>
                <w:rFonts w:ascii="Times New Roman" w:eastAsia="Times New Roman" w:hAnsi="Times New Roman" w:cs="Times New Roman"/>
                <w:b/>
                <w:bCs/>
                <w:color w:val="000000"/>
                <w:sz w:val="20"/>
                <w:szCs w:val="20"/>
                <w:lang w:bidi="ne-NP"/>
              </w:rPr>
              <w:t>Outcomes</w:t>
            </w:r>
          </w:p>
          <w:p w:rsidR="000E4732" w:rsidRPr="00516E46" w:rsidRDefault="000E4732" w:rsidP="000E4732">
            <w:pPr>
              <w:jc w:val="center"/>
              <w:rPr>
                <w:rFonts w:ascii="Times New Roman" w:eastAsia="Times New Roman" w:hAnsi="Times New Roman" w:cs="Times New Roman"/>
                <w:b/>
                <w:bCs/>
                <w:color w:val="000000"/>
                <w:sz w:val="20"/>
                <w:szCs w:val="20"/>
                <w:lang w:bidi="ne-NP"/>
              </w:rPr>
            </w:pPr>
            <w:r w:rsidRPr="00516E46">
              <w:rPr>
                <w:rFonts w:ascii="Times New Roman" w:eastAsia="Times New Roman" w:hAnsi="Times New Roman" w:cs="Times New Roman"/>
                <w:b/>
                <w:bCs/>
                <w:color w:val="000000"/>
                <w:sz w:val="20"/>
                <w:szCs w:val="20"/>
                <w:lang w:bidi="ne-NP"/>
              </w:rPr>
              <w:t>(Patient with fungal co-infections)</w:t>
            </w:r>
          </w:p>
        </w:tc>
      </w:tr>
      <w:tr w:rsidR="000E4732" w:rsidRPr="00516E46" w:rsidTr="000E4732">
        <w:trPr>
          <w:cantSplit/>
          <w:trHeight w:val="1133"/>
        </w:trPr>
        <w:tc>
          <w:tcPr>
            <w:tcW w:w="2790" w:type="dxa"/>
            <w:vMerge/>
            <w:shd w:val="clear" w:color="auto" w:fill="auto"/>
            <w:noWrap/>
            <w:hideMark/>
          </w:tcPr>
          <w:p w:rsidR="000E4732" w:rsidRPr="00516E46" w:rsidRDefault="000E4732" w:rsidP="000E4732">
            <w:pPr>
              <w:rPr>
                <w:rFonts w:ascii="Times New Roman" w:eastAsia="Times New Roman" w:hAnsi="Times New Roman" w:cs="Times New Roman"/>
                <w:b/>
                <w:bCs/>
                <w:color w:val="000000"/>
                <w:sz w:val="18"/>
                <w:szCs w:val="18"/>
                <w:lang w:val="en-US" w:bidi="ne-NP"/>
              </w:rPr>
            </w:pPr>
          </w:p>
        </w:tc>
        <w:tc>
          <w:tcPr>
            <w:tcW w:w="1951" w:type="dxa"/>
            <w:vMerge/>
            <w:shd w:val="clear" w:color="auto" w:fill="auto"/>
            <w:noWrap/>
            <w:textDirection w:val="btLr"/>
            <w:vAlign w:val="center"/>
            <w:hideMark/>
          </w:tcPr>
          <w:p w:rsidR="000E4732" w:rsidRPr="00516E46" w:rsidRDefault="000E4732" w:rsidP="000E4732">
            <w:pPr>
              <w:ind w:left="113" w:right="113"/>
              <w:jc w:val="center"/>
              <w:rPr>
                <w:rFonts w:ascii="Times New Roman" w:eastAsia="Times New Roman" w:hAnsi="Times New Roman" w:cs="Times New Roman"/>
                <w:b/>
                <w:bCs/>
                <w:color w:val="000000"/>
                <w:sz w:val="18"/>
                <w:szCs w:val="18"/>
                <w:lang w:val="en-US" w:bidi="ne-NP"/>
              </w:rPr>
            </w:pPr>
          </w:p>
        </w:tc>
        <w:tc>
          <w:tcPr>
            <w:tcW w:w="170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Mono Therapy</w:t>
            </w:r>
          </w:p>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p>
        </w:tc>
        <w:tc>
          <w:tcPr>
            <w:tcW w:w="1418" w:type="dxa"/>
            <w:shd w:val="clear" w:color="auto" w:fill="auto"/>
            <w:vAlign w:val="center"/>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Dual therapy</w:t>
            </w:r>
          </w:p>
        </w:tc>
        <w:tc>
          <w:tcPr>
            <w:tcW w:w="1860" w:type="dxa"/>
            <w:shd w:val="clear" w:color="auto" w:fill="auto"/>
            <w:vAlign w:val="center"/>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Triple therapy and Quadruple therapy</w:t>
            </w:r>
          </w:p>
        </w:tc>
        <w:tc>
          <w:tcPr>
            <w:tcW w:w="990" w:type="dxa"/>
            <w:shd w:val="clear" w:color="auto" w:fill="auto"/>
            <w:vAlign w:val="center"/>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Unknown AFT</w:t>
            </w:r>
          </w:p>
        </w:tc>
        <w:tc>
          <w:tcPr>
            <w:tcW w:w="1170" w:type="dxa"/>
            <w:shd w:val="clear" w:color="auto" w:fill="auto"/>
            <w:vAlign w:val="center"/>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Patients without fungal therapy (NFT)</w:t>
            </w:r>
          </w:p>
        </w:tc>
        <w:tc>
          <w:tcPr>
            <w:tcW w:w="630" w:type="dxa"/>
            <w:shd w:val="clear" w:color="auto" w:fill="auto"/>
            <w:vAlign w:val="center"/>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 xml:space="preserve">≤28 </w:t>
            </w:r>
          </w:p>
        </w:tc>
        <w:tc>
          <w:tcPr>
            <w:tcW w:w="630" w:type="dxa"/>
            <w:shd w:val="clear" w:color="auto" w:fill="auto"/>
            <w:vAlign w:val="center"/>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&gt;28</w:t>
            </w:r>
          </w:p>
        </w:tc>
        <w:tc>
          <w:tcPr>
            <w:tcW w:w="720"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bidi="ne-NP"/>
              </w:rPr>
              <w:t>Death</w:t>
            </w:r>
          </w:p>
        </w:tc>
        <w:tc>
          <w:tcPr>
            <w:tcW w:w="720"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bidi="ne-NP"/>
              </w:rPr>
              <w:t>Alive</w:t>
            </w:r>
          </w:p>
        </w:tc>
        <w:tc>
          <w:tcPr>
            <w:tcW w:w="990"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bidi="ne-NP"/>
              </w:rPr>
              <w:t>Unknown</w:t>
            </w:r>
          </w:p>
        </w:tc>
      </w:tr>
      <w:tr w:rsidR="000E4732" w:rsidRPr="00516E46" w:rsidTr="000E4732">
        <w:trPr>
          <w:trHeight w:val="260"/>
        </w:trPr>
        <w:tc>
          <w:tcPr>
            <w:tcW w:w="15570" w:type="dxa"/>
            <w:gridSpan w:val="12"/>
            <w:shd w:val="clear" w:color="auto" w:fill="auto"/>
            <w:noWrap/>
            <w:vAlign w:val="center"/>
            <w:hideMark/>
          </w:tcPr>
          <w:p w:rsidR="000E4732" w:rsidRPr="00516E46" w:rsidRDefault="000E4732" w:rsidP="000E4732">
            <w:pPr>
              <w:rPr>
                <w:rFonts w:ascii="Times New Roman" w:eastAsia="Times New Roman" w:hAnsi="Times New Roman" w:cs="Times New Roman"/>
                <w:sz w:val="18"/>
                <w:szCs w:val="18"/>
                <w:lang w:val="en-US" w:bidi="ne-NP"/>
              </w:rPr>
            </w:pPr>
            <w:r w:rsidRPr="00516E46">
              <w:rPr>
                <w:rFonts w:ascii="Times New Roman" w:eastAsia="Times New Roman" w:hAnsi="Times New Roman" w:cs="Times New Roman"/>
                <w:b/>
                <w:bCs/>
                <w:color w:val="000000"/>
                <w:sz w:val="18"/>
                <w:szCs w:val="18"/>
                <w:lang w:val="en-US" w:bidi="ne-NP"/>
              </w:rPr>
              <w:t>Case Report:</w:t>
            </w:r>
          </w:p>
        </w:tc>
      </w:tr>
      <w:tr w:rsidR="000E4732" w:rsidRPr="00516E46" w:rsidTr="000E4732">
        <w:trPr>
          <w:trHeight w:val="174"/>
        </w:trPr>
        <w:tc>
          <w:tcPr>
            <w:tcW w:w="2790" w:type="dxa"/>
            <w:shd w:val="clear" w:color="auto" w:fill="auto"/>
            <w:noWrap/>
            <w:hideMark/>
          </w:tcPr>
          <w:p w:rsidR="000E4732" w:rsidRPr="00516E46" w:rsidRDefault="000E4732" w:rsidP="00276BAA">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Haglund A et al, Denmark, 2021</w:t>
            </w:r>
            <w:r w:rsidR="00276BAA" w:rsidRPr="00516E46">
              <w:rPr>
                <w:rFonts w:ascii="Times New Roman" w:hAnsi="Times New Roman" w:cs="Times New Roman"/>
                <w:sz w:val="18"/>
                <w:szCs w:val="18"/>
                <w:vertAlign w:val="superscript"/>
              </w:rPr>
              <w:t>23</w:t>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6"/>
                <w:szCs w:val="16"/>
                <w:lang w:val="en-US" w:bidi="ne-NP"/>
              </w:rPr>
              <w:t>(VOR)</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174"/>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Hakamifard A et al, Iran,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{"citationItems":[{"id":"ITEM-1","itemData":{"DOI":"10.1016/j.mycmed.2021.101124","ISSN":"17730449","PMID":"33684835","abstract":"Aspergillus infection is a well-known complication of severe influenza and severe acute respiratory syndrome coronavirus (SARS-CoV), and these infections have been related with significant morbidity and mortality even when appropriately diagnosed and treated. Recent studies have indicated that SARS-CoV-2 might increase the risk of invasive pulmonary aspergillosis (IPA). Here, we report the first case of Aspergillus ochraceus in a SARS-CoV-2 positive immunocompetent patient, which is complicated by pulmonary and brain infections. Proven IPA is supported by the positive Galactomannan test, culture-positive, and histopathological evidence. The patient did not respond to voriconazole, and liposomal amphotericin B was added to his anti-fungal regimen. Further studies are needed to evaluate the prevalence of IPA in immunocompetent patients infected with SARS-CoV-2. Consequently, testing for the incidence of Aspergillus species in lower respiratory secretions and Galactomannan test of COVID-19 patients with appropriate therapy and targeted anti-fungal therapy based on the primary clinical suspicion of IPA are highly recommended.","author":[{"dropping-particle":"","family":"Hakamifard","given":"Atousa","non-dropping-particle":"","parse-names":false,"suffix":""},{"dropping-particle":"","family":"Hashemi","given":"Marzieh","non-dropping-particle":"","parse-names":false,"suffix":""},{"dropping-particle":"","family":"Fakhim","given":"Hamed","non-dropping-particle":"","parse-names":false,"suffix":""},{"dropping-particle":"","family":"Aboutalebian","given":"Shima","non-dropping-particle":"","parse-names":false,"suffix":""},{"dropping-particle":"","family":"Hajiahmadi","given":"Somayeh","non-dropping-particle":"","parse-names":false,"suffix":""},{"dropping-particle":"","family":"Mohammadi","given":"Rasoul","non-dropping-particle":"","parse-names":false,"suffix":""}],"container-title":"Journal of Medical Mycology","id":"ITEM-1","issue":"2","issued":{"date-parts":[["2021"]]},"page":"101124","publisher":"Elsevier Masson SAS","title":"Fatal disseminated aspergillosis in an immunocompetent patient with COVID-19 due to Aspergillus ochraceus","type":"article-journal","volume":"31"},"uris":["http://www.mendeley.com/documents/?uuid=c22e9822-e24b-4b87-9639-474d5af47a7e"]}],"mendeley":{"formattedCitation":"[24]","plainTextFormattedCitation":"[24]","previouslyFormattedCitation":"[23]"},"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[24]</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6"/>
                <w:szCs w:val="16"/>
                <w:lang w:bidi="ne-NP"/>
              </w:rPr>
              <w:t>(VOR+AMB)</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Sharma A et al, Australia,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{"citationItems":[{"id":"ITEM-1","itemData":{"DOI":"10.1016/j.mmcr.2020.06.002","ISSN":"22117539","abstract":"As the COVID-19 pandemic has developed, concern for invasive fungal infections in critically ill COVID-19 patients with acute respiratory distress syndrome (ARDS) has emerged. We describe a clinical case of coronavirus disease (COVID-19) associated pulmonary aspergillus (CAPA) infection and acute respiratory distress syndrome (ARDS) with a good clinical outcome, in a previously well, non-immunocompromised Australian woman.","author":[{"dropping-particle":"","family":"Sharma","given":"Avinash","non-dropping-particle":"","parse-names":false,"suffix":""},{"dropping-particle":"","family":"Hofmeyr","given":"Ann","non-dropping-particle":"","parse-names":false,"suffix":""},{"dropping-particle":"","family":"Bansal","given":"Anup","non-dropping-particle":"","parse-names":false,"suffix":""},{"dropping-particle":"","family":"Thakkar","given":"Devesh","non-dropping-particle":"","parse-names":false,"suffix":""},{"dropping-particle":"","family":"Lam","given":"Leon","non-dropping-particle":"","parse-names":false,"suffix":""},{"dropping-particle":"","family":"Harrington","given":"Zinta","non-dropping-particle":"","parse-names":false,"suffix":""},{"dropping-particle":"","family":"Bhonagiri","given":"Deepak","non-dropping-particle":"","parse-names":false,"suffix":""}],"container-title":"Medical Mycology Case Reports","id":"ITEM-1","issue":"2020","issued":{"date-parts":[["2021"]]},"page":"6-10","publisher":"Elsevier B.V.","title":"COVID-19 associated pulmonary aspergillosis (CAPA): An Australian case report","type":"article-journal","volume":"31"},"uris":["http://www.mendeley.com/documents/?uuid=b8e079c6-71c0-4e81-a09d-1d660386519f"]}],"mendeley":{"formattedCitation":"[25]","plainTextFormattedCitation":"[25]","previouslyFormattedCitation":"[24]"},"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[25]</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6"/>
                <w:szCs w:val="16"/>
                <w:lang w:val="en-US" w:bidi="ne-NP"/>
              </w:rPr>
              <w:t>(VOR)</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Witting C et al, USA,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{"citationItems":[{"id":"ITEM-1","itemData":{"DOI":"10.1016/j.diagmicrobio.2020.115272","ISSN":"18790070","PMID":"33388572","abstract":"Tocilizumab, an interleukin-6 receptor antagonist, has been used to treat critically ill patients with coronavirus disease-2019. We present the case of a previously immunocompetent man with coronavirus disease-2019 who developed invasive pulmonary aspergillosis after treatment with tocilizumab, illustrating the importance of considering opportunistic infections when providing immune modulating therapy.","author":[{"dropping-particle":"","family":"Witting","given":"Celeste","non-dropping-particle":"","parse-names":false,"suffix":""},{"dropping-particle":"","family":"Quaggin-Smith","given":"Jessica","non-dropping-particle":"","parse-names":false,"suffix":""},{"dropping-particle":"","family":"Mylvaganam","given":"Ruben","non-dropping-particle":"","parse-names":false,"suffix":""},{"dropping-particle":"","family":"Peigh","given":"Graham","non-dropping-particle":"","parse-names":false,"suffix":""},{"dropping-particle":"","family":"Angarone","given":"Michael","non-dropping-particle":"","parse-names":false,"suffix":""},{"dropping-particle":"","family":"Flaherty","given":"James D.","non-dropping-particle":"","parse-names":false,"suffix":""}],"container-title":"Diagnostic Microbiology and Infectious Disease","id":"ITEM-1","issue":"4","issued":{"date-parts":[["2021"]]},"page":"115272","publisher":"Elsevier Inc.","title":"Invasive pulmonary aspergillosis after treatment with tocilizumab in a patient with COVID-19 ARDS: a case report","type":"article-journal","volume":"99"},"uris":["http://www.mendeley.com/documents/?uuid=4e84c03f-a2f0-466a-a3d7-bf3725195e03"]}],"mendeley":{"formattedCitation":"[26]","plainTextFormattedCitation":"[26]","previouslyFormattedCitation":"[25]"},"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[26]</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6"/>
                <w:szCs w:val="16"/>
                <w:lang w:bidi="ne-NP"/>
              </w:rPr>
              <w:t>(VOR+MIC)</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Deana C et al, Italy,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{"citationItems":[{"id":"ITEM-1","itemData":{"DOI":"10.1016/j.mmcr.2021.01.002","ISSN":"22117539","PMID":"33520634","abstract":"Tocilizumab is widely being used to treat COVID-19. Although reducing systemic inflammation, it also increases the risk for secondary infections as a result of the immunosuppression produced. We report the case of a 69-year-old patient admitted to the ICU with severe respiratory distress caused by COVID-19 pneumonia who developed pulmonary aspergillosis. On the basis of these findings, we suggest early testing for pulmonary aspergillosis in COVID-19 patients treated with tocilizumab.","author":[{"dropping-particle":"","family":"Deana","given":"Cristian","non-dropping-particle":"","parse-names":false,"suffix":""},{"dropping-particle":"","family":"Vetrugno","given":"Luigi","non-dropping-particle":"","parse-names":false,"suffix":""},{"dropping-particle":"","family":"Bassi","given":"Flavio","non-dropping-particle":"","parse-names":false,"suffix":""},{"dropping-particle":"","family":"Monte","given":"Amato","non-dropping-particle":"De","parse-names":false,"suffix":""}],"container-title":"Medical Mycology Case Reports","id":"ITEM-1","issue":"2021","issued":{"date-parts":[["2021"]]},"page":"32-34","publisher":"Elsevier B.V.","title":"Tocilizumab administration in COVID-19 patients: Water on the fire or gasoline?","type":"article-journal","volume":"31"},"uris":["http://www.mendeley.com/documents/?uuid=e4200ac3-fd26-469c-98ef-ae71eea68bb6"]}],"mendeley":{"formattedCitation":"[27]","plainTextFormattedCitation":"[27]","previouslyFormattedCitation":"[26]"},"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[27]</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(AMB)</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Nasri E et al, Iran,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{"citationItems":[{"id":"ITEM-1","itemData":{"DOI":"10.1007/s11046-020-00493-2","ISBN":"0123456789","ISSN":"15730832","PMID":"33009966","abstract":"Although patients with severe immunodeficiency and hematological malignancies has been considered at highest risk for invasive fungal infection, patients with severe pneumonia due to influenza, and severe acute respiratory syndrome coronavirus (SARS-CoV) are also at a higher risk of developing invasive pulmonary aspergillosis (IPA). Recently, reports of IPA have also emerged among SARS-CoV-2 infected patients admitted to intensive care units (ICUs). Here, we report a fatal case of probable IPA in an acute myeloid leukemia patient co-infected with SARS-CoV-2 and complicated by acute respiratory distress syndrome (ARDS). Probable IPA is supported by multiple pulmonary nodules with ground glass opacities which indicate halo sign and positive serum galactomannan results. Screening studies are needed to evaluate the prevalence of IPA in immunocompromised patients infected with SARS-CoV-2. Consequently, testing for the presence of Aspergillus in lower respiratory secretions and galactomannan in consecutive serum samples of COVID-19 patients with timely and targeted antifungal therapy based on early clinical suspicion of IPA are highly recommended.","author":[{"dropping-particle":"","family":"Nasri","given":"Elahe","non-dropping-particle":"","parse-names":false,"suffix":""},{"dropping-particle":"","family":"Shoaei","given":"Parisa","non-dropping-particle":"","parse-names":false,"suffix":""},{"dropping-particle":"","family":"Vakili","given":"Bahareh","non-dropping-particle":"","parse-names":false,"suffix":""},{"dropping-particle":"","family":"Mirhendi","given":"Hossein","non-dropping-particle":"","parse-names":false,"suffix":""},{"dropping-particle":"","family":"Sadeghi","given":"Somayeh","non-dropping-particle":"","parse-names":false,"suffix":""},{"dropping-particle":"","family":"Hajiahmadi","given":"Somayeh","non-dropping-particle":"","parse-names":false,"suffix":""},{"dropping-particle":"","family":"Sadeghi","given":"Alireza","non-dropping-particle":"","parse-names":false,"suffix":""},{"dropping-particle":"","family":"Vaezi","given":"Afsane","non-dropping-particle":"","parse-names":false,"suffix":""},{"dropping-particle":"","family":"Badali","given":"Hamid","non-dropping-particle":"","parse-names":false,"suffix":""},{"dropping-particle":"","family":"Fakhim","given":"Hamed","non-dropping-particle":"","parse-names":false,"suffix":""}],"container-title":"Mycopathologia","id":"ITEM-1","issue":"6","issued":{"date-parts":[["2020"]]},"page":"1077-1084","publisher":"Springer Netherlands","title":"Fatal Invasive Pulmonary Aspergillosis in COVID-19 Patient with Acute Myeloid Leukemia in Iran","type":"article-journal","volume":"185"},"uris":["http://www.mendeley.com/documents/?uuid=bdf36922-a7aa-4f2a-b9b2-d9e6e0dcc9a3"]}],"mendeley":{"formattedCitation":"[28]","plainTextFormattedCitation":"[28]","previouslyFormattedCitation":"[27]"},"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[28]</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(AMB)</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Mohamed A et al,  Ireland,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{"citationItems":[{"id":"ITEM-1","itemData":{"DOI":"10.1016/j.mmcr.2020.06.005","ISSN":"22117539","abstract":"We report a case of severe COVID-19 pneumonia complicated by fatal co-infection with a multi-triazole resistant Aspergillus fumigatus and highlight the importance of recognising the significance of Aspergillus sp. isolation from respiratory samples. Early diagnosis and detection of triazole resistance are essential for appropriate antifungal therapy to improve outcome in patients with coronavirus associated invasive aspergillosis.","author":[{"dropping-particle":"","family":"Mohamed","given":"Aia","non-dropping-particle":"","parse-names":false,"suffix":""},{"dropping-particle":"","family":"Hassan","given":"Tidi","non-dropping-particle":"","parse-names":false,"suffix":""},{"dropping-particle":"","family":"Trzos-Grzybowska","given":"Marta","non-dropping-particle":"","parse-names":false,"suffix":""},{"dropping-particle":"","family":"Thomas","given":"Jubil","non-dropping-particle":"","parse-names":false,"suffix":""},{"dropping-particle":"","family":"Quinn","given":"Aidan","non-dropping-particle":"","parse-names":false,"suffix":""},{"dropping-particle":"","family":"O'Sullivan","given":"Maire","non-dropping-particle":"","parse-names":false,"suffix":""},{"dropping-particle":"","family":"Griffin","given":"Auveen","non-dropping-particle":"","parse-names":false,"suffix":""},{"dropping-particle":"","family":"Rogers","given":"Thomas R.","non-dropping-particle":"","parse-names":false,"suffix":""},{"dropping-particle":"","family":"Talento","given":"Alida Fe","non-dropping-particle":"","parse-names":false,"suffix":""}],"container-title":"Medical Mycology Case Reports","id":"ITEM-1","issue":"2020","issued":{"date-parts":[["2021"]]},"page":"11-14","publisher":"Elsevier B.V.","title":"Multi-triazole-resistant Aspergillus fumigatus and SARS-CoV-2 co-infection: A lethal combination","type":"article-journal","volume":"31"},"uris":["http://www.mendeley.com/documents/?uuid=ef20b58f-74d9-46de-8730-db54184bac4a"]}],"mendeley":{"formattedCitation":"[29]","plainTextFormattedCitation":"[29]","previouslyFormattedCitation":"[28]"},"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[29]</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(AMB)</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Schein F et al. France,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{"citationItems":[{"id":"ITEM-1","itemData":{"DOI":"10.1016/j.mycmed.2020.101039","ISSN":"17730449","PMID":"32861584","abstract":"As aspergillosis is a well-known complication of severe influenza, we suggest that SARS-CoV-2 might be a risk factor for invasive aspergillosis (IA). We report the case of an 87 year-old woman, with no history of immune deficit, admitted in our emergency room for severe respiratory distress. Coronavirus disease 2019 (COVID-19) diagnosis was confirmed by a SARS-CoV-2 reverse transcriptase polymerase chain reaction (PCR) on nasal swab. On day 14, pulmonary examination deteriorated with haemoptysis and a major increase of inflammatory response. A computed tomography (CT) scan revealed nodules highly suggestive of IA. Aspergillus antigen was found highly positive in sputum and blood, as was Aspergillus spp PCR on serum. Sputum cultures remained negative for Aspergillus. This patient died rapidly from severe respiratory failure, despite the addition of voriconazole. Considering SARS-CoV-2 acute respiratory distress syndrome (ARDS) as an acquired immunodeficiency, we report here a new case of “probable” IA based on clinical and biological arguments, in accordance with the last consensus definition of invasive fungal disease. On a routine basis, we have detected 30% of aspergillosis carriage (positive culture and antigen in tracheal secretions) in critically ill patients with COVID-19 in our centre. Further studies will have to determine whether sputum or tracheal secretions should be systematically screened for fungal investigations in intensive care unit (ICU) COVID-19 patients to early diagnose and treat aspergillosis.","author":[{"dropping-particle":"","family":"Schein","given":"F.","non-dropping-particle":"","parse-names":false,"suffix":""},{"dropping-particle":"","family":"Munoz-Pons","given":"H.","non-dropping-particle":"","parse-names":false,"suffix":""},{"dropping-particle":"","family":"Mahinc","given":"C.","non-dropping-particle":"","parse-names":false,"suffix":""},{"dropping-particle":"","family":"Grange","given":"R.","non-dropping-particle":"","parse-names":false,"suffix":""},{"dropping-particle":"","family":"Cathébras","given":"P.","non-dropping-particle":"","parse-names":false,"suffix":""},{"dropping-particle":"","family":"Flori","given":"P.","non-dropping-particle":"","parse-names":false,"suffix":""}],"container-title":"Journal de Mycologie Medicale","id":"ITEM-1","issue":"4","issued":{"date-parts":[["2020"]]},"page":"101039","title":"Fatal aspergillosis complicating severe SARS-CoV-2 infection: A case report","type":"article-journal","volume":"30"},"uris":["http://www.mendeley.com/documents/?uuid=c5f46cae-8f03-4e34-806e-bf5a0a44ed8f"]}],"mendeley":{"formattedCitation":"[30]","plainTextFormattedCitation":"[30]","previouslyFormattedCitation":"[29]"},"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[30]</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Trujillo H et al. Spain,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{"citationItems":[{"id":"ITEM-1","itemData":{"DOI":"10.1111/tid.13501","ISSN":"13993062","PMID":"33185971","abstract":"Severe acute respiratory syndrome coronavirus 2 (SARS-CoV-2) might increase the risk of invasive pulmonary aspergillosis (IPA). Although several case reports and small series have been reported in the general population, scarce information is available regarding coronavirus disease 2019 (COVID-19)-associated IPA in the setting of solid organ transplantation. We describe a case of a kidney transplant recipient with severe COVID-19 that was subsequently diagnosed with probable IPA on the basis of the repeated isolation of Aspergillus fumigatus in sputum cultures, repeatedly increased serum (1 → 3)-β-d-glucan levels, and enlarging cavitary nodules in the CT scan. The evolution was favorable after initiation of isavuconazole and nebulized liposomal amphotericin B combination therapy and the withdrawal of immunosuppression.","author":[{"dropping-particle":"","family":"Trujillo","given":"Hernando","non-dropping-particle":"","parse-names":false,"suffix":""},{"dropping-particle":"","family":"Fernández-Ruiz","given":"Mario","non-dropping-particle":"","parse-names":false,"suffix":""},{"dropping-particle":"","family":"Gutiérrez","given":"Eduardo","non-dropping-particle":"","parse-names":false,"suffix":""},{"dropping-particle":"","family":"Sevillano","given":"Ángel","non-dropping-particle":"","parse-names":false,"suffix":""},{"dropping-particle":"","family":"Caravaca-Fontán","given":"Fernando","non-dropping-particle":"","parse-names":false,"suffix":""},{"dropping-particle":"","family":"Morales","given":"Enrique","non-dropping-particle":"","parse-names":false,"suffix":""},{"dropping-particle":"","family":"López-Medrano","given":"Francisco","non-dropping-particle":"","parse-names":false,"suffix":""},{"dropping-particle":"","family":"Aguado","given":"José María","non-dropping-particle":"","parse-names":false,"suffix":""},{"dropping-particle":"","family":"Praga","given":"Manuel","non-dropping-particle":"","parse-names":false,"suffix":""},{"dropping-particle":"","family":"Andrés","given":"Amado","non-dropping-particle":"","parse-names":false,"suffix":""}],"container-title":"Transplant Infectious Disease","id":"ITEM-1","issue":"2","issued":{"date-parts":[["2021"]]},"page":"e13501","title":"Invasive pulmonary aspergillosis associated with COVID-19 in a kidney transplant recipient","type":"article-journal","volume":"23"},"uris":["http://www.mendeley.com/documents/?uuid=ad0bc7fd-d144-4d97-92e2-15bef302aebe"]}],"mendeley":{"formattedCitation":"[31]","plainTextFormattedCitation":"[31]","previouslyFormattedCitation":"[30]"},"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[31]</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val="en-US" w:bidi="ne-NP"/>
              </w:rPr>
              <w:t>(AMB+ISA)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Prattes J et al, USA,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{"citationItems":[{"id":"ITEM-1","itemData":{"DOI":"10.1016/j.mmcr.2020.05.001","ISSN":"22117539","PMID":"32395423","abstract":"It is not yet known, if critically ill COVID-19 patients are prone to fungal infections. We report a 69-year-old patient without typical risk factors for invasive pulmonary aspergillosis (IPA), who developed IPA two weeks after onset of symptoms. Our report shows that IPA may occur in critically ill COVID-19 patients.","author":[{"dropping-particle":"","family":"Prattes","given":"Juergen","non-dropping-particle":"","parse-names":false,"suffix":""},{"dropping-particle":"","family":"Valentin","given":"Thomas","non-dropping-particle":"","parse-names":false,"suffix":""},{"dropping-particle":"","family":"Hoenigl","given":"Martin","non-dropping-particle":"","parse-names":false,"suffix":""},{"dropping-particle":"","family":"Talakic","given":"Emina","non-dropping-particle":"","parse-names":false,"suffix":""},{"dropping-particle":"","family":"Reisinger","given":"Alexander C.","non-dropping-particle":"","parse-names":false,"suffix":""},{"dropping-particle":"","family":"Eller","given":"Philipp","non-dropping-particle":"","parse-names":false,"suffix":""}],"container-title":"Medical Mycology Case Reports","id":"ITEM-1","issue":"2020","issued":{"date-parts":[["2021"]]},"page":"2-5","publisher":"Elsevier B.V.","title":"Invasive pulmonary aspergillosis complicating COVID-19 in the ICU - A case report","type":"article-journal","volume":"31"},"uris":["http://www.mendeley.com/documents/?uuid=b6289314-7c2a-409b-a6ac-82603049da66"]}],"mendeley":{"formattedCitation":"[32]","plainTextFormattedCitation":"[32]","previouslyFormattedCitation":"[31]"},"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[32]</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(VOR)</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val="restart"/>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Alobaid K et al, Kuwait,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{"citationItems":[{"id":"ITEM-1","itemData":{"DOI":"10.1099/acmi.0.000201","abstract":"Critically ill patients with coronavirus disease 2019 (COVID-19) are at risk of invasive pulmonary aspergillosis. The clinical manifestations of a superimposed fungal infection in those patients are difficult to underpin. This is compounded by the non-specific radiological findings associated with this infection and the challenges associated with performing bronchoscopy in COVID-19 patients. We would like to present two COVID-19 cases who developed secondary Aspergillus pulmonary infection in the intensive care unit as shown by respiratory cultures, serum galactomannan and radiological images. Despite advanced intensive care and use of antifungal agents, both patients died eventually. This report illustrates the negative impact of secondary Aspergillosis and calls for the need of increased awareness of COVID19-associated pulmonary aspergillosis.","author":[{"dropping-particle":"","family":"Alobaid","given":"Khaled","non-dropping-particle":"","parse-names":false,"suffix":""},{"dropping-particle":"","family":"Yousuf","given":"Beena","non-dropping-particle":"","parse-names":false,"suffix":""},{"dropping-particle":"","family":"Al-Qattan","given":"Eman","non-dropping-particle":"","parse-names":false,"suffix":""},{"dropping-particle":"","family":"Muqeem","given":"Zainab","non-dropping-particle":"","parse-names":false,"suffix":""},{"dropping-particle":"","family":"Al-Subaie","given":"Nawaf","non-dropping-particle":"","parse-names":false,"suffix":""}],"container-title":"Access Microbiology","id":"ITEM-1","issue":"3","issued":{"date-parts":[["2021"]]},"page":"1-4","title":"Pulmonary aspergillosis in two COVID-19 patients from Kuwait","type":"article-journal","volume":"3"},"uris":["http://www.mendeley.com/documents/?uuid=98bcec66-22c0-445f-970c-ea91d1de4a88"]}],"mendeley":{"formattedCitation":"[33]","plainTextFormattedCitation":"[33]","previouslyFormattedCitation":"[32]"},"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[33]</w:t>
            </w:r>
            <w:r w:rsidRPr="00516E46">
              <w:rPr>
                <w:rFonts w:ascii="Times New Roman" w:hAnsi="Times New Roman" w:cs="Times New Roman"/>
                <w:sz w:val="18"/>
                <w:szCs w:val="18"/>
              </w:rPr>
              <w:fldChar w:fldCharType="end"/>
            </w:r>
          </w:p>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(2 cases)</w:t>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(CAS+VOR)</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(ANI+AMB)</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Trovato L et al, Italy,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{"citationItems":[{"id":"ITEM-1","itemData":{"DOI":"10.1016/j.rmcr.2021.101367","ISSN":"22130071","PMID":"33619451","abstract":"Invasive pulmonary aspergillosis, known as a complication in patients with severe respiratory syndromes, recently showed a correlation with COVID-19 pneumonia, and the clinical characteristics of COVID-19 associated pulmonary aspergillosis (CAPA) have been described. Unfortunately, infections by the Aspergillus genus are often diagnosed in post-mortem time, because of diagnostic delays and a rapid worsening of respiratory conditions. Literature data document, in fact, only few cases of COVID-19 Aspergillus niger coinfection. The aim of this study was to describe a case of a VAP-related probable pulmonary aspergillosis by Aspergillus niger in a COVID-19 patient. Despite the definition of fungal etiology and the rapid administration of antifungal therapy, the patient died while on ventilator support because of severe respiratory impairment.","author":[{"dropping-particle":"","family":"Trovato","given":"Laura","non-dropping-particle":"","parse-names":false,"suffix":""},{"dropping-particle":"","family":"Calvo","given":"Maddalena","non-dropping-particle":"","parse-names":false,"suffix":""},{"dropping-particle":"","family":"Migliorisi","given":"Giuseppe","non-dropping-particle":"","parse-names":false,"suffix":""},{"dropping-particle":"","family":"Astuto","given":"Marinella","non-dropping-particle":"","parse-names":false,"suffix":""},{"dropping-particle":"","family":"Oliveri","given":"Francesco","non-dropping-particle":"","parse-names":false,"suffix":""},{"dropping-particle":"","family":"Oliveri","given":"Salvatore","non-dropping-particle":"","parse-names":false,"suffix":""}],"container-title":"Respiratory Medicine Case Reports","id":"ITEM-1","issue":"2021","issued":{"date-parts":[["2021"]]},"page":"101367","publisher":"Elsevier Ltd","title":"Fatal VAP-related pulmonary aspergillosis by Aspergillus niger in a positive COVID-19 patient","type":"article-journal","volume":"32"},"uris":["http://www.mendeley.com/documents/?uuid=3e6e5945-f4c6-4e70-847d-3c26a074d550"]}],"mendeley":{"formattedCitation":"[34]","plainTextFormattedCitation":"[34]","previouslyFormattedCitation":"[33]"},"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[34]</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Saccaro LF et al, Italy,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{"citationItems":[{"id":"ITEM-1","itemData":{"ISSN":"11249390","PMID":"32487793","abstract":"Invasive pulmonary aspergillosis (IPA) is a life-threatening condition that usually occurs in immunocompromised hosts. However, according to recent reports it can affect immunocompetent hosts with severe influenza infection due to viral-dependent disruption of respiratory immune defenses. We present the case of a 61-year-old Caucasian man admitted to the Emergency Department with respiratory failure and fever, who was diagnosed with H1N1 influenza and IPA. Because of his poor general conditions, he was treated with a double antifungal scheme, although this lies outside the suggested treatment guidelines. This choice turned out to be extremely effective. He was discharged after one month and his clinical conditions showed rapid improvement, with nearly complete normalization of the radiological pattern in three months. IPA remains a life-threatening condition, even in immunocompetent hosts, and should therefore always be suspected; if necessary, a combined treatment should rapidly be started. We report this case as the interest in influenza-associated IPA is high, both due to the clinical severity of this condition, which is treatable if identified early, and the emerging importance of respiratory infections caused by viruses belonging to the SARS family, such as SARS-CoV-2.","author":[{"dropping-particle":"","family":"Saccaro","given":"Luigi Francesco","non-dropping-particle":"","parse-names":false,"suffix":""},{"dropping-particle":"","family":"Galfo","given":"Valentina","non-dropping-particle":"","parse-names":false,"suffix":""},{"dropping-particle":"","family":"Ferranti","given":"Simone","non-dropping-particle":"","parse-names":false,"suffix":""},{"dropping-particle":"","family":"Russo","given":"Alessandro","non-dropping-particle":"","parse-names":false,"suffix":""},{"dropping-particle":"","family":"Menichetti","given":"Francesco","non-dropping-particle":"","parse-names":false,"suffix":""}],"container-title":"Infezioni in Medicina","id":"ITEM-1","issue":"2","issued":{"date-parts":[["2020"]]},"page":"263-267","title":"Severe respiratory failure in an immunocompetent host with invasive pulmonary aspergillosis and h1n1 influenza","type":"article-journal","volume":"28"},"uris":["http://www.mendeley.com/documents/?uuid=ce3ccf85-203d-4412-98d1-d61cd32a57c7"]}],"mendeley":{"formattedCitation":"[35]","plainTextFormattedCitation":"[35]","previouslyFormattedCitation":"[34]"},"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[35]</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(ISA+MIC)</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lastRenderedPageBreak/>
              <w:t>Bilani N et al, USA,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{"citationItems":[{"id":"ITEM-1","itemData":{"DOI":"10.1155/2020/1849250","ISSN":"16879635","PMID":"33144862","abstract":"Herein, we present a case of a male patient with breast cancer and a recent history of COVID-19 pneumonia, diagnosed with pseudofungi on pathological examination of lymph nodes after mastectomy. Pseudofungi are septate hyphae-like structures that morphologically mimic fungal elements despite the absence of true mycosis and thus predispose to overtreatment if not properly identified. We report a review of similar cases involving this diagnostic mimicker in the literature.","author":[{"dropping-particle":"","family":"Bilani","given":"Nadeem","non-dropping-particle":"","parse-names":false,"suffix":""},{"dropping-particle":"","family":"Elson","given":"Leah","non-dropping-particle":"","parse-names":false,"suffix":""},{"dropping-particle":"","family":"Carlson","given":"Diane","non-dropping-particle":"","parse-names":false,"suffix":""},{"dropping-particle":"","family":"Elimimian","given":"Elizabeth Blessing","non-dropping-particle":"","parse-names":false,"suffix":""},{"dropping-particle":"","family":"Nahleh","given":"Zeina","non-dropping-particle":"","parse-names":false,"suffix":""}],"container-title":"Case Reports in Medicine","id":"ITEM-1","issued":{"date-parts":[["2020"]]},"page":"3-5","title":"Pseudofungi in an immunocompromised patient with breast cancer and covid-19","type":"article-journal","volume":"2020"},"uris":["http://www.mendeley.com/documents/?uuid=849a2623-d718-45a3-943c-aa9a482c9f8f"]}],"mendeley":{"formattedCitation":"[36]","plainTextFormattedCitation":"[36]","previouslyFormattedCitation":"[35]"},"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[36]</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w:t>
            </w:r>
            <w:proofErr w:type="spellStart"/>
            <w:r w:rsidRPr="00516E46">
              <w:rPr>
                <w:rFonts w:ascii="Times New Roman" w:eastAsia="Times New Roman" w:hAnsi="Times New Roman" w:cs="Times New Roman"/>
                <w:color w:val="000000"/>
                <w:sz w:val="18"/>
                <w:szCs w:val="18"/>
                <w:lang w:val="en-US" w:bidi="ne-NP"/>
              </w:rPr>
              <w:t>Pseudofungi</w:t>
            </w:r>
            <w:proofErr w:type="spellEnd"/>
            <w:r w:rsidRPr="00516E46">
              <w:rPr>
                <w:rFonts w:ascii="Times New Roman" w:eastAsia="Times New Roman" w:hAnsi="Times New Roman" w:cs="Times New Roman"/>
                <w:color w:val="000000"/>
                <w:sz w:val="18"/>
                <w:szCs w:val="18"/>
                <w:lang w:val="en-US" w:bidi="ne-NP"/>
              </w:rPr>
              <w:t>)</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(VOR)</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Fernandez NB et al, Argentina,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{"citationItems":[{"id":"ITEM-1","itemData":{"DOI":"10.1016/j.mmcr.2020.07.001","ISSN":"22117539","abstract":"Coronavirus disease 2019 (COVID‐19), caused by the novel coronavirus SARS-CoV-2, emerged in Wuhan, China, in December 2019 and rapidly spread around the world. Invasive aspergillosis has been reported as a complication of severe influenza pneumonia among intensive care patients. Similarities between COVID-19 and influenza pneumonia, together with limited published case series, suggest that aspergillosis may be an important complication of COVID-19. This report describes a case of ventilator-associated pneumonia involving Aspergillus flavus in a patient with COVID-19 from Buenos Aires, Argentina.","author":[{"dropping-particle":"","family":"Fernandez","given":"Norma B.","non-dropping-particle":"","parse-names":false,"suffix":""},{"dropping-particle":"","family":"Caceres","given":"Diego H.","non-dropping-particle":"","parse-names":false,"suffix":""},{"dropping-particle":"","family":"Beer","given":"Karlyn D.","non-dropping-particle":"","parse-names":false,"suffix":""},{"dropping-particle":"","family":"Irrazabal","given":"Célica","non-dropping-particle":"","parse-names":false,"suffix":""},{"dropping-particle":"","family":"Delgado","given":"Ghilka","non-dropping-particle":"","parse-names":false,"suffix":""},{"dropping-particle":"","family":"Farias","given":"Luciana","non-dropping-particle":"","parse-names":false,"suffix":""},{"dropping-particle":"","family":"Chiller","given":"Tom M.","non-dropping-particle":"","parse-names":false,"suffix":""},{"dropping-particle":"","family":"Verweij","given":"Paul E.","non-dropping-particle":"","parse-names":false,"suffix":""},{"dropping-particle":"","family":"Stecher","given":"Daniel","non-dropping-particle":"","parse-names":false,"suffix":""}],"container-title":"Medical Mycology Case Reports","id":"ITEM-1","issue":"2020","issued":{"date-parts":[["2021"]]},"page":"19-23","title":"Ventilator-associated pneumonia involving Aspergillus flavus in a patient with coronavirus disease 2019 (COVID-19) from Argentina","type":"article-journal","volume":"31"},"uris":["http://www.mendeley.com/documents/?uuid=f426b5f8-2d4b-4c4f-9c2c-273fc903d539"]}],"mendeley":{"formattedCitation":"[37]","plainTextFormattedCitation":"[37]","previouslyFormattedCitation":"[36]"},"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[37]</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(ANI+VOR)</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Patti RK et al, USA,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{"citationItems":[{"id":"ITEM-1","itemData":{"DOI":"10.1177/2324709620966475","ISSN":"23247096","PMID":"33054445","abstract":"Severe acute respiratory syndrome coronavirus-2 infection (SARS-CoV-2), commonly known as COVID-19 (coronavirus disease-2019), began in the Wuhan District of Hubei Province, China. It is regarded as one of the worst pandemics, which has consumed both human lives and the world economy. COVID-19 infection mainly affects the lungs triggering severe hypoxemic respiratory failure, also providing a nidus for superimposed bacterial and fungal infections. We report the case of a 73-year-old male who presented with progressive dyspnea; diagnosed with SARS-CoV-2–related severe acute respiratory distress syndrome and complicated with lung cavitations growing Aspergillus sp. COVID-19, to our knowledge, has rarely been associated with subacute invasive pulmonary aspergillosis with aspergillomas. Subacute invasive pulmonary aspergillosis as a superimposed infection in patients with SARS-CoV-2 is a rare entity. By reporting this case, we would like to make the readers aware of this association.","author":[{"dropping-particle":"","family":"Patti","given":"Ravi Karan","non-dropping-particle":"","parse-names":false,"suffix":""},{"dropping-particle":"","family":"Dalsania","given":"Nishil R.","non-dropping-particle":"","parse-names":false,"suffix":""},{"dropping-particle":"","family":"Somal","given":"Navjot","non-dropping-particle":"","parse-names":false,"suffix":""},{"dropping-particle":"","family":"Sinha","given":"Ankur","non-dropping-particle":"","parse-names":false,"suffix":""},{"dropping-particle":"","family":"Mehta","given":"Sanwal","non-dropping-particle":"","parse-names":false,"suffix":""},{"dropping-particle":"","family":"Ghitan","given":"Monica","non-dropping-particle":"","parse-names":false,"suffix":""},{"dropping-particle":"","family":"Seneviratne","given":"Chanaka","non-dropping-particle":"","parse-names":false,"suffix":""},{"dropping-particle":"","family":"Kupfer","given":"Yizhak","non-dropping-particle":"","parse-names":false,"suffix":""}],"container-title":"Journal of Investigative Medicine High Impact Case Reports","id":"ITEM-1","issued":{"date-parts":[["2020"]]},"page":"1-3","title":"Subacute Aspergillosis “Fungal Balls” Complicating COVID-19","type":"article-journal","volume":"8"},"uris":["http://www.mendeley.com/documents/?uuid=7ab005eb-6d67-45f2-9c6f-54d500992e77"]}],"mendeley":{"formattedCitation":"[38]","plainTextFormattedCitation":"[38]","previouslyFormattedCitation":"[37]"},"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[38]</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Kakamad FH et al, Iraq,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{"citationItems":[{"id":"ITEM-1","itemData":{"DOI":"10.1016/j.ijscr.2021.105865","ISSN":"22102612","PMID":"33842198","abstract":"Introduction and importance: Several complications after corona viral infection-19 (COVID-19) have been reported. The study aims is to present a case with post-covid-19 pulmonary fungal infection with antifungal resistance characteristics. Case presentation: A 50-year-old male presented with hemoptysis, dyspnea, cough, fever, and rigor for 4-month duration. Three weeks before this complaint, he had cured of COVID-19. Investigations showed multiple ill-defined cavitary lesions involving the left upper lobe. The patient underwent a left upper lobectomy. The post-operative period was uneventful. Clinical discussion: All studies of COVID-19 fungal infections reported occurrence during the COVID-19 infection, mostly 14 days after the appearance of COVID-19 symptoms. The case in the current study was a 50-year-old patient, who was previously diagnosed with COVID-19 for a period of 4 months. After a few days from his recovery, the patient developed dyspnea, cough, fever, and rigor again. Conclusion: Pulmonary aspergillosis is a serious complication of COVID-19 patients that may not respond well to medical therapy. Pulmonary resection is the last and effective strategy to control the disease.","author":[{"dropping-particle":"","family":"Kakamad","given":"Fahmi H.","non-dropping-particle":"","parse-names":false,"suffix":""},{"dropping-particle":"","family":"Mahmood","given":"Safeen O.","non-dropping-particle":"","parse-names":false,"suffix":""},{"dropping-particle":"","family":"Rahim","given":"Hawbash M.","non-dropping-particle":"","parse-names":false,"suffix":""},{"dropping-particle":"","family":"Abdulla","given":"Berwn A.","non-dropping-particle":"","parse-names":false,"suffix":""},{"dropping-particle":"","family":"Abdullah","given":"Hiwa O.","non-dropping-particle":"","parse-names":false,"suffix":""},{"dropping-particle":"","family":"Othman","given":"Snur","non-dropping-particle":"","parse-names":false,"suffix":""},{"dropping-particle":"","family":"Mohammed","given":"Shvan H.","non-dropping-particle":"","parse-names":false,"suffix":""},{"dropping-particle":"","family":"Kakamad","given":"Suhaib H.","non-dropping-particle":"","parse-names":false,"suffix":""},{"dropping-particle":"","family":"Mustafa","given":"Shevan M.","non-dropping-particle":"","parse-names":false,"suffix":""},{"dropping-particle":"","family":"Salih","given":"Abdulwahid M.","non-dropping-particle":"","parse-names":false,"suffix":""}],"container-title":"International Journal of Surgery Case Reports","id":"ITEM-1","issue":"2021","issued":{"date-parts":[["2021"]]},"page":"105865","publisher":"Surgical Associates Ltd","title":"Post covid-19 invasive pulmonary Aspergillosis: A case report","type":"article-journal","volume":"82"},"uris":["http://www.mendeley.com/documents/?uuid=1fc352ed-91ba-4cf5-a202-bcd0ecd7e715"]}],"mendeley":{"formattedCitation":"[39]","plainTextFormattedCitation":"[39]","previouslyFormattedCitation":"[38]"},"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[39]</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val="restart"/>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Abdalla S et al, Qatar,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{"citationItems":[{"id":"ITEM-1","itemData":{"DOI":"10.1016/j.idcr.2020.e00935","ISSN":"22142509","abstract":"Coronavirus Disease 2019 (COVID-19)-associated pulmonary aspergillosis is an emerging entity. We report two fatal cases of putative COVID-19-associated pulmonary aspergillosis. Both cases were diagnosed on the basis of respiratory tract cultures yielding Aspergillus species and otherwise unexplained clinical and radiological deterioration. Existing published literature on COVID-19-associated pulmonary aspergillosis indicate poor outcomes and high mortality. CAPA should be considered in patients with critical COVID-19 who have unexplained progressive respiratory failure despite optimized supportive care. Diagnostic work-up should be initiated as early as possible and should ideally include fungal cultures, galactomannan detection and Aspergillus PCR on tracheal aspirates or broncho-alveolar lavage fluid. Empiric systemic antifungal therapy may be justified in selected cases, pending diagnostic work up results. Large, multi-center studies are required to further understand the pathogenesis of invasive aspergillosis in COVID-19, and the optimal diagnostic and treatment strategies.","author":[{"dropping-particle":"","family":"Abdalla","given":"Shiema","non-dropping-particle":"","parse-names":false,"suffix":""},{"dropping-particle":"","family":"Almaslamani","given":"Muna A.","non-dropping-particle":"","parse-names":false,"suffix":""},{"dropping-particle":"","family":"Hashim","given":"Samar M.","non-dropping-particle":"","parse-names":false,"suffix":""},{"dropping-particle":"","family":"Ibrahim","given":"Abdulsalam S.","non-dropping-particle":"","parse-names":false,"suffix":""},{"dropping-particle":"","family":"Omrani","given":"Ali S.","non-dropping-particle":"","parse-names":false,"suffix":""}],"container-title":"IDCases","id":"ITEM-1","issue":"2020","issued":{"date-parts":[["2020"]]},"page":"e00935","publisher":"Elsevier Ltd","title":"Fatal Coronavirus Disease 2019-associated Pulmonary Aspergillosis: A Report of Two Cases and Review of the Literature","type":"article-journal","volume":"22"},"uris":["http://www.mendeley.com/documents/?uuid=050d755b-b3c5-42b4-ad94-32f1e8b1e0c0"]}],"mendeley":{"formattedCitation":"[40]","plainTextFormattedCitation":"[40]","previouslyFormattedCitation":"[39]"},"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[40]</w:t>
            </w:r>
            <w:r w:rsidRPr="00516E46">
              <w:rPr>
                <w:rFonts w:ascii="Times New Roman" w:hAnsi="Times New Roman" w:cs="Times New Roman"/>
                <w:sz w:val="18"/>
                <w:szCs w:val="18"/>
              </w:rPr>
              <w:fldChar w:fldCharType="end"/>
            </w:r>
          </w:p>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(Reports of 2 cases)</w:t>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(ANI+AMB)</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Imoto M et al, Japan,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{"citationItems":[{"id":"ITEM-1","itemData":{"DOI":"10.1016/j.jiac.2021.02.026","ISSN":"14377780","PMID":"33674201","abstract":"CAPA (COVID-19 associated pulmonary aspergillosis) is an important complication of COVID-19. It has been reported that the incidence of CAPA is as high as 19%–33% worldwide. However, its onset has not been reported in Japan. A 72-year-old Japanese man was diagnosed with COVID-19 and was transferred to our hospital due to deterioration of respiratory condition. Treatment with remdesivir, dexamethasone (DEXA), and antibiotics was performed under mechanical ventilation. Although the condition improved temporarily, a new shadow appeared in the lung, and Aspergillus fumigatus was cultured from sputum. The patient was clinically diagnosed with CAPA and treated with voriconazole. However, his progress deteriorated and he died. High-risk COVID-19 patients should be tested for Aspergillus to ensure early diagnosis of CAPA.","author":[{"dropping-particle":"","family":"Imoto","given":"Waki","non-dropping-particle":"","parse-names":false,"suffix":""},{"dropping-particle":"","family":"Himura","given":"Hoshi","non-dropping-particle":"","parse-names":false,"suffix":""},{"dropping-particle":"","family":"Matsuo","given":"Kenji","non-dropping-particle":"","parse-names":false,"suffix":""},{"dropping-particle":"","family":"Kawata","given":"Sae","non-dropping-particle":"","parse-names":false,"suffix":""},{"dropping-particle":"","family":"Kiritoshi","given":"Ayako","non-dropping-particle":"","parse-names":false,"suffix":""},{"dropping-particle":"","family":"Deguchi","given":"Ryo","non-dropping-particle":"","parse-names":false,"suffix":""},{"dropping-particle":"","family":"Miyashita","given":"Masahiro","non-dropping-particle":"","parse-names":false,"suffix":""},{"dropping-particle":"","family":"Kaga","given":"Shinichiro","non-dropping-particle":"","parse-names":false,"suffix":""},{"dropping-particle":"","family":"Noda","given":"Tomohiro","non-dropping-particle":"","parse-names":false,"suffix":""},{"dropping-particle":"","family":"Yamamoto","given":"Katsumi","non-dropping-particle":"","parse-names":false,"suffix":""},{"dropping-particle":"","family":"Yamada","given":"Koichi","non-dropping-particle":"","parse-names":false,"suffix":""},{"dropping-particle":"","family":"Uchida","given":"Kenichiro","non-dropping-particle":"","parse-names":false,"suffix":""},{"dropping-particle":"","family":"Nishimura","given":"Tetsuro","non-dropping-particle":"","parse-names":false,"suffix":""},{"dropping-particle":"","family":"Yamamoto","given":"Hiromasa","non-dropping-particle":"","parse-names":false,"suffix":""},{"dropping-particle":"","family":"Mizobata","given":"Yasumitsu","non-dropping-particle":"","parse-names":false,"suffix":""},{"dropping-particle":"","family":"Kakeya","given":"Hiroshi","non-dropping-particle":"","parse-names":false,"suffix":""}],"container-title":"Journal of Infection and Chemotherapy","id":"ITEM-1","issue":"6","issued":{"date-parts":[["2021"]]},"page":"911-914","publisher":"Elsevier Ltd","title":"COVID-19-associated pulmonary aspergillosis in a Japanese man: A case report","type":"article-journal","volume":"27"},"uris":["http://www.mendeley.com/documents/?uuid=59dca3c0-a98e-4c16-8d3a-d99c62fcb216"]}],"mendeley":{"formattedCitation":"[41]","plainTextFormattedCitation":"[41]","previouslyFormattedCitation":"[40]"},"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[41]</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val="en-US" w:bidi="ne-NP"/>
              </w:rPr>
              <w:t>(MIC+VOR)</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Iwanaga Y et al, Japan,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{"citationItems":[{"id":"ITEM-1","itemData":{"DOI":"10.1016/j.jiac.2021.03.024","ISSN":"14377780","PMID":"33867266","abstract":"A 79-year-old Japanese man with polymyalgia rheumatica was admitted to hospital with coronavirus disease (COVID-19). On admission, he was treated with ciclesonide inhalation, ivermectin, and meropenem. He was intubated 6 days after admission, and methylprednisolone therapy was initiated (1000 mg/day). Hypoxemia and chest radiographic findings temporarily improved. However, chest computed tomography showed bilateral ground-glass attenuations, multiple nodules, and consolidation. Aspergillus fumigatus was cultured from the tracheal aspirate and he was diagnosed with COVID-19-associated invasive pulmonary aspergillosis (CAPA) and treated with liposomal amphotericin B. However, he died 28 days after admission.","author":[{"dropping-particle":"","family":"Iwanaga","given":"Yuto","non-dropping-particle":"","parse-names":false,"suffix":""},{"dropping-particle":"","family":"Kawanami","given":"Toshinori","non-dropping-particle":"","parse-names":false,"suffix":""},{"dropping-particle":"","family":"Yamasaki","given":"Kei","non-dropping-particle":"","parse-names":false,"suffix":""},{"dropping-particle":"","family":"Sakakibara","given":"Hideki","non-dropping-particle":"","parse-names":false,"suffix":""},{"dropping-particle":"","family":"Ikushima","given":"Issei","non-dropping-particle":"","parse-names":false,"suffix":""},{"dropping-particle":"","family":"Ikegami","given":"Hiroaki","non-dropping-particle":"","parse-names":false,"suffix":""},{"dropping-particle":"","family":"Tahara","given":"Masahiro","non-dropping-particle":"","parse-names":false,"suffix":""},{"dropping-particle":"","family":"Akata","given":"Kentaro","non-dropping-particle":"","parse-names":false,"suffix":""},{"dropping-particle":"","family":"Mukae","given":"Hiroshi","non-dropping-particle":"","parse-names":false,"suffix":""},{"dropping-particle":"","family":"Yatera","given":"Kazuhiro","non-dropping-particle":"","parse-names":false,"suffix":""}],"container-title":"Journal of Infection and Chemotherapy","id":"ITEM-1","issue":"7","issued":{"date-parts":[["2021"]]},"page":"1102-1107","publisher":"Elsevier Ltd","title":"A fatal case of COVID-19-associated invasive pulmonary aspergillosis","type":"article-journal","volume":"27"},"uris":["http://www.mendeley.com/documents/?uuid=84124f69-98e3-41ef-a192-85452b29ea59"]}],"mendeley":{"formattedCitation":"[42]","plainTextFormattedCitation":"[42]","previouslyFormattedCitation":"[41]"},"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[42]</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(AMB)</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Maini A et al, India,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{"citationItems":[{"id":"ITEM-1","itemData":{"DOI":"10.1016/j.ijscr.2021.105957","ISSN":"22102612","PMID":"33964720","abstract":"Introduction: We report a case of post COVID-19 Sino-orbital Mucormycosis infection caused by Rhizopus oryzae and its management. Presentation of case: The patient was diagnosed with COVID-19 and treated according to the persisting protocols. Following recovery, on the 18th day, the patient developed chemosis and pain in the left eye. A diagnosis of mucormycosis was established after Magnetic Resonance Imaging (MRI) and Functional Endoscopic Sinus Surgery (FESS). Initially, conservative management with intravenous (IV) Fluconazole &amp; Amphotericin B was done and later on with surgical debridement. The patient recovered with minimal residual deformity. Discussion: Mucormycosis generally develops secondary to immunosuppression or debilitating diseases. In Head and Neck cases, the mold usually gains entry through the respiratory tract involving the nose and sinuses, with possible further progression into the orbital and intracranial structures. Hence, an early diagnosis and intervention is required for a good prognosis, decreasing the morbidity. This can be achieved on the basis of clinical picture and direct smears. Conclusion: Research needs to be carried out in COVID-19 patients for better prevention and management of opportunistic infections in order to reduce its incidence and morbidity. Prophylactic treatment protocols need to be established, along with rational use of corticosteroids.","author":[{"dropping-particle":"","family":"Maini","given":"Aastha","non-dropping-particle":"","parse-names":false,"suffix":""},{"dropping-particle":"","family":"Tomar","given":"Gaurav","non-dropping-particle":"","parse-names":false,"suffix":""},{"dropping-particle":"","family":"Khanna","given":"Deepak","non-dropping-particle":"","parse-names":false,"suffix":""},{"dropping-particle":"","family":"Kini","given":"Yogesh","non-dropping-particle":"","parse-names":false,"suffix":""},{"dropping-particle":"","family":"Mehta","given":"Hardik","non-dropping-particle":"","parse-names":false,"suffix":""},{"dropping-particle":"","family":"Bhagyasree","given":"V.","non-dropping-particle":"","parse-names":false,"suffix":""}],"container-title":"International Journal of Surgery Case Reports","id":"ITEM-1","issue":"2021","issued":{"date-parts":[["2021"]]},"page":"105957","publisher":"Elsevier Ltd","title":"Sino-orbital mucormycosis in a COVID-19 patient: A case report","type":"article-journal","volume":"82"},"uris":["http://www.mendeley.com/documents/?uuid=a246f60e-00ef-442e-900e-a97d3379bccd"]}],"mendeley":{"formattedCitation":"[43]","plainTextFormattedCitation":"[43]","previouslyFormattedCitation":"[42]"},"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[43]</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w:t>
            </w:r>
            <w:proofErr w:type="spellStart"/>
            <w:r w:rsidRPr="00516E46">
              <w:rPr>
                <w:rFonts w:ascii="Times New Roman" w:eastAsia="Times New Roman" w:hAnsi="Times New Roman" w:cs="Times New Roman"/>
                <w:color w:val="000000"/>
                <w:sz w:val="18"/>
                <w:szCs w:val="18"/>
                <w:lang w:val="en-US" w:bidi="ne-NP"/>
              </w:rPr>
              <w:t>Sinoorbital</w:t>
            </w:r>
            <w:proofErr w:type="spellEnd"/>
            <w:r w:rsidRPr="00516E46">
              <w:rPr>
                <w:rFonts w:ascii="Times New Roman" w:eastAsia="Times New Roman" w:hAnsi="Times New Roman" w:cs="Times New Roman"/>
                <w:color w:val="000000"/>
                <w:sz w:val="18"/>
                <w:szCs w:val="18"/>
                <w:lang w:val="en-US" w:bidi="ne-NP"/>
              </w:rPr>
              <w:t xml:space="preserve"> CAM)</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(AMB+FLU)</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2</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Khatri A et al, USA,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{"citationItems":[{"id":"ITEM-1","itemData":{"DOI":"10.1016/j.mycmed.2021.101125","ISSN":"17730449","abstract":"Mucormycosis is an invasive fungal infection (IFI) due to several species of saprophytic fungi, occurring in patients with underlying co-morbidities (including organ transplantation). During the ongoing Coronavirus disease 2019 (COVID-19) pandemic, there have been increasing reports of bacterial and fungal co-infections occurring in COVID-19 patients, including COVID-19 associated pulmonary aspergillosis (CAPA). We describe a case of mucormycosis occurring after COVID-19, in an individual who received a recent heart transplant for severe heart failure. Two months after heart transplant, our patient developed upper respiratory and systemic symptoms and was diagnosed with COVID-19. He was managed with convalescent plasma therapy and supportive care. Approximately three months after COVID-19 diagnosis, he developed cutaneous mucormycosis at an old intravascular device site. He underwent extensive surgical interventions, combined with broad-spectrum antifungal therapy. Despite the aggressive therapeutic measures, he died after a prolonged hospital stay. In this case report, we also review the prior well-reported cases of mucormycosis occurring in COVID-19 patients and discuss potential mechanisms by which COVID-19 may predispose to IFIs. Similar to CAPA, mucormycosis with COVID-19 may need to be evaluated as an emerging disease association. Clinicians should be vigilant to evaluate for invasive fungal infections such as mucormycosis in patients with COVID-19 infection.","author":[{"dropping-particle":"","family":"Khatri","given":"Akshay","non-dropping-particle":"","parse-names":false,"suffix":""},{"dropping-particle":"","family":"Chang","given":"Kai Ming","non-dropping-particle":"","parse-names":false,"suffix":""},{"dropping-particle":"","family":"Berlinrut","given":"Ilan","non-dropping-particle":"","parse-names":false,"suffix":""},{"dropping-particle":"","family":"Wallach","given":"Frances","non-dropping-particle":"","parse-names":false,"suffix":""}],"container-title":"Journal of Medical Mycology","id":"ITEM-1","issue":"2","issued":{"date-parts":[["2021"]]},"page":"101125","publisher":"Elsevier Masson SAS","title":"Mucormycosis after Coronavirus disease 2019 infection in a heart transplant recipient – Case report and review of literature","type":"article-journal","volume":"31"},"uris":["http://www.mendeley.com/documents/?uuid=2313b07a-5c22-4f4b-b778-556faa507b12"]}],"mendeley":{"formattedCitation":"[44]","plainTextFormattedCitation":"[44]","previouslyFormattedCitation":"[43]"},"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[44]</w:t>
            </w:r>
            <w:r w:rsidRPr="00516E46">
              <w:rPr>
                <w:rFonts w:ascii="Times New Roman" w:hAnsi="Times New Roman" w:cs="Times New Roman"/>
                <w:sz w:val="18"/>
                <w:szCs w:val="18"/>
              </w:rPr>
              <w:fldChar w:fldCharType="end"/>
            </w:r>
            <w:r w:rsidRPr="00516E46">
              <w:rPr>
                <w:rFonts w:ascii="Times New Roman" w:hAnsi="Times New Roman" w:cs="Times New Roman"/>
                <w:sz w:val="18"/>
                <w:szCs w:val="18"/>
              </w:rPr>
              <w:t xml:space="preserve"> </w:t>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(Cutaneous CAM)</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(AMB+POS)</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val="restart"/>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Arana C et al, Spain,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{"citationItems":[{"id":"ITEM-1","itemData":{"DOI":"10.1111/tid.13652","ISSN":"1399-3062","PMID":"34038014","abstract":"Coronavirus disease 2019 (COVID-19) predisposes patients to bacterial and fungal superinfections due to the impairment of the immunological system. Among the associated opportunistic fungal infections, mucormycosis is one of the least frequent but with the highest mortality. We describe 2 cases of mucormycosis in two kidney transplant recipients while they were hospitalized for SARS-CoV-2 pneumonia, with rhinosinusal and musculoskeletal involvement, respectively.","author":[{"dropping-particle":"","family":"Arana","given":"Carolt","non-dropping-particle":"","parse-names":false,"suffix":""},{"dropping-particle":"","family":"Cuevas Ramírez","given":"Rafael E","non-dropping-particle":"","parse-names":false,"suffix":""},{"dropping-particle":"","family":"Xipell","given":"Marc","non-dropping-particle":"","parse-names":false,"suffix":""},{"dropping-particle":"","family":"Casals","given":"Joaquim","non-dropping-particle":"","parse-names":false,"suffix":""},{"dropping-particle":"","family":"Moreno","given":"Asunción","non-dropping-particle":"","parse-names":false,"suffix":""},{"dropping-particle":"","family":"Herrera","given":"Sabina","non-dropping-particle":"","parse-names":false,"suffix":""},{"dropping-particle":"","family":"Bodro","given":"Marta","non-dropping-particle":"","parse-names":false,"suffix":""},{"dropping-particle":"","family":"Cofan","given":"Frederic","non-dropping-particle":"","parse-names":false,"suffix":""},{"dropping-particle":"","family":"Diekmann","given":"Fritz","non-dropping-particle":"","parse-names":false,"suffix":""},{"dropping-particle":"","family":"Esforzado","given":"Núria","non-dropping-particle":"","parse-names":false,"suffix":""}],"container-title":"Transplant infectious disease : an official journal of the Transplantation Society","id":"ITEM-1","issue":"April","issued":{"date-parts":[["2021"]]},"page":"e13652","title":"Mucormycosis associated with covid19 in two kidney transplant patients.","type":"article-journal","volume":"00"},"uris":["http://www.mendeley.com/documents/?uuid=3049488f-08d0-4226-a084-110e3994a35a"]}],"mendeley":{"formattedCitation":"[45]","plainTextFormattedCitation":"[45]","previouslyFormattedCitation":"[44]"},"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[45]</w:t>
            </w:r>
            <w:r w:rsidRPr="00516E46">
              <w:rPr>
                <w:rFonts w:ascii="Times New Roman" w:hAnsi="Times New Roman" w:cs="Times New Roman"/>
                <w:sz w:val="18"/>
                <w:szCs w:val="18"/>
              </w:rPr>
              <w:fldChar w:fldCharType="end"/>
            </w:r>
          </w:p>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 xml:space="preserve">(Reports of 2 cases) </w:t>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w:t>
            </w:r>
            <w:proofErr w:type="spellStart"/>
            <w:r w:rsidRPr="00516E46">
              <w:rPr>
                <w:rFonts w:ascii="Times New Roman" w:eastAsia="Times New Roman" w:hAnsi="Times New Roman" w:cs="Times New Roman"/>
                <w:color w:val="000000"/>
                <w:sz w:val="18"/>
                <w:szCs w:val="18"/>
                <w:lang w:val="en-US" w:bidi="ne-NP"/>
              </w:rPr>
              <w:t>Rhinosinusal</w:t>
            </w:r>
            <w:proofErr w:type="spellEnd"/>
            <w:r w:rsidRPr="00516E46">
              <w:rPr>
                <w:rFonts w:ascii="Times New Roman" w:eastAsia="Times New Roman" w:hAnsi="Times New Roman" w:cs="Times New Roman"/>
                <w:color w:val="000000"/>
                <w:sz w:val="18"/>
                <w:szCs w:val="18"/>
                <w:lang w:val="en-US" w:bidi="ne-NP"/>
              </w:rPr>
              <w:t xml:space="preserve"> CAM)</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(AMB+ISA)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(Musculoskeletal CAM)</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(AMB+ISA)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val="restart"/>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Krishna DS et al, India,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{"citationItems":[{"id":"ITEM-1","itemData":{"DOI":"10.1007/s12070-021-02618-5","ISSN":"2231-3796","abstract":"In this era of the COVID-19 pandemic, patients with diabetes mellitus are at an increased risk of secondary infections and systemic complications. Here we are reporting 2 cases in post-covid-19 patients, who were uncontrolled type 2 diabetics and diagnosed with fungal osteomyelitis and mucormycosis respectively. Both patients were treated surgically immediately.","author":[{"dropping-particle":"","family":"Sai Krishna","given":"D.","non-dropping-particle":"","parse-names":false,"suffix":""},{"dropping-particle":"","family":"Raj","given":"Harsha","non-dropping-particle":"","parse-names":false,"suffix":""},{"dropping-particle":"","family":"Kurup","given":"Pranav","non-dropping-particle":"","parse-names":false,"suffix":""},{"dropping-particle":"","family":"Juneja","given":"Mehak","non-dropping-particle":"","parse-names":false,"suffix":""}],"container-title":"Indian Journal of Otolaryngology and Head &amp; Neck Surgery","id":"ITEM-1","issued":{"date-parts":[["2021"]]},"page":"2-5","publisher":"Springer India","title":"Maxillofacial Infections in Covid-19 Era—Actuality or the Unforeseen: 2 Case Reports","type":"article-journal","volume":"2"},"uris":["http://www.mendeley.com/documents/?uuid=88e634e9-437a-4529-8b48-a4bab0a9b881"]}],"mendeley":{"formattedCitation":"[46]","plainTextFormattedCitation":"[46]","previouslyFormattedCitation":"[45]"},"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[46]</w:t>
            </w:r>
            <w:r w:rsidRPr="00516E46">
              <w:rPr>
                <w:rFonts w:ascii="Times New Roman" w:hAnsi="Times New Roman" w:cs="Times New Roman"/>
                <w:sz w:val="18"/>
                <w:szCs w:val="18"/>
              </w:rPr>
              <w:fldChar w:fldCharType="end"/>
            </w:r>
          </w:p>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(Reports of 2 cases)</w:t>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 xml:space="preserve">(Fungal osteomyelitis &amp; </w:t>
            </w:r>
            <w:proofErr w:type="spellStart"/>
            <w:r w:rsidRPr="00516E46">
              <w:rPr>
                <w:rFonts w:ascii="Times New Roman" w:eastAsia="Times New Roman" w:hAnsi="Times New Roman" w:cs="Times New Roman"/>
                <w:color w:val="000000"/>
                <w:sz w:val="18"/>
                <w:szCs w:val="18"/>
                <w:lang w:val="en-US" w:bidi="ne-NP"/>
              </w:rPr>
              <w:t>zygoma</w:t>
            </w:r>
            <w:proofErr w:type="spellEnd"/>
            <w:r w:rsidRPr="00516E46">
              <w:rPr>
                <w:rFonts w:ascii="Times New Roman" w:eastAsia="Times New Roman" w:hAnsi="Times New Roman" w:cs="Times New Roman"/>
                <w:color w:val="000000"/>
                <w:sz w:val="18"/>
                <w:szCs w:val="18"/>
                <w:lang w:val="en-US" w:bidi="ne-NP"/>
              </w:rPr>
              <w:t>)</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(AMB+ITR)</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(CAM of right maxilla)</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(AMB+POS)</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Garg D et al, India,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{"citationItems":[{"id":"ITEM-1","itemData":{"DOI":"10.1007/s11046-021-00528-2","ISBN":"0123456789","ISSN":"15730832","PMID":"33544266","abstract":"Severe coronavirus disease (COVID-19) is currently managed with systemic glucocorticoids. Opportunistic fungal infections are of concern in such patients. While COVID-19 associated pulmonary aspergillosis is increasingly recognized, mucormycosis is rare. We describe a case of probable pulmonary mucormycosis in a 55-year-old man with diabetes, end-stage kidney disease, and COVID-19. The index case was diagnosed with pulmonary mucormycosis 21 days following admission for severe COVID-19. He received 5 g of liposomal amphotericin B and was discharged after 54 days from the hospital. We also performed a systematic review of the literature and identified seven additional cases of COVID-19 associated mucormycosis (CAM). Of the eight cases included in our review, diabetes mellitus was the most common risk factor. Three subjects had no risk factor other than glucocorticoids for COVID-19. Mucormycosis usually developed 10–14 days after hospitalization. All except the index case died. In two subjects, CAM was diagnosed postmortem. Mucormycosis is an uncommon but serious infection that complicates the course of severe COVID-19. Subjects with diabetes mellitus and multiple risk factors may be at a higher risk for developing mucormycosis. Concurrent glucocorticoid therapy probably heightens the risk of mucormycosis. A high index of suspicion and aggressive management is required to improve outcomes.","author":[{"dropping-particle":"","family":"Garg","given":"Deepak","non-dropping-particle":"","parse-names":false,"suffix":""},{"dropping-particle":"","family":"Muthu","given":"Valliappan","non-dropping-particle":"","parse-names":false,"suffix":""},{"dropping-particle":"","family":"Sehgal","given":"Inderpaul Singh","non-dropping-particle":"","parse-names":false,"suffix":""},{"dropping-particle":"","family":"Ramachandran","given":"Raja","non-dropping-particle":"","parse-names":false,"suffix":""},{"dropping-particle":"","family":"Kaur","given":"Harsimran","non-dropping-particle":"","parse-names":false,"suffix":""},{"dropping-particle":"","family":"Bhalla","given":"Ashish","non-dropping-particle":"","parse-names":false,"suffix":""},{"dropping-particle":"","family":"Puri","given":"Goverdhan D.","non-dropping-particle":"","parse-names":false,"suffix":""},{"dropping-particle":"","family":"Chakrabarti","given":"Arunaloke","non-dropping-particle":"","parse-names":false,"suffix":""},{"dropping-particle":"","family":"Agarwal","given":"Ritesh","non-dropping-particle":"","parse-names":false,"suffix":""}],"container-title":"Mycopathologia","id":"ITEM-1","issue":"2","issued":{"date-parts":[["2021"]]},"page":"289-298","publisher":"Springer Netherlands","title":"Coronavirus Disease (Covid-19) Associated Mucormycosis (CAM): Case Report and Systematic Review of Literature","type":"article-journal","volume":"186"},"uris":["http://www.mendeley.com/documents/?uuid=76d619ec-bed7-4612-8ad7-7c97851a039b"]}],"mendeley":{"formattedCitation":"[18]","plainTextFormattedCitation":"[18]","previouslyFormattedCitation":"[18]"},"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[18]</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(Pulmonary CAM)</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(AMB)</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Junior ESM et al, Brazil,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{"citationItems":[{"id":"ITEM-1","itemData":{"DOI":"10.5946/CE.2020.180","ISSN":"22342443","PMID":"33207116","abstract":"The novel coronavirus disease (COVID-19) quickly spread to all continents. However, data regarding all the signs and symptoms of COVID-19 are insufficient. Patients with COVID-19 might present higher susceptibility to fungal coinfections. Mucormycosis is a rare and often life-threatening fungal disease characterized by vascular invasion by hyphae, resulting in thrombosis and necrosis. This is the first case report of mucormycosis in a COVID-19 patient. An 86-year-old male patient was admitted to the emergency room with acute diarrhea, cough, dyspnea, and fever from 5 days prior. Blood tests revealed a hemoglobin level of 14.3 mg/dL. Five days following the admission, the patient presented with melena and a hemoglobin level of 5.6 mg/dL. A transfusion of three units of red blood cells was required. Esophagogastroduodenoscopy revealed two giant gastric ulcers with necrotic debris and a deep hemorrhagic base without active bleeding. Furthermore, biopsies confirmed mucormycosis. Despite intensive care, the patient died 36 hours after the esophagogastroduodenoscopy.","author":[{"dropping-particle":"","family":"Monte","given":"Epifanio Silvino","non-dropping-particle":"Do","parse-names":false,"suffix":""},{"dropping-particle":"","family":"Santos","given":"Marcos Eduardo Lera","non-dropping-particle":"Dos","parse-names":false,"suffix":""},{"dropping-particle":"","family":"Ribeiro","given":"Igor Braga","non-dropping-particle":"","parse-names":false,"suffix":""},{"dropping-particle":"","family":"Oliveira Luz","given":"Gustavo","non-dropping-particle":"De","parse-names":false,"suffix":""},{"dropping-particle":"","family":"Baba","given":"Elisa Ryoka","non-dropping-particle":"","parse-names":false,"suffix":""},{"dropping-particle":"","family":"Hirsch","given":"Bruno Salomão","non-dropping-particle":"","parse-names":false,"suffix":""},{"dropping-particle":"","family":"Funari","given":"Mateus Pereira","non-dropping-particle":"","parse-names":false,"suffix":""},{"dropping-particle":"","family":"Moura","given":"Eduardo Guimarães Hourneaux","non-dropping-particle":"De","parse-names":false,"suffix":""}],"container-title":"Clinical Endoscopy","id":"ITEM-1","issue":"6","issued":{"date-parts":[["2020"]]},"page":"746-749","title":"Rare and fatal gastrointestinal mucormycosis (Zygomycosis) in a COVID-19 patient: A case report","type":"article-journal","volume":"53"},"uris":["http://www.mendeley.com/documents/?uuid=6aae7d38-5043-4daf-af9a-965aa5bd0cc7"]}],"mendeley":{"formattedCitation":"[47]","plainTextFormattedCitation":"[47]","previouslyFormattedCitation":"[46]"},"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[47]</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(Gastrointestinal CAM)</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Revannavar SM et al, India,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{"citationItems":[{"id":"ITEM-1","itemData":{"DOI":"10.1136/bcr-2021-241663","ISSN":"1757790X","PMID":"33906877","abstract":"A middle-aged woman with diabetes presented with left-sided facial pain, complete ptosis and fever of short duration. On presentation, she had hyperglycaemia without ketosis. There was total ophthalmoplegia of the left eye with a visual acuity of 6/36. She incidentally tested positive for COVID-19. CT paranasal sinus and MRI brain revealed left-sided pansinusitis with acute infarct in the left parieto-occipital region without angioinvasion. An emergency functional endoscopic sinus procedure was done, which confirmed mucormycosis on histopathological examination. After 1 week of conventional amphotericin B and antibiotics, repeat CT brain showed improvement in mucosal thickening and sinusitis. This case is a rare presentation of mucormycosis associated with rapid progression to orbital apex syndrome with brain infarction in a patient with non-ketotic diabetes and COVID-19. Early diagnosis and treatment are essential to prevent further end-organ damage. It is also interesting that there was no angioinvasion and transient periarterial inflammation was attributed to brain infarction.","author":[{"dropping-particle":"","family":"Revannavar","given":"Shweta Mallikarjun","non-dropping-particle":"","parse-names":false,"suffix":""},{"dropping-particle":"","family":"Supriya","given":"P.","non-dropping-particle":"","parse-names":false,"suffix":""},{"dropping-particle":"","family":"Samaga","given":"Laxminarayana","non-dropping-particle":"","parse-names":false,"suffix":""},{"dropping-particle":"","family":"Vineeth","given":"K.","non-dropping-particle":"","parse-names":false,"suffix":""}],"container-title":"BMJ Case Reports","id":"ITEM-1","issue":"4","issued":{"date-parts":[["2021"]]},"title":"COVID-19 triggering mucormycosis in a susceptible patient: A new phenomenon in the developing world?","type":"article-journal","volume":"14"},"uris":["http://www.mendeley.com/documents/?uuid=cb1a98c7-0f83-4608-8919-d8ee3cfd0e12"]}],"mendeley":{"formattedCitation":"[48]","plainTextFormattedCitation":"[48]","previouslyFormattedCitation":"[47]"},"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[48]</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(CAM)</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(AMB)</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Sari AP et al, Indonesia,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{"citationItems":[{"id":"ITEM-1","itemData":{"DOI":"10.1097/MD.0000000000025173","ISBN":"0000000000","ISSN":"15365964","PMID":"33761696","abstract":"RATIONALE: Bacterial and fungal infections in Coronavirus Disease-19 (COVID-19) patients have been inadequately investigated and reported thus far. The safety profile of tocilizumab (TCZ) administration in candidemia patient still debatable. PATIENT CONCERNS: A 54 year-old woman presenting with weakness on the left side of her body was diagnosed with COVID-19. After 7 days of admission, her condition worsened and developed respiratory distress and was having respiratory distress despite standard treatment. DIAGNOSES: Acute respiratory distress syndrome (ARDS) in COVID 19 was diagnoses based on real time-PCR swab, deterioration of PaO2/FiO2 and increased of acute phase reactants. INTERVENTIONS: Anti Interleukin-6 (IL-6) was considered to tackle her inflammatory condition. Prior to TCZ administration, blood culture was performed and the result came with Candida tropicalis in the absence of bacterial growth. OUTCOMES: No major complications associated with intravenous antifungal or TCZ occurred. After 40 days of hospitalization, the patient's clinical condition improved and was finally discharged. LESSONS: This case underscores the safety profile of giving TCZ in candidemia as a secondary infection in severe COVID-19 patient.","author":[{"dropping-particle":"","family":"Sari","given":"Anggraini Permata","non-dropping-particle":"","parse-names":false,"suffix":""},{"dropping-particle":"","family":"Darnindro","given":"Nikko","non-dropping-particle":"","parse-names":false,"suffix":""},{"dropping-particle":"","family":"Yohanes","given":"Aryan","non-dropping-particle":"","parse-names":false,"suffix":""},{"dropping-particle":"","family":"Mokoagow","given":"Muhammad Ikhsan","non-dropping-particle":"","parse-names":false,"suffix":""}],"container-title":"Medicine","id":"ITEM-1","issue":"12","issued":{"date-parts":[["2021"]]},"page":"e25173","title":"Role of tocilizumab for concomitant systemic fungal infection in severe COVID-19 patient: Case report","type":"article-journal","volume":"100"},"uris":["http://www.mendeley.com/documents/?uuid=776d8db1-38de-41e1-b26f-79fda30f92b7"]}],"mendeley":{"formattedCitation":"[49]","plainTextFormattedCitation":"[49]","previouslyFormattedCitation":"[48]"},"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[49]</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(CAC)</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(MIC)</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Chang CC et al, USA,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{"citationItems":[{"id":"ITEM-1","itemData":{"DOI":"10.1177/2324709620972244","ISSN":"23247096","PMID":"33167717","abstract":"The ongoing coronavirus disease-2019 (COVID-19) pandemic has been the focus of health care workers as it has affected millions of people and cost hundreds of thousands of lives around the world. As hospitals struggle to identify and care for those afflicted with COVID-19, it is easy to overlook endemic diseases that potentially worsen or mimic the pulmonary manifestations or may coinfect those with COVID-19. In this case report, we present the case of a 48-year-old Hispanic female who was admitted with respiratory distress from an acute COVID-19 infection but was also found to have acute pulmonary coccidioidomycosis infection and was treated successfully.","author":[{"dropping-particle":"","family":"Chang","given":"Cameron Casey","non-dropping-particle":"","parse-names":false,"suffix":""},{"dropping-particle":"","family":"Senining","given":"Randolph","non-dropping-particle":"","parse-names":false,"suffix":""},{"dropping-particle":"","family":"Kim","given":"Jessica","non-dropping-particle":"","parse-names":false,"suffix":""},{"dropping-particle":"","family":"Goyal","given":"Rajan","non-dropping-particle":"","parse-names":false,"suffix":""}],"container-title":"Journal of Investigative Medicine High Impact Case Reports","id":"ITEM-1","issued":{"date-parts":[["2020"]]},"page":"1-3","title":"An Acute Pulmonary Coccidioidomycosis Coinfection in a Patient Presenting With Multifocal Pneumonia With COVID-19","type":"article-journal","volume":"8"},"uris":["http://www.mendeley.com/documents/?uuid=21d87a6d-4979-41a5-8dc8-2848f096c749"]}],"mendeley":{"formattedCitation":"[50]","plainTextFormattedCitation":"[50]","previouslyFormattedCitation":"[49]"},"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[50]</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w:t>
            </w:r>
            <w:proofErr w:type="spellStart"/>
            <w:r w:rsidRPr="00516E46">
              <w:rPr>
                <w:rFonts w:ascii="Times New Roman" w:eastAsia="Times New Roman" w:hAnsi="Times New Roman" w:cs="Times New Roman"/>
                <w:color w:val="000000"/>
                <w:sz w:val="18"/>
                <w:szCs w:val="18"/>
                <w:lang w:val="en-US" w:bidi="ne-NP"/>
              </w:rPr>
              <w:t>Coccidioidomycosis</w:t>
            </w:r>
            <w:proofErr w:type="spellEnd"/>
            <w:r w:rsidRPr="00516E46">
              <w:rPr>
                <w:rFonts w:ascii="Times New Roman" w:eastAsia="Times New Roman" w:hAnsi="Times New Roman" w:cs="Times New Roman"/>
                <w:color w:val="000000"/>
                <w:sz w:val="18"/>
                <w:szCs w:val="18"/>
                <w:lang w:val="en-US" w:bidi="ne-NP"/>
              </w:rPr>
              <w:t>)</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(FLU)</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val="restart"/>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Ventoulis I et al, Greece,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{"citationItems":[{"id":"ITEM-1","itemData":{"DOI":"10.3390/jof6030098","ISBN":"3023109990","ISSN":"2309608X","PMID":"32630111","abstract":"Co-infections have an unknown impact on the morbidity and mortality of the new clinical syndrome called coronavirus disease 2019 (COVID-19). The syndrome is caused by the new pandemic coronavirus SARS-CoV-2 and it is probably connected with severe traces in the elements of the immune system. Apart from possible Aspergillus infections, particularly in patients with acute respiratory distress syndrome (ARDS), other fungal infections could occur, probably more easily, due to the immunological dysregulation and the critical condition of these patients. Probiotic preparations of Saccharomyces are broadly used for the prevention of antibiotic-associated complications, especially in the intensive care units (ICU). On the other hand, Saccharomyces organisms are reported as agents of invasive infection in immunocompromised or critically ill patients. We report two cases of bloodstream infection by Saccharomyces in two patients hospitalised in the ICU, due to severe COVID-19, after Saccharomyces supplementation.","author":[{"dropping-particle":"","family":"Ventoulis","given":"Ioannis","non-dropping-particle":"","parse-names":false,"suffix":""},{"dropping-particle":"","family":"Sarmourli","given":"Theopisti","non-dropping-particle":"","parse-names":false,"suffix":""},{"dropping-particle":"","family":"Amoiridou","given":"Pinelopi","non-dropping-particle":"","parse-names":false,"suffix":""},{"dropping-particle":"","family":"Mantzana","given":"Paraskevi","non-dropping-particle":"","parse-names":false,"suffix":""},{"dropping-particle":"","family":"Exindari","given":"Maria","non-dropping-particle":"","parse-names":false,"suffix":""},{"dropping-particle":"","family":"Gioula","given":"Georgia","non-dropping-particle":"","parse-names":false,"suffix":""},{"dropping-particle":"","family":"Vyzantiadis","given":"Timoleon Achilleas","non-dropping-particle":"","parse-names":false,"suffix":""}],"container-title":"Journal of Fungi","id":"ITEM-1","issue":"98","issued":{"date-parts":[["2020"]]},"page":"1-7","title":"Bloodstream infection by saccharomyces cerevisiae in two covid-19 patients after receiving supplementation of saccharomyces in the icu","type":"article-journal","volume":"6"},"uris":["http://www.mendeley.com/documents/?uuid=fc3338d1-ce88-4236-950c-59448bfde450"]}],"mendeley":{"formattedCitation":"[51]","plainTextFormattedCitation":"[51]","previouslyFormattedCitation":"[50]"},"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[51]</w:t>
            </w:r>
            <w:r w:rsidRPr="00516E46">
              <w:rPr>
                <w:rFonts w:ascii="Times New Roman" w:hAnsi="Times New Roman" w:cs="Times New Roman"/>
                <w:sz w:val="18"/>
                <w:szCs w:val="18"/>
              </w:rPr>
              <w:fldChar w:fldCharType="end"/>
            </w:r>
          </w:p>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(Reports of 2 cases)</w:t>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 xml:space="preserve">(S. </w:t>
            </w:r>
            <w:proofErr w:type="spellStart"/>
            <w:r w:rsidRPr="00516E46">
              <w:rPr>
                <w:rFonts w:ascii="Times New Roman" w:eastAsia="Times New Roman" w:hAnsi="Times New Roman" w:cs="Times New Roman"/>
                <w:color w:val="000000"/>
                <w:sz w:val="18"/>
                <w:szCs w:val="18"/>
                <w:lang w:val="en-US" w:bidi="ne-NP"/>
              </w:rPr>
              <w:t>cerevisiae</w:t>
            </w:r>
            <w:proofErr w:type="spellEnd"/>
            <w:r w:rsidRPr="00516E46">
              <w:rPr>
                <w:rFonts w:ascii="Times New Roman" w:eastAsia="Times New Roman" w:hAnsi="Times New Roman" w:cs="Times New Roman"/>
                <w:color w:val="000000"/>
                <w:sz w:val="18"/>
                <w:szCs w:val="18"/>
                <w:lang w:val="en-US" w:bidi="ne-NP"/>
              </w:rPr>
              <w:t>)</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(ANI+FLU)</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vMerge/>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 xml:space="preserve">(S. </w:t>
            </w:r>
            <w:proofErr w:type="spellStart"/>
            <w:r w:rsidRPr="00516E46">
              <w:rPr>
                <w:rFonts w:ascii="Times New Roman" w:eastAsia="Times New Roman" w:hAnsi="Times New Roman" w:cs="Times New Roman"/>
                <w:color w:val="000000"/>
                <w:sz w:val="18"/>
                <w:szCs w:val="18"/>
                <w:lang w:val="en-US" w:bidi="ne-NP"/>
              </w:rPr>
              <w:t>cerevisiae</w:t>
            </w:r>
            <w:proofErr w:type="spellEnd"/>
            <w:r w:rsidRPr="00516E46">
              <w:rPr>
                <w:rFonts w:ascii="Times New Roman" w:eastAsia="Times New Roman" w:hAnsi="Times New Roman" w:cs="Times New Roman"/>
                <w:color w:val="000000"/>
                <w:sz w:val="18"/>
                <w:szCs w:val="18"/>
                <w:lang w:val="en-US" w:bidi="ne-NP"/>
              </w:rPr>
              <w:t>)</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(ANI+FLU)</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Bertolini M et al, Argentina, 202</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{"citationItems":[{"id":"ITEM-1","itemData":{"DOI":"10.1177/0956462420957518","ISSN":"17581052","PMID":"32903133","abstract":"Limited information is available concerning the coexistence of COVID-19 and opportunistic infections in people living with HIV. The possible association of COVID-19 with AIDS-related respiratory diseases should be considered, particularly in patients with advance immunosuppression. We report the case of a male patient with AIDS-related disseminated histoplasmosis associated with COVID-19.","author":[{"dropping-particle":"","family":"Bertolini","given":"Mauro","non-dropping-particle":"","parse-names":false,"suffix":""},{"dropping-particle":"","family":"Mutti","given":"María Felicitas","non-dropping-particle":"","parse-names":false,"suffix":""},{"dropping-particle":"","family":"Barletta","given":"José A.E.","non-dropping-particle":"","parse-names":false,"suffix":""},{"dropping-particle":"","family":"Falak","given":"Adriana","non-dropping-particle":"","parse-names":false,"suffix":""},{"dropping-particle":"","family":"Cuatz","given":"Daniel","non-dropping-particle":"","parse-names":false,"suffix":""},{"dropping-particle":"","family":"Sisto","given":"Alicia","non-dropping-particle":"","parse-names":false,"suffix":""},{"dropping-particle":"","family":"Ragusa","given":"Martín A.","non-dropping-particle":"","parse-names":false,"suffix":""},{"dropping-particle":"","family":"Fernandez Claros","given":"Nigel Osvaldo","non-dropping-particle":"","parse-names":false,"suffix":""},{"dropping-particle":"","family":"Rolón","given":"María José","non-dropping-particle":"","parse-names":false,"suffix":""}],"container-title":"International Journal of STD and AIDS","id":"ITEM-1","issue":"12","issued":{"date-parts":[["2020"]]},"page":"1222-1224","title":"COVID-19 associated with AIDS-related disseminated histoplasmosis: a case report","type":"article-journal","volume":"31"},"uris":["http://www.mendeley.com/documents/?uuid=5bc54531-42f4-4b76-8dc6-733d4ac443e7"]}],"mendeley":{"formattedCitation":"[52]","plainTextFormattedCitation":"[52]","previouslyFormattedCitation":"[51]"},"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[52]</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w:t>
            </w:r>
            <w:proofErr w:type="spellStart"/>
            <w:r w:rsidRPr="00516E46">
              <w:rPr>
                <w:rFonts w:ascii="Times New Roman" w:eastAsia="Times New Roman" w:hAnsi="Times New Roman" w:cs="Times New Roman"/>
                <w:color w:val="000000"/>
                <w:sz w:val="18"/>
                <w:szCs w:val="18"/>
                <w:lang w:val="en-US" w:bidi="ne-NP"/>
              </w:rPr>
              <w:t>Histoplasmosis</w:t>
            </w:r>
            <w:proofErr w:type="spellEnd"/>
            <w:r w:rsidRPr="00516E46">
              <w:rPr>
                <w:rFonts w:ascii="Times New Roman" w:eastAsia="Times New Roman" w:hAnsi="Times New Roman" w:cs="Times New Roman"/>
                <w:color w:val="000000"/>
                <w:sz w:val="18"/>
                <w:szCs w:val="18"/>
                <w:lang w:val="en-US" w:bidi="ne-NP"/>
              </w:rPr>
              <w:t>)</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(AMB+ITR)</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63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Khatib MY et al, Qatar,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{"citationItems":[{"id":"ITEM-1","itemData":{"DOI":"10.1002/ccr3.3668","ISSN":"20500904","abstract":"The authors urge clinicians to balance the use of Immunosuppressant drugs and tocilizumab for COVID-19 patients to avoid the development of infections like Cryptococcemia, leading to death within 30 days.","author":[{"dropping-particle":"","family":"Khatib","given":"Mohamad Y.","non-dropping-particle":"","parse-names":false,"suffix":""},{"dropping-particle":"","family":"Ahmed","given":"Amna A.","non-dropping-particle":"","parse-names":false,"suffix":""},{"dropping-particle":"","family":"Shaat","given":"Said B","non-dropping-particle":"","parse-names":false,"suffix":""},{"dropping-particle":"","family":"Mohamed","given":"Ahmed S.","non-dropping-particle":"","parse-names":false,"suffix":""},{"dropping-particle":"","family":"Nashwan","given":"Abdulqadir J.","non-dropping-particle":"","parse-names":false,"suffix":""}],"container-title":"Clinical Case Reports","id":"ITEM-1","issue":"2","issued":{"date-parts":[["2021"]]},"page":"853-855","title":"Cryptococcemia in a patient with COVID-19: A case report","type":"article-journal","volume":"9"},"uris":["http://www.mendeley.com/documents/?uuid=ec3c184f-c6b6-4436-8a57-57af1d633cf9"]}],"mendeley":{"formattedCitation":"[53]","plainTextFormattedCitation":"[53]","previouslyFormattedCitation":"[52]"},"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[53]</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w:t>
            </w:r>
            <w:proofErr w:type="spellStart"/>
            <w:r w:rsidRPr="00516E46">
              <w:rPr>
                <w:rFonts w:ascii="Times New Roman" w:eastAsia="Times New Roman" w:hAnsi="Times New Roman" w:cs="Times New Roman"/>
                <w:color w:val="000000"/>
                <w:sz w:val="18"/>
                <w:szCs w:val="18"/>
                <w:lang w:val="en-US" w:bidi="ne-NP"/>
              </w:rPr>
              <w:t>Cryptococcemia</w:t>
            </w:r>
            <w:proofErr w:type="spellEnd"/>
            <w:r w:rsidRPr="00516E46">
              <w:rPr>
                <w:rFonts w:ascii="Times New Roman" w:eastAsia="Times New Roman" w:hAnsi="Times New Roman" w:cs="Times New Roman"/>
                <w:color w:val="000000"/>
                <w:sz w:val="18"/>
                <w:szCs w:val="18"/>
                <w:lang w:val="en-US" w:bidi="ne-NP"/>
              </w:rPr>
              <w:t>)</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(ANI+AMB+FLUC)</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lang w:val="en-US" w:bidi="ne-NP"/>
              </w:rPr>
              <w:t>Seitz T et al, Austria, 2020</w:t>
            </w:r>
            <w:r w:rsidRPr="00516E46">
              <w:rPr>
                <w:rFonts w:ascii="Times New Roman" w:hAnsi="Times New Roman" w:cs="Times New Roman"/>
                <w:sz w:val="18"/>
                <w:szCs w:val="18"/>
                <w:lang w:val="en-US" w:bidi="ne-NP"/>
              </w:rPr>
              <w:fldChar w:fldCharType="begin" w:fldLock="1"/>
            </w:r>
            <w:r w:rsidRPr="00516E46">
              <w:rPr>
                <w:rFonts w:ascii="Times New Roman" w:hAnsi="Times New Roman" w:cs="Times New Roman"/>
                <w:sz w:val="18"/>
                <w:szCs w:val="18"/>
                <w:lang w:val="en-US" w:bidi="ne-NP"/>
              </w:rPr>
              <w:instrText>ADDIN CSL_CITATION {"citationItems":[{"id":"ITEM-1","itemData":{"DOI":"10.1007/s15010-020-01458-9","ISBN":"0123456789","ISSN":"14390973","PMID":"32535876","abstract":"We report the successful management of a patient with severe respiratory failure due to COVID-19 admitted to an intensive care unit complicated by secondary catheter-related infection of Candida glabrata. We are discussing some of the clinical challenges and the pitfalls in molecular diagnosis of SARS-CoV-2, including the fact that a positive PCR result may not always reflect infectiousness.","author":[{"dropping-particle":"","family":"Seitz","given":"T.","non-dropping-particle":"","parse-names":false,"suffix":""},{"dropping-particle":"","family":"Hoepler","given":"W.","non-dropping-particle":"","parse-names":false,"suffix":""},{"dropping-particle":"","family":"Weseslindtner","given":"L.","non-dropping-particle":"","parse-names":false,"suffix":""},{"dropping-particle":"","family":"Aberle","given":"J. H.","non-dropping-particle":"","parse-names":false,"suffix":""},{"dropping-particle":"","family":"Aberle","given":"S. W.","non-dropping-particle":"","parse-names":false,"suffix":""},{"dropping-particle":"","family":"Puchhammer-Stoeckl","given":"E.","non-dropping-particle":"","parse-names":false,"suffix":""},{"dropping-particle":"","family":"Baumgartner","given":"S.","non-dropping-particle":"","parse-names":false,"suffix":""},{"dropping-particle":"","family":"Traugott","given":"M.","non-dropping-particle":"","parse-names":false,"suffix":""},{"dropping-particle":"","family":"Karolyi","given":"M.","non-dropping-particle":"","parse-names":false,"suffix":""},{"dropping-particle":"","family":"Pawelka","given":"E.","non-dropping-particle":"","parse-names":false,"suffix":""},{"dropping-particle":"","family":"Niculescu","given":"I.","non-dropping-particle":"","parse-names":false,"suffix":""},{"dropping-particle":"","family":"Friese","given":"E.","non-dropping-particle":"","parse-names":false,"suffix":""},{"dropping-particle":"","family":"Neuhold","given":"S.","non-dropping-particle":"","parse-names":false,"suffix":""},{"dropping-particle":"","family":"Stahl","given":"D.","non-dropping-particle":"","parse-names":false,"suffix":""},{"dropping-particle":"","family":"Madl","given":"C.","non-dropping-particle":"","parse-names":false,"suffix":""},{"dropping-particle":"","family":"Zoufaly","given":"A.","non-dropping-particle":"","parse-names":false,"suffix":""},{"dropping-particle":"","family":"Wenisch","given":"C.","non-dropping-particle":"","parse-names":false,"suffix":""},{"dropping-particle":"","family":"Laferl","given":"H.","non-dropping-particle":"","parse-names":false,"suffix":""}],"container-title":"Infection","id":"ITEM-1","issue":"4","issued":{"date-parts":[["2020"]]},"page":"647-651","publisher":"Springer Berlin Heidelberg","title":"Successful management of the first reported case in Austria of COVID-19 with ARDS","type":"article-journal","volume":"48"},"uris":["http://www.mendeley.com/documents/?uuid=d3775b40-5b75-4c2d-b954-0cf2854a4ac0"]}],"mendeley":{"formattedCitation":"[54]","plainTextFormattedCitation":"[54]","previouslyFormattedCitation":"[53]"},"properties":{"noteIndex":0},"schema":"https://github.com/citation-style-language/schema/raw/master/csl-citation.json"}</w:instrText>
            </w:r>
            <w:r w:rsidRPr="00516E46">
              <w:rPr>
                <w:rFonts w:ascii="Times New Roman" w:hAnsi="Times New Roman" w:cs="Times New Roman"/>
                <w:sz w:val="18"/>
                <w:szCs w:val="18"/>
                <w:lang w:val="en-US" w:bidi="ne-NP"/>
              </w:rPr>
              <w:fldChar w:fldCharType="separate"/>
            </w:r>
            <w:r w:rsidRPr="00516E46">
              <w:rPr>
                <w:rFonts w:ascii="Times New Roman" w:hAnsi="Times New Roman" w:cs="Times New Roman"/>
                <w:noProof/>
                <w:sz w:val="18"/>
                <w:szCs w:val="18"/>
                <w:lang w:val="en-US" w:bidi="ne-NP"/>
              </w:rPr>
              <w:t>[54]</w:t>
            </w:r>
            <w:r w:rsidRPr="00516E46">
              <w:rPr>
                <w:rFonts w:ascii="Times New Roman" w:hAnsi="Times New Roman" w:cs="Times New Roman"/>
                <w:sz w:val="18"/>
                <w:szCs w:val="18"/>
                <w:lang w:val="en-US" w:bidi="ne-NP"/>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(CAC)</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(CAS)</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51"/>
        </w:trPr>
        <w:tc>
          <w:tcPr>
            <w:tcW w:w="15570" w:type="dxa"/>
            <w:gridSpan w:val="12"/>
            <w:shd w:val="clear" w:color="auto" w:fill="auto"/>
            <w:noWrap/>
            <w:vAlign w:val="center"/>
            <w:hideMark/>
          </w:tcPr>
          <w:p w:rsidR="000E4732" w:rsidRPr="00516E46" w:rsidRDefault="000E4732" w:rsidP="000E4732">
            <w:pPr>
              <w:rPr>
                <w:rFonts w:ascii="Times New Roman" w:eastAsia="Times New Roman" w:hAnsi="Times New Roman" w:cs="Times New Roman"/>
                <w:b/>
                <w:bCs/>
                <w:sz w:val="18"/>
                <w:szCs w:val="18"/>
                <w:lang w:val="en-US" w:bidi="ne-NP"/>
              </w:rPr>
            </w:pPr>
            <w:r w:rsidRPr="00516E46">
              <w:rPr>
                <w:rFonts w:ascii="Times New Roman" w:eastAsia="Times New Roman" w:hAnsi="Times New Roman" w:cs="Times New Roman"/>
                <w:b/>
                <w:bCs/>
                <w:color w:val="000000"/>
                <w:sz w:val="18"/>
                <w:szCs w:val="18"/>
                <w:lang w:val="en-US" w:bidi="ne-NP"/>
              </w:rPr>
              <w:t>Case series:</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color w:val="000000" w:themeColor="text1"/>
                <w:sz w:val="18"/>
                <w:szCs w:val="18"/>
              </w:rPr>
              <w:t>Meijer EFJ et al, Netherlands, 2020</w:t>
            </w:r>
            <w:r w:rsidRPr="00516E46">
              <w:rPr>
                <w:rFonts w:ascii="Times New Roman" w:hAnsi="Times New Roman" w:cs="Times New Roman"/>
                <w:color w:val="000000" w:themeColor="text1"/>
                <w:sz w:val="18"/>
                <w:szCs w:val="18"/>
              </w:rPr>
              <w:fldChar w:fldCharType="begin" w:fldLock="1"/>
            </w:r>
            <w:r w:rsidRPr="00516E46">
              <w:rPr>
                <w:rFonts w:ascii="Times New Roman" w:hAnsi="Times New Roman" w:cs="Times New Roman"/>
                <w:color w:val="000000" w:themeColor="text1"/>
                <w:sz w:val="18"/>
                <w:szCs w:val="18"/>
              </w:rPr>
              <w:instrText>ADDIN CSL_CITATION {"citationItems":[{"id":"ITEM-1","itemData":{"DOI":"10.1111/myc.13254","ISSN":"14390507","PMID":"33569857","abstract":"Background: COVID-19–associated pulmonary aspergillosis (CAPA) has emerged as an invasive fungal disease, often affecting previously immunocompetent, mechanically ventilated, intensive care unit (ICU) patients. Incidence rates of 3.8%–33.3% have been reported depending on the geographic area, with high (47%) mortality. Objectives: Here, we describe a single-centre prospective case series with CAPA cases from both the first (March-May, n = 5/33) and second (mid-September through mid-December, n = 8/33) COVID-19 wave at a 500-bed teaching hospital in the Netherlands. Patients/Methods: In the first COVID-19 wave, a total of 265 SARS-CoV-2 PCR-positive patients were admitted to our hospital of whom 33 needed intubation and mechanical ventilation. In the second wave, 508 SARS-CoV-2 PCR-positive patients were admitted of whom 33 needed mechanical ventilation. Data were prospectively collected. Results: We found a significant decrease in COVID-19 patients needing mechanical ventilation in the ICU in the second wave (p &lt;.01). From these patients, however, a higher percentage were diagnosed with CAPA (24.2% vs 15.2%), although not significant (p =.36). All CAPA patients encountered in the second wave received dexamethasone. Mortality between both groups was similarly high (40%–50%). Moreover, we found environmental TR34/L98H azole-resistant Aspergillus fumigatus isolates in two separate patients. Conclusions: In this series, 19.7% (n = 13/66) of mechanically ventilated SARS-CoV-2 patients were diagnosed with CAPA. In addition, we found a significant reduction in COVID-19 patients needing mechanical ventilation on the ICU in the second wave. Numbers are too small to determine whether there is a true difference in CAPA incidence in mechanically ventilated patients between the two waves, and whether it could be attributed to dexamethasone SARS-CoV-2 therapy.","author":[{"dropping-particle":"","family":"Meijer","given":"Eelco F.J.","non-dropping-particle":"","parse-names":false,"suffix":""},{"dropping-particle":"","family":"Dofferhoff","given":"Anton S.M.","non-dropping-particle":"","parse-names":false,"suffix":""},{"dropping-particle":"","family":"Hoiting","given":"Oscar","non-dropping-particle":"","parse-names":false,"suffix":""},{"dropping-particle":"","family":"Meis","given":"Jacques F.","non-dropping-particle":"","parse-names":false,"suffix":""}],"container-title":"Mycoses","id":"ITEM-1","issue":"4","issued":{"date-parts":[["2021"]]},"page":"457-464","title":"COVID-19–associated pulmonary aspergillosis: a prospective single-center dual case series","type":"article-journal","volume":"64"},"uris":["http://www.mendeley.com/documents/?uuid=cb55ae66-58e2-445d-86ec-8910d3364a59"]}],"mendeley":{"formattedCitation":"[55]","plainTextFormattedCitation":"[55]","previouslyFormattedCitation":"[54]"},"properties":{"noteIndex":0},"schema":"https://github.com/citation-style-language/schema/raw/master/csl-citation.json"}</w:instrText>
            </w:r>
            <w:r w:rsidRPr="00516E46">
              <w:rPr>
                <w:rFonts w:ascii="Times New Roman" w:hAnsi="Times New Roman" w:cs="Times New Roman"/>
                <w:color w:val="000000" w:themeColor="text1"/>
                <w:sz w:val="18"/>
                <w:szCs w:val="18"/>
              </w:rPr>
              <w:fldChar w:fldCharType="separate"/>
            </w:r>
            <w:r w:rsidRPr="00516E46">
              <w:rPr>
                <w:rFonts w:ascii="Times New Roman" w:hAnsi="Times New Roman" w:cs="Times New Roman"/>
                <w:noProof/>
                <w:color w:val="000000" w:themeColor="text1"/>
                <w:sz w:val="18"/>
                <w:szCs w:val="18"/>
              </w:rPr>
              <w:t>[55]</w:t>
            </w:r>
            <w:r w:rsidRPr="00516E46">
              <w:rPr>
                <w:rFonts w:ascii="Times New Roman" w:hAnsi="Times New Roman" w:cs="Times New Roman"/>
                <w:color w:val="000000" w:themeColor="text1"/>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13</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7</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2</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(CAS+AMB:1, CAS+VOR:1)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p>
        </w:tc>
        <w:tc>
          <w:tcPr>
            <w:tcW w:w="186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(CAS+VOR+AMB)</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6</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7</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Benedetti MF et al, Argentina,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{"citationItems":[{"id":"ITEM-1","itemData":{"DOI":"10.1016/j.mmcr.2020.11.003","ISSN":"22117539","PMID":"33312852","abstract":"Invasive pulmonary aspergillosis is a complication in critically ill patients with acute respiratory distress syndrome, especially those with severe coronavirus disease-associated pneumonia. In this study, five cases of presumed invasive pulmonary aspergillosis in one immunocompromised and four immunocompetent patients with COVID-19 in Buenos Aires are described. In all cases, the underlying conditions, clinical presentation, fungal diagnostic tests used and their results, features of the chest scan images, antifungals used and clinical outcomes are detailed.","author":[{"dropping-particle":"","family":"Benedetti","given":"María Fernanda","non-dropping-particle":"","parse-names":false,"suffix":""},{"dropping-particle":"","family":"Alava","given":"Katherine Hermida","non-dropping-particle":"","parse-names":false,"suffix":""},{"dropping-particle":"","family":"Sagardia","given":"Judith","non-dropping-particle":"","parse-names":false,"suffix":""},{"dropping-particle":"","family":"Cadena","given":"Roberto Corella","non-dropping-particle":"","parse-names":false,"suffix":""},{"dropping-particle":"","family":"Laplume","given":"Diego","non-dropping-particle":"","parse-names":false,"suffix":""},{"dropping-particle":"","family":"Capece","given":"Paula","non-dropping-particle":"","parse-names":false,"suffix":""},{"dropping-particle":"","family":"Posse","given":"Gladys","non-dropping-particle":"","parse-names":false,"suffix":""},{"dropping-particle":"","family":"Nusblat","given":"Alejandro David","non-dropping-particle":"","parse-names":false,"suffix":""},{"dropping-particle":"","family":"Cuestas","given":"María Luján","non-dropping-particle":"","parse-names":false,"suffix":""}],"container-title":"Medical Mycology Case Reports","id":"ITEM-1","issue":"2021","issued":{"date-parts":[["2021"]]},"page":"24-28","title":"COVID-19 associated pulmonary aspergillosis in ICU patients: Report of five cases from Argentina","type":"article-journal","volume":"31"},"uris":["http://www.mendeley.com/documents/?uuid=edf6742a-d5c9-4308-8940-bad69ef05f05"]}],"mendeley":{"formattedCitation":"[56]","plainTextFormattedCitation":"[56]","previouslyFormattedCitation":"[55]"},"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[56]</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5</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6</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(VOR:4, AMB: 1, FLU:1)</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4</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Flikweert AW et al,</w:t>
            </w:r>
          </w:p>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Netherlands,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{"citationItems":[{"id":"ITEM-1","itemData":{"DOI":"10.1016/j.jcrc.2020.07.002","ISSN":"1557-8615 (Electronic)","PMID":"32674001","abstract":"PURPOSE: Pathological data of critical ill COVID-19 patients is essential in the search for optimal treatment options. MATERIAL AND METHODS: We performed postmortem needle core lung biopsies in seven patients with COVID-19 related ARDS. Clinical, radiological and microbiological characteristics are reported together with histopathological findings. MEASUREMENT AND MAIN RESULTS: Patients age ranged from 58 to 83 years, five males and two females were included. Time from hospital admission to death ranged from 12 to 36 days, with a mean of 20 ventilated days. ICU stay was complicated by pulmonary embolism in five patients and positive galactomannan on bronchoalveolar lavage fluid in six patients, suggesting COVID-19 associated pulmonary aspergillosis. Chest CT in all patients showed ground glass opacities, commonly progressing to nondependent consolidations. We observed four distinct histopathological patterns: acute fibrinous and organizing pneumonia, diffuse alveolar damage, fibrosis and, in four out of seven patients an organizing pneumonia. None of the biopsy specimens showed any signs of invasive aspergillosis. CONCLUSIONS: In this case series common late histopathology in critically ill COVID patients is not classic DAD but heterogeneous with predominant pattern of organizing pneumonia. Postmortem biopsy investigations in critically COVID-19 patients with probable COVID-19 associated pulmonary aspergillosis obtained no evidence for invasive aspergillosis.","author":[{"dropping-particle":"","family":"Flikweert","given":"Antine W","non-dropping-particle":"","parse-names":false,"suffix":""},{"dropping-particle":"","family":"Grootenboers","given":"Marco J J H","non-dropping-particle":"","parse-names":false,"suffix":""},{"dropping-particle":"","family":"Yick","given":"David C Y","non-dropping-particle":"","parse-names":false,"suffix":""},{"dropping-particle":"","family":"Mée","given":"Arthur W F","non-dropping-particle":"du","parse-names":false,"suffix":""},{"dropping-particle":"","family":"Meer","given":"Nardo J M","non-dropping-particle":"van der","parse-names":false,"suffix":""},{"dropping-particle":"","family":"Rettig","given":"Thijs C D","non-dropping-particle":"","parse-names":false,"suffix":""},{"dropping-particle":"","family":"Kant","given":"Merijn K M","non-dropping-particle":"","parse-names":false,"suffix":""}],"container-title":"Journal of critical care","id":"ITEM-1","issued":{"date-parts":[["2020","10"]]},"language":"eng","page":"149-155","title":"Late histopathologic characteristics of critically ill COVID-19 patients: Different phenotypes without evidence of invasive aspergillosis, a case series.","type":"article-journal","volume":"59"},"uris":["http://www.mendeley.com/documents/?uuid=4da62d21-84d5-465f-ae4d-16e1abb7be1e"]}],"mendeley":{"formattedCitation":"[57]","plainTextFormattedCitation":"[57]","previouslyFormattedCitation":"[56]"},"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[57]</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7</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6</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(VOR+ANI)</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3</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4</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hAnsi="Times New Roman" w:cs="Times New Roman"/>
                <w:b/>
                <w:bCs/>
                <w:sz w:val="18"/>
                <w:szCs w:val="18"/>
              </w:rPr>
            </w:pPr>
            <w:r w:rsidRPr="00516E46">
              <w:rPr>
                <w:rFonts w:ascii="Times New Roman" w:hAnsi="Times New Roman" w:cs="Times New Roman"/>
                <w:b/>
                <w:bCs/>
                <w:sz w:val="18"/>
                <w:szCs w:val="18"/>
              </w:rPr>
              <w:t>Sub-total (Case report &amp; series)</w:t>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63</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32</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26</w:t>
            </w:r>
          </w:p>
        </w:tc>
        <w:tc>
          <w:tcPr>
            <w:tcW w:w="186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2</w:t>
            </w:r>
          </w:p>
        </w:tc>
        <w:tc>
          <w:tcPr>
            <w:tcW w:w="99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2</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0</w:t>
            </w:r>
          </w:p>
        </w:tc>
        <w:tc>
          <w:tcPr>
            <w:tcW w:w="63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21</w:t>
            </w:r>
          </w:p>
        </w:tc>
        <w:tc>
          <w:tcPr>
            <w:tcW w:w="63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12</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26</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37</w:t>
            </w:r>
          </w:p>
        </w:tc>
        <w:tc>
          <w:tcPr>
            <w:tcW w:w="990"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NA</w:t>
            </w:r>
          </w:p>
        </w:tc>
      </w:tr>
      <w:tr w:rsidR="000E4732" w:rsidRPr="00516E46" w:rsidTr="000E4732">
        <w:trPr>
          <w:trHeight w:val="161"/>
        </w:trPr>
        <w:tc>
          <w:tcPr>
            <w:tcW w:w="15570" w:type="dxa"/>
            <w:gridSpan w:val="12"/>
            <w:shd w:val="clear" w:color="auto" w:fill="auto"/>
            <w:noWrap/>
            <w:vAlign w:val="center"/>
            <w:hideMark/>
          </w:tcPr>
          <w:p w:rsidR="000E4732" w:rsidRPr="00516E46" w:rsidRDefault="000E4732" w:rsidP="000E4732">
            <w:pP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Cohort study (observational &amp; retrospective studies):</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Rothe K et al, Germany,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{"citationItems":[{"id":"ITEM-1","itemData":{"DOI":"10.1007/s10096-020-04063-8","ISBN":"1009602004","ISSN":"14354373","PMID":"33140176","abstract":"The coronavirus disease 2019 (COVID-19) caused by the severe acute respiratory syndrome coronavirus 2 (SARS-CoV-2) has spread worldwide. Bacterial co-infections are associated with unfavourable outcomes in respiratory viral infections; however, microbiological and antibiotic data related to COVID-19 are sparse. Adequate use of antibiotics in line with antibiotic stewardship (ABS) principles is warranted during the pandemic. We performed a retrospective study of clinical and microbiological characteristics of 140 COVID-19 patients admitted between February and April 2020 to a German University hospital, with a focus on bacterial co-infections and antimicrobial therapy. The final date of follow-up was 6 May 2020. Clinical data of 140 COVID-19 patients were recorded: The median age was 63.5 (range 17–99) years; 64% were males. According to the implemented local ABS guidelines, the most commonly used antibiotic regimen was ampicillin/sulbactam (41.5%) with a median duration of 6 (range 1–13) days. Urinary antigen tests for Legionella pneumophila and Streptococcus peumoniae were negative in all cases. In critically ill patients admitted to intensive care units (n = 50), co-infections with Enterobacterales (34.0%) and Aspergillus fumigatus (18.0%) were detected. Blood cultures collected at admission showed a diagnostic yield of 4.2%. Bacterial and fungal co-infections are rare in COVID-19 patients and are mainly prevalent in critically ill patients. Further studies are needed to assess the impact of antimicrobial therapy on therapeutic outcome in COVID-19 patients to prevent antimicrobial overuse. ABS guidelines could help in optimising the management of COVID-19. Investigation of microbial patterns of infectious complications in critically ill COVID-19 patients is also required.","author":[{"dropping-particle":"","family":"Rothe","given":"Kathrin","non-dropping-particle":"","parse-names":false,"suffix":""},{"dropping-particle":"","family":"Feihl","given":"Susanne","non-dropping-particle":"","parse-names":false,"suffix":""},{"dropping-particle":"","family":"Schneider","given":"Jochen","non-dropping-particle":"","parse-names":false,"suffix":""},{"dropping-particle":"","family":"Wallnöfer","given":"Fabian","non-dropping-particle":"","parse-names":false,"suffix":""},{"dropping-particle":"","family":"Wurst","given":"Milena","non-dropping-particle":"","parse-names":false,"suffix":""},{"dropping-particle":"","family":"Lukas","given":"Marina","non-dropping-particle":"","parse-names":false,"suffix":""},{"dropping-particle":"","family":"Treiber","given":"Matthias","non-dropping-particle":"","parse-names":false,"suffix":""},{"dropping-particle":"","family":"Lahmer","given":"Tobias","non-dropping-particle":"","parse-names":false,"suffix":""},{"dropping-particle":"","family":"Heim","given":"Markus","non-dropping-particle":"","parse-names":false,"suffix":""},{"dropping-particle":"","family":"Dommasch","given":"Michael","non-dropping-particle":"","parse-names":false,"suffix":""},{"dropping-particle":"","family":"Waschulzik","given":"Birgit","non-dropping-particle":"","parse-names":false,"suffix":""},{"dropping-particle":"","family":"Zink","given":"Alexander","non-dropping-particle":"","parse-names":false,"suffix":""},{"dropping-particle":"","family":"Querbach","given":"Christiane","non-dropping-particle":"","parse-names":false,"suffix":""},{"dropping-particle":"","family":"Busch","given":"Dirk H.","non-dropping-particle":"","parse-names":false,"suffix":""},{"dropping-particle":"","family":"Schmid","given":"Roland M.","non-dropping-particle":"","parse-names":false,"suffix":""},{"dropping-particle":"","family":"Schneider","given":"Gerhard","non-dropping-particle":"","parse-names":false,"suffix":""},{"dropping-particle":"","family":"Spinner","given":"Christoph D.","non-dropping-particle":"","parse-names":false,"suffix":""}],"container-title":"European Journal of Clinical Microbiology and Infectious Diseases","id":"ITEM-1","issue":"4","issued":{"date-parts":[["2021"]]},"page":"859-869","publisher":"European Journal of Clinical Microbiology &amp; Infectious Diseases","title":"Rates of bacterial co-infections and antimicrobial use in COVID-19 patients: a retrospective cohort study in light of antibiotic stewardship","type":"article-journal","volume":"40"},"uris":["http://www.mendeley.com/documents/?uuid=4c4cf734-8d07-4a8b-bf6e-237acae3e68b"]}],"mendeley":{"formattedCitation":"[58]","plainTextFormattedCitation":"[58]","previouslyFormattedCitation":"[57]"},"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[58]</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12</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(CAPA-9; CAC-3)</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sz w:val="18"/>
                <w:szCs w:val="18"/>
                <w:lang w:val="en-US" w:bidi="ne-NP"/>
              </w:rPr>
            </w:pPr>
            <w:r w:rsidRPr="00516E46">
              <w:rPr>
                <w:rFonts w:ascii="Times New Roman" w:eastAsia="Times New Roman" w:hAnsi="Times New Roman" w:cs="Times New Roman"/>
                <w:sz w:val="18"/>
                <w:szCs w:val="18"/>
                <w:lang w:val="en-US" w:bidi="ne-NP"/>
              </w:rPr>
              <w:t>23</w:t>
            </w:r>
          </w:p>
          <w:p w:rsidR="000E4732" w:rsidRPr="00516E46" w:rsidRDefault="000E4732" w:rsidP="000E4732">
            <w:pPr>
              <w:jc w:val="center"/>
              <w:rPr>
                <w:rFonts w:ascii="Times New Roman" w:eastAsia="Times New Roman" w:hAnsi="Times New Roman" w:cs="Times New Roman"/>
                <w:sz w:val="18"/>
                <w:szCs w:val="18"/>
                <w:lang w:val="en-US" w:bidi="ne-NP"/>
              </w:rPr>
            </w:pPr>
            <w:r w:rsidRPr="00516E46">
              <w:rPr>
                <w:rFonts w:ascii="Times New Roman" w:eastAsia="Times New Roman" w:hAnsi="Times New Roman" w:cs="Times New Roman"/>
                <w:sz w:val="18"/>
                <w:szCs w:val="18"/>
                <w:lang w:val="en-US" w:bidi="ne-NP"/>
              </w:rPr>
              <w:t>(ECH:5, VOR:4, FLU:6, AMB:8)</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NA</w:t>
            </w:r>
          </w:p>
        </w:tc>
        <w:tc>
          <w:tcPr>
            <w:tcW w:w="99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12</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Sen M et al, India,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{"citationItems":[{"id":"ITEM-1","itemData":{"DOI":"10.4103/ijo.IJO","ISBN":"1177-5467","ISSN":"1471-2415","PMID":"10071898","abstract":"Often the literature makes assertions of medical product effects on the basis of ' p &lt; 0.05'. The underlying premise is that at this threshold, there is only a 5% probability that the observed effect would be seen by chance when in reality there is no effect. In observational studies, much more than in randomized trials, bias and confounding may undermine this premise. To test this premise, we selected three exemplar drug safety studies from literature, representing a case-control, a cohort, and a self-controlled case series design. We attempted to replicate these studies as best we could for the drugs studied in the original articles. Next, we applied the same three designs to sets of negative controls: drugs that are not believed to cause the outcome of interest. We observed how often p &lt; 0.05 when the null hypothesis is true, and we fitted distributions to the effect estimates. Using these distributions, we compute calibrated p-values that reflect the probability of observing the effect estimate under the null hypothesis, taking both random and systematic error into account. An automated analysis of scientific literature was performed to evaluate the potential impact of such a calibration. Our experiment provides evidence that the majority of observational studies would declare statistical significance when no effect is present. Empirical calibration was found to reduce spurious results to the desired 5% level. Applying these adjustments to literature suggests that at least 54% of findings with p &lt; 0.05 are not actually statistically significant and should be reevaluated.","author":[{"dropping-particle":"","family":"M, Lahane S, Lahane TP, Parekh R","given":"Honavar SG","non-dropping-particle":"Sen","parse-names":false,"suffix":""}],"container-title":"Indian Journal of Ophthalmology","id":"ITEM-1","issued":{"date-parts":[["2021"]]},"page":"244-52","title":"Mucor in a Viral Land: A Tale of Two Pathogens","type":"article-journal","volume":"69"},"uris":["http://www.mendeley.com/documents/?uuid=9058f4a0-a9b2-4194-9bd0-f7f59d4a6f54"]}],"mendeley":{"formattedCitation":"[59]","plainTextFormattedCitation":"[59]","previouslyFormattedCitation":"[58]"},"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[59]</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6</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(CAM)</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(AMB)</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4</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(POS+AMB)</w:t>
            </w:r>
          </w:p>
        </w:tc>
        <w:tc>
          <w:tcPr>
            <w:tcW w:w="186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(POS+AMB+VOR)</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2</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4</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6</w:t>
            </w:r>
          </w:p>
        </w:tc>
        <w:tc>
          <w:tcPr>
            <w:tcW w:w="99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Chen N et al, China,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 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infection.","author":[{"dropping-particle":"","family":"Nanshan Chen 1 , Min Zhou 2 , Xuan Dong 1 , Jieming Qu 2 , Fengyun Gong 3 , Yang Han 4 , Yang Qiu 5 , Jingli Wang 3 , Ying Liu 6 , Yuan Wei 1 , Jia'an Xia 1 , Ting Yu 1 , Xinxin Zhang 7","given":"Li Zhang","non-dropping-particle":"","parse-names":false,"suffix":""}],"container-title":"Lancet","id":"ITEM-1","issue":"10223","issued":{"date-parts":[["2020"]]},"page":"507-513","title":"Epidemiological and Clinical Characteristics of 99 Cases of 2019 Novel Coronavirus Pneumonia in Wuhan, China: A DescriptNanshan Chen 1 , Min Zhou 2 , Xuan Dong 1 , Jieming Qu 2 , Fengyun Gong 3 , Yang Han 4 , Yang Qiu 5 , Jingli Wang 3 , Ying Liu 6 , Yuan","type":"article-journal","volume":"395"},"uris":["http://www.mendeley.com/documents/?uuid=c21d0b95-2f78-4ece-a614-e582412f9c9b"]}],"mendeley":{"formattedCitation":"[60]","plainTextFormattedCitation":"[60]","previouslyFormattedCitation":"[59]"},"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[60]</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4</w:t>
            </w:r>
          </w:p>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(CAC)</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15</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4</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Permpalung N et al, USA,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{"citationItems":[{"id":"ITEM-1","itemData":{"DOI":"10.1093/cid/ciab223","ISSN":"1058-4838","abstract":"COVID-19 associated pulmonary aspergillosis (CAPA) occurs in critically ill COVID-19 patients. Risks and outcomes remain poorly understood.A retrospective cohort study of adult mechanically ventilated COVID-19 patients admitted to five Johns Hopkins hospitals was conducted between March and August 2020. CAPA was defined using composite clinical criteria. Fine and Gray competing risks regression was used to analyze clinical outcomes and multilevel mixed-effects ordinal logistic regression was used to compare longitudinal disease severity scores.Amongst the cohort of 396 people, 39 met criteria for CAPA. Compared to those without, patients with CAPA were more likely to have underlying pulmonary vascular disease (41% vs 21.6%, p=0.01), liver disease (35.9% vs 18.2%, p=0.02), coagulopathy (51.3% vs 33.1%, p=0.03), solid tumors (25.6% vs 10.9%, p=0.017), multiple myeloma (5.1% vs 0.3%, p=0.027), corticosteroid exposure during index admission (66.7% vs 42.6%, p=0.005), and had a lower BMI (median 26.6 vs 29.9, p=0.04). People with CAPA had worse outcomes as measured by ordinal severity of disease scores, requiring longer time to improvement (adjusted odds ratio 1.081.091.1, p&amp;lt;0.001), and advancing in severity almost twice as fast (subhazard ratio, sHR 1.31.82.5, p&amp;lt;0.001). People with CAPA were intubated twice as long as those without (sHR) 0.40.50.6, p&amp;lt;0.001) and had a longer hospital length of stay [median (IQR) 41.1 (20.5, 72.4) vs 18.5 (10.7, 31.8), p&amp;lt;0.001].CAPA is associated with poor outcomes. Attention towards preventative measures (screening and/or prophylaxis) is warranted in people with high risk of developing CAPA.","author":[{"dropping-particle":"","family":"Permpalung","given":"Nitipong","non-dropping-particle":"","parse-names":false,"suffix":""},{"dropping-particle":"","family":"Chiang","given":"Teresa Po-Yu","non-dropping-particle":"","parse-names":false,"suffix":""},{"dropping-particle":"","family":"Massie","given":"Allan B","non-dropping-particle":"","parse-names":false,"suffix":""},{"dropping-particle":"","family":"Zhang","given":"Sean X","non-dropping-particle":"","parse-names":false,"suffix":""},{"dropping-particle":"","family":"Avery","given":"Robin K","non-dropping-particle":"","parse-names":false,"suffix":""},{"dropping-particle":"","family":"Nematollahi","given":"Saman","non-dropping-particle":"","parse-names":false,"suffix":""},{"dropping-particle":"","family":"Ostrander","given":"Darin","non-dropping-particle":"","parse-names":false,"suffix":""},{"dropping-particle":"","family":"Segev","given":"Dorry L","non-dropping-particle":"","parse-names":false,"suffix":""},{"dropping-particle":"","family":"Marr","given":"Kieren A","non-dropping-particle":"","parse-names":false,"suffix":""}],"container-title":"Clinical Infectious Diseases","id":"ITEM-1","issued":{"date-parts":[["2021","3","9"]]},"title":"COVID-19 Associated Pulmonary Aspergillosis in Mechanically Ventilated Patients","type":"article-journal"},"uris":["http://www.mendeley.com/documents/?uuid=2cf51ca6-3107-46dd-be57-be5331c107b5"]}],"mendeley":{"formattedCitation":"[61]","plainTextFormattedCitation":"[61]","previouslyFormattedCitation":"[60]"},"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[61]</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39</w:t>
            </w:r>
          </w:p>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(CAPA)</w:t>
            </w:r>
          </w:p>
        </w:tc>
        <w:tc>
          <w:tcPr>
            <w:tcW w:w="1701"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28</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11</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22</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17</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White PL et al, UK,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{"citationItems":[{"id":"ITEM-1","itemData":{"DOI":"10.1093/cid/ciaa1298","ISSN":"1058-4838","abstract":"BACKGROUND Fungal co-infection is a recognised complication of respiratory virus infections, increasing morbidity and mortality, but can be readily treated if diagnosed early. An increasing number of small studies describing aspergillosis in COVID-19 patients with severe respiratory distress are being reported, but comprehensive data is lacking. The aim of this study was to determine the incidence, risk factors and impact of invasive fungal disease in adult COVID-19 patients with severe respiratory distress. METHODS An evaluation of a national, multi-centre, prospective cohort evaluation of an enhanced testing strategy to diagnose invasive fungal disease in COVID-19 intensive care patients. Results were used to generate a mechanism to define aspergillosis in future COVID-19 patients. RESULTS One-hundred and thirty-five adults (median age: 57, M/F: 2·2/1) were screened. The incidence was 26.7% (14.1% aspergillosis, 12·6% yeast infections). The overall mortality rate was 38%; 53% and 31% in patients with and without fungal disease, respectively (P: 0.0387). The mortality rate was reduced by the use of antifungal therapy (Mortality: 38·5% in patients receiving therapy versus 90% in patients not receiving therapy (P: 0.008). The use of corticosteroids (P: 0.007) and history of chronic respiratory disease (P: 0.05) increased the likelihood of aspergillosis. CONCLUSIONS Fungal disease occurs frequently in critically ill, mechanically ventilated COVID-19 patients. The survival benefit observed in patients receiving antifungal therapy implies that the proposed diagnostic and defining criteria are appropriate. Screening using a strategic diagnostic approach and antifungal prophylaxis of patients with risk factors will likely enhance the management of COVID-19 patients.","author":[{"dropping-particle":"","family":"White","given":"P Lewis","non-dropping-particle":"","parse-names":false,"suffix":""},{"dropping-particle":"","family":"Dhillon","given":"Rishi","non-dropping-particle":"","parse-names":false,"suffix":""},{"dropping-particle":"","family":"Cordey","given":"Alan","non-dropping-particle":"","parse-names":false,"suffix":""},{"dropping-particle":"","family":"Hughes","given":"Harriet","non-dropping-particle":"","parse-names":false,"suffix":""},{"dropping-particle":"","family":"Faggian","given":"Federica","non-dropping-particle":"","parse-names":false,"suffix":""},{"dropping-particle":"","family":"Soni","given":"Shuchita","non-dropping-particle":"","parse-names":false,"suffix":""},{"dropping-particle":"","family":"Pandey","given":"Manish","non-dropping-particle":"","parse-names":false,"suffix":""},{"dropping-particle":"","family":"Whitaker","given":"Harriet","non-dropping-particle":"","parse-names":false,"suffix":""},{"dropping-particle":"","family":"May","given":"Alex","non-dropping-particle":"","parse-names":false,"suffix":""},{"dropping-particle":"","family":"Morgan","given":"Matt","non-dropping-particle":"","parse-names":false,"suffix":""},{"dropping-particle":"","family":"Wise","given":"Matthew P","non-dropping-particle":"","parse-names":false,"suffix":""},{"dropping-particle":"","family":"Healy","given":"Brendan","non-dropping-particle":"","parse-names":false,"suffix":""},{"dropping-particle":"","family":"Blyth","given":"Ian","non-dropping-particle":"","parse-names":false,"suffix":""},{"dropping-particle":"","family":"Price","given":"Jessica S","non-dropping-particle":"","parse-names":false,"suffix":""},{"dropping-particle":"","family":"Vale","given":"Lorna","non-dropping-particle":"","parse-names":false,"suffix":""},{"dropping-particle":"","family":"Posso","given":"Raquel","non-dropping-particle":"","parse-names":false,"suffix":""},{"dropping-particle":"","family":"Kronda","given":"Joanna","non-dropping-particle":"","parse-names":false,"suffix":""},{"dropping-particle":"","family":"Blackwood","given":"Adam","non-dropping-particle":"","parse-names":false,"suffix":""},{"dropping-particle":"","family":"Rafferty","given":"Hannah","non-dropping-particle":"","parse-names":false,"suffix":""},{"dropping-particle":"","family":"Moffitt","given":"Amy","non-dropping-particle":"","parse-names":false,"suffix":""},{"dropping-particle":"","family":"Tsitsopoulou","given":"Alexandra","non-dropping-particle":"","parse-names":false,"suffix":""},{"dropping-particle":"","family":"Gaur","given":"Soma","non-dropping-particle":"","parse-names":false,"suffix":""},{"dropping-particle":"","family":"Holmes","given":"Tom","non-dropping-particle":"","parse-names":false,"suffix":""},{"dropping-particle":"","family":"Backx","given":"Matthijs","non-dropping-particle":"","parse-names":false,"suffix":""}],"container-title":"Clinical Infectious Diseases","id":"ITEM-1","issue":"XXXXXX","issued":{"date-parts":[["2020"]]},"page":"1-11","title":"A National Strategy to Diagnose Coronavirus Disease 2019–Associated Invasive Fungal Disease in the Intensive Care Unit","type":"article-journal","volume":"XX"},"uris":["http://www.mendeley.com/documents/?uuid=45c84476-debf-4728-a3f2-ab3187f651ba"]}],"mendeley":{"formattedCitation":"[62]","plainTextFormattedCitation":"[62]","previouslyFormattedCitation":"[61]"},"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[62]</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17</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(Yeast infection)</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sz w:val="18"/>
                <w:szCs w:val="18"/>
                <w:lang w:val="en-US" w:bidi="ne-NP"/>
              </w:rPr>
            </w:pPr>
            <w:r w:rsidRPr="00516E46">
              <w:rPr>
                <w:rFonts w:ascii="Times New Roman" w:eastAsia="Times New Roman" w:hAnsi="Times New Roman" w:cs="Times New Roman"/>
                <w:sz w:val="18"/>
                <w:szCs w:val="18"/>
                <w:lang w:val="en-US" w:bidi="ne-NP"/>
              </w:rPr>
              <w:t>9</w:t>
            </w:r>
          </w:p>
          <w:p w:rsidR="000E4732" w:rsidRPr="00516E46" w:rsidRDefault="000E4732" w:rsidP="000E4732">
            <w:pPr>
              <w:jc w:val="center"/>
              <w:rPr>
                <w:rFonts w:ascii="Times New Roman" w:eastAsia="Times New Roman" w:hAnsi="Times New Roman" w:cs="Times New Roman"/>
                <w:sz w:val="18"/>
                <w:szCs w:val="18"/>
                <w:lang w:val="en-US" w:bidi="ne-NP"/>
              </w:rPr>
            </w:pPr>
            <w:r w:rsidRPr="00516E46">
              <w:rPr>
                <w:rFonts w:ascii="Times New Roman" w:eastAsia="Times New Roman" w:hAnsi="Times New Roman" w:cs="Times New Roman"/>
                <w:sz w:val="18"/>
                <w:szCs w:val="18"/>
                <w:lang w:val="en-US" w:bidi="ne-NP"/>
              </w:rPr>
              <w:t>(FLU:6, VOR:1, CAS:2)</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6</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(CAS+AMB:1, CAS+FLU:2, CAS+VOR:1, FLU+VOR:1, FLU+AMB:1)</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2</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8</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9</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eastAsia="Times New Roman" w:hAnsi="Times New Roman" w:cs="Times New Roman"/>
                <w:color w:val="000000"/>
                <w:sz w:val="18"/>
                <w:szCs w:val="18"/>
                <w:lang w:val="en-US" w:bidi="ne-NP"/>
              </w:rPr>
            </w:pPr>
            <w:r w:rsidRPr="00516E46">
              <w:rPr>
                <w:rFonts w:ascii="Times New Roman" w:hAnsi="Times New Roman" w:cs="Times New Roman"/>
                <w:sz w:val="18"/>
                <w:szCs w:val="18"/>
              </w:rPr>
              <w:t>Koehler P et al, Germany,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{"citationItems":[{"id":"ITEM-1","itemData":{"DOI":"10.1111/myc.13096","ISSN":"14390507","PMID":"32339350","abstract":"Objectives: Patients with acute respiratory distress syndrome (ARDS) due to viral infection are at risk for secondary complications like invasive aspergillosis. Our study evaluates coronavirus disease 19 (COVID-19) associated invasive aspergillosis at a single centre in Cologne, Germany. Methods: A retrospective chart review of all patients with COVID-19 associated ARDS admitted to the medical or surgical intensive care unit at the University Hospital of Cologne, Cologne, Germany. Results: COVID-19 associated invasive pulmonary aspergillosis was found in five of 19 consecutive critically ill patients with moderate to severe ARDS. Conclusion: Clinicians caring for patients with ARDS due to COVID-19 should consider invasive pulmonary aspergillosis and subject respiratory samples to comprehensive analysis to detect co-infection.","author":[{"dropping-particle":"","family":"Koehler","given":"Philipp","non-dropping-particle":"","parse-names":false,"suffix":""},{"dropping-particle":"","family":"Cornely","given":"Oliver A.","non-dropping-particle":"","parse-names":false,"suffix":""},{"dropping-particle":"","family":"Böttiger","given":"Bernd W.","non-dropping-particle":"","parse-names":false,"suffix":""},{"dropping-particle":"","family":"Dusse","given":"Fabian","non-dropping-particle":"","parse-names":false,"suffix":""},{"dropping-particle":"","family":"Eichenauer","given":"Dennis A.","non-dropping-particle":"","parse-names":false,"suffix":""},{"dropping-particle":"","family":"Fuchs","given":"Frieder","non-dropping-particle":"","parse-names":false,"suffix":""},{"dropping-particle":"","family":"Hallek","given":"Michael","non-dropping-particle":"","parse-names":false,"suffix":""},{"dropping-particle":"","family":"Jung","given":"Norma","non-dropping-particle":"","parse-names":false,"suffix":""},{"dropping-particle":"","family":"Klein","given":"Florian","non-dropping-particle":"","parse-names":false,"suffix":""},{"dropping-particle":"","family":"Persigehl","given":"Thorsten","non-dropping-particle":"","parse-names":false,"suffix":""},{"dropping-particle":"","family":"Rybniker","given":"Jan","non-dropping-particle":"","parse-names":false,"suffix":""},{"dropping-particle":"","family":"Kochanek","given":"Matthias","non-dropping-particle":"","parse-names":false,"suffix":""},{"dropping-particle":"","family":"Böll","given":"Boris","non-dropping-particle":"","parse-names":false,"suffix":""},{"dropping-particle":"","family":"Shimabukuro-Vornhagen","given":"Alexander","non-dropping-particle":"","parse-names":false,"suffix":""}],"container-title":"Mycoses","id":"ITEM-1","issue":"6","issued":{"date-parts":[["2020"]]},"page":"528-534","title":"COVID-19 associated pulmonary aspergillosis","type":"article-journal","volume":"63"},"uris":["http://www.mendeley.com/documents/?uuid=d4275ea9-d1fc-4a32-a987-ed1b35a6b868"]}],"mendeley":{"formattedCitation":"[63]","plainTextFormattedCitation":"[63]","previouslyFormattedCitation":"[62]"},"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[63]</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5</w:t>
            </w:r>
          </w:p>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3</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(VOR:2, ISA1)</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2</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(CAS+VOR)</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3</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2</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Maes M et al, UK,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{"citationItems":[{"id":"ITEM-1","itemData":{"DOI":"10.1186/s13054-021-03460-5","ISBN":"1305402103","ISSN":"1466609X","PMID":"33430915","abstract":"Background: Pandemic COVID-19 caused by the coronavirus SARS-CoV-2 has a high incidence of patients with severe acute respiratory syndrome (SARS). Many of these patients require admission to an intensive care unit (ICU) for invasive ventilation and are at significant risk of developing a secondary, ventilator-associated pneumonia (VAP). Objectives: To study the incidence of VAP and bacterial lung microbiome composition of ventilated COVID-19 and non-COVID-19 patients. Methods: In this retrospective observational study, we compared the incidence of VAP and secondary infections using a combination of microbial culture and a TaqMan multi-pathogen array. In addition, we determined the lung microbiome composition using 16S RNA analysis in a subset of samples. The study involved 81 COVID-19 and 144 non-COVID-19 patients receiving invasive ventilation in a single University teaching hospital between March 15th 2020 and August 30th 2020. Results: COVID-19 patients were significantly more likely to develop VAP than patients without COVID (Cox proportional hazard ratio 2.01 95% CI 1.14–3.54, p = 0.0015) with an incidence density of 28/1000 ventilator days versus 13/1000 for patients without COVID (p = 0.009). Although the distribution of organisms causing VAP was similar between the two groups, and the pulmonary microbiome was similar, we identified 3 cases of invasive aspergillosis amongst the patients with COVID-19 but none in the non-COVID-19 cohort. Herpesvirade activation was also numerically more frequent amongst patients with COVID-19. Conclusion: COVID-19 is associated with an increased risk of VAP, which is not fully explained by the prolonged duration of ventilation. The pulmonary dysbiosis caused by COVID-19, and the causative organisms of secondary pneumonia observed are similar to that seen in critically ill patients ventilated for other reasons.","author":[{"dropping-particle":"","family":"Maes","given":"Mailis","non-dropping-particle":"","parse-names":false,"suffix":""},{"dropping-particle":"","family":"Higginson","given":"Ellen","non-dropping-particle":"","parse-names":false,"suffix":""},{"dropping-particle":"","family":"Pereira-Dias","given":"Joana","non-dropping-particle":"","parse-names":false,"suffix":""},{"dropping-particle":"","family":"Curran","given":"Martin D.","non-dropping-particle":"","parse-names":false,"suffix":""},{"dropping-particle":"","family":"Parmar","given":"Surendra","non-dropping-particle":"","parse-names":false,"suffix":""},{"dropping-particle":"","family":"Khokhar","given":"Fahad","non-dropping-particle":"","parse-names":false,"suffix":""},{"dropping-particle":"","family":"Cuchet-Lourenço","given":"Delphine","non-dropping-particle":"","parse-names":false,"suffix":""},{"dropping-particle":"","family":"Lux","given":"Janine","non-dropping-particle":"","parse-names":false,"suffix":""},{"dropping-particle":"","family":"Sharma-Hajela","given":"Sapna","non-dropping-particle":"","parse-names":false,"suffix":""},{"dropping-particle":"","family":"Ravenhill","given":"Benjamin","non-dropping-particle":"","parse-names":false,"suffix":""},{"dropping-particle":"","family":"Hamed","given":"Islam","non-dropping-particle":"","parse-names":false,"suffix":""},{"dropping-particle":"","family":"Heales","given":"Laura","non-dropping-particle":"","parse-names":false,"suffix":""},{"dropping-particle":"","family":"Mahroof","given":"Razeen","non-dropping-particle":"","parse-names":false,"suffix":""},{"dropping-particle":"","family":"Solderholm","given":"Amelia","non-dropping-particle":"","parse-names":false,"suffix":""},{"dropping-particle":"","family":"Forrest","given":"Sally","non-dropping-particle":"","parse-names":false,"suffix":""},{"dropping-particle":"","family":"Sridhar","given":"Sushmita","non-dropping-particle":"","parse-names":false,"suffix":""},{"dropping-particle":"","family":"Brown","given":"Nicholas M.","non-dropping-particle":"","parse-names":false,"suffix":""},{"dropping-particle":"","family":"Baker","given":"Stephen","non-dropping-particle":"","parse-names":false,"suffix":""},{"dropping-particle":"","family":"Navapurkar","given":"Vilas","non-dropping-particle":"","parse-names":false,"suffix":""},{"dropping-particle":"","family":"Dougan","given":"Gordon","non-dropping-particle":"","parse-names":false,"suffix":""},{"dropping-particle":"","family":"Bartholdson Scott","given":"Josefin","non-dropping-particle":"","parse-names":false,"suffix":""},{"dropping-particle":"","family":"Conway Morris","given":"Andrew","non-dropping-particle":"","parse-names":false,"suffix":""}],"container-title":"Critical Care","id":"ITEM-1","issue":"25","issued":{"date-parts":[["2021"]]},"page":"1-11","title":"Ventilator-associated pneumonia in critically ill patients with COVID-19","type":"article-journal","volume":"25"},"uris":["http://www.mendeley.com/documents/?uuid=9cdfc636-cb55-4d62-aaa3-0d3a94160b85"]}],"mendeley":{"formattedCitation":"[64]","plainTextFormattedCitation":"[64]","previouslyFormattedCitation":"[63]"},"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[64]</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3</w:t>
            </w:r>
          </w:p>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sz w:val="18"/>
                <w:szCs w:val="18"/>
                <w:lang w:val="en-US" w:bidi="ne-NP"/>
              </w:rPr>
            </w:pPr>
            <w:r w:rsidRPr="00516E46">
              <w:rPr>
                <w:rFonts w:ascii="Times New Roman" w:eastAsia="Times New Roman" w:hAnsi="Times New Roman" w:cs="Times New Roman"/>
                <w:sz w:val="18"/>
                <w:szCs w:val="18"/>
                <w:lang w:val="en-US" w:bidi="ne-NP"/>
              </w:rPr>
              <w:t>3</w:t>
            </w:r>
          </w:p>
          <w:p w:rsidR="000E4732" w:rsidRPr="00516E46" w:rsidRDefault="000E4732" w:rsidP="000E4732">
            <w:pPr>
              <w:jc w:val="center"/>
              <w:rPr>
                <w:rFonts w:ascii="Times New Roman" w:eastAsia="Times New Roman" w:hAnsi="Times New Roman" w:cs="Times New Roman"/>
                <w:sz w:val="18"/>
                <w:szCs w:val="18"/>
                <w:lang w:val="en-US" w:bidi="ne-NP"/>
              </w:rPr>
            </w:pPr>
            <w:r w:rsidRPr="00516E46">
              <w:rPr>
                <w:rFonts w:ascii="Times New Roman" w:eastAsia="Times New Roman" w:hAnsi="Times New Roman" w:cs="Times New Roman"/>
                <w:sz w:val="18"/>
                <w:szCs w:val="18"/>
                <w:lang w:val="en-US" w:bidi="ne-NP"/>
              </w:rPr>
              <w:t>(AMB)</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2</w:t>
            </w:r>
          </w:p>
        </w:tc>
        <w:tc>
          <w:tcPr>
            <w:tcW w:w="99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Nasir N et al, Pakistan,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{"citationItems":[{"id":"ITEM-1","itemData":{"DOI":"10.1111/myc.13135","ISBN":"0000000324977","ISSN":"14390507","PMID":"32585069","abstract":"Background: Invasive aspergillosis is a well-known complication of severe influenza pneumonia with acute respiratory distress syndrome (ARDS). However, recent studies are reporting emergence of aspergillosis in severe COVID-19 pneumonia, named as COVID-19-associated pulmonary aspergillosis (CAPA). Methods: A retrospective observational study was conducted in patients with severe COVID-19 pneumonia from February 2020 to April 2020. Patients ≥18 years of age with clinical features and abnormal chest imaging with confirmed COVID-19 by RT-PCR for SARS-CoV-2 were included. CAPA was diagnosed based on clinical parameters, radiological findings and mycological data. Data were recorded on a structured proforma, and descriptive analysis was performed using Stata ver 12.1. Results: A total of 147 patients with confirmed COVID-19 and 23 (15.6%) patients requiring ICU admission were identified. Aspergillus species were isolated from tracheal aspirates of nine (39.1%) patients, and of these, five patients (21.7%) were diagnosed with CAPA and four (17.4%) had Aspergillus colonisation. The mean age of patients with CAPA was 69 years (Median age: 71, IQR: 24, Range: 51-85), and 3/5 patients were male. The most frequent co-morbid was diabetes mellitus (4/5). The overall fatality rate of COVID-19 patients with aspergillosis was 44% (4/9). The cause of death was ARDS in all three patients with CAPA, and the median length of stay was 16 days (IQR: 10; Range 6-35 days). Conclusion: This study highlights the need for comparative studies to establish whether there is an association of aspergillosis and COVID-19 and the need for screening for fungal infections in severe COVID-19 patients with certain risk factors.","author":[{"dropping-particle":"","family":"Nasir","given":"Nosheen","non-dropping-particle":"","parse-names":false,"suffix":""},{"dropping-particle":"","family":"Farooqi","given":"Joveria","non-dropping-particle":"","parse-names":false,"suffix":""},{"dropping-particle":"","family":"Mahmood","given":"Syed Faisal","non-dropping-particle":"","parse-names":false,"suffix":""},{"dropping-particle":"","family":"Jabeen","given":"Kauser","non-dropping-particle":"","parse-names":false,"suffix":""}],"container-title":"Mycoses","id":"ITEM-1","issue":"8","issued":{"date-parts":[["2020"]]},"page":"766-770","title":"COVID-19-associated pulmonary aspergillosis (CAPA) in patients admitted with severe COVID-19 pneumonia: An observational study from Pakistan","type":"article-journal","volume":"63"},"uris":["http://www.mendeley.com/documents/?uuid=b696eb92-4d6a-4326-8160-b86b61736887"]}],"mendeley":{"formattedCitation":"[65]","plainTextFormattedCitation":"[65]","previouslyFormattedCitation":"[64]"},"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[65]</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9</w:t>
            </w:r>
          </w:p>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5</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(VOR:3, AMB:2)</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4</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9</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4</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5</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color w:val="171717" w:themeColor="background2" w:themeShade="1A"/>
                <w:sz w:val="18"/>
                <w:szCs w:val="18"/>
              </w:rPr>
              <w:lastRenderedPageBreak/>
              <w:t>Bishburg</w:t>
            </w:r>
            <w:r w:rsidRPr="00516E46">
              <w:rPr>
                <w:rFonts w:ascii="Times New Roman" w:hAnsi="Times New Roman" w:cs="Times New Roman"/>
                <w:sz w:val="18"/>
                <w:szCs w:val="18"/>
              </w:rPr>
              <w:t xml:space="preserve"> E et al, USA, 2020</w:t>
            </w:r>
            <w:r w:rsidRPr="00516E46">
              <w:rPr>
                <w:rFonts w:ascii="Times New Roman" w:hAnsi="Times New Roman" w:cs="Times New Roman"/>
                <w:color w:val="171717" w:themeColor="background2" w:themeShade="1A"/>
                <w:sz w:val="18"/>
                <w:szCs w:val="18"/>
              </w:rPr>
              <w:fldChar w:fldCharType="begin" w:fldLock="1"/>
            </w:r>
            <w:r w:rsidRPr="00516E46">
              <w:rPr>
                <w:rFonts w:ascii="Times New Roman" w:hAnsi="Times New Roman" w:cs="Times New Roman"/>
                <w:color w:val="171717" w:themeColor="background2" w:themeShade="1A"/>
                <w:sz w:val="18"/>
                <w:szCs w:val="18"/>
              </w:rPr>
              <w:instrText>ADDIN CSL_CITATION {"citationItems":[{"id":"ITEM-1","itemData":{"DOI":"10.1002/jmv.26633","ISSN":"10969071","PMID":"33107617","abstract":"A known proportion of patients who are admitted for the novel coronavirus disease 2019 (COVID-19) requires intensive care unit (ICU) level of care. Prolonged ICU stay is a risk factor for the development of nosocomial candidemia. The current study aimed to investigate the incidence and risk factors associated with the development of nosocomial candidemia among patients admitted to the ICU for COVID-19. Patients who developed nosocomial candidemia were identified, and their clinical course was reported. A 1:3 case control matching was used to identify non-candidemia patients who served as controls. 89 patients were admitted to the ICU for COVID-19 during the study period. The incidence of nosocomial candidemia was 8.9% (n = 8). Case-control matching identified 24 patients with similar disease severity at the time of ICU admission. Median time to first isolation of yeast was 26 days. Candidemia patients reported longer median ICU stay than controls. (40 vs. 10 days, p =.004). In hospital death rates were comparable in both groups (38% vs. 54%, p =.548). Prolonged mechanical ventilation support was associated with the development of nosocomial candidemia.","author":[{"dropping-particle":"","family":"Bishburg","given":"Eliahu","non-dropping-particle":"","parse-names":false,"suffix":""},{"dropping-particle":"","family":"Okoh","given":"Alexis","non-dropping-particle":"","parse-names":false,"suffix":""},{"dropping-particle":"","family":"Nagarakanti","given":"Sandhya R.","non-dropping-particle":"","parse-names":false,"suffix":""},{"dropping-particle":"","family":"Lindner","given":"Marc","non-dropping-particle":"","parse-names":false,"suffix":""},{"dropping-particle":"","family":"Migliore","given":"Christina","non-dropping-particle":"","parse-names":false,"suffix":""},{"dropping-particle":"","family":"Patel","given":"Pratik","non-dropping-particle":"","parse-names":false,"suffix":""}],"container-title":"Journal of Medical Virology","id":"ITEM-1","issue":"5","issued":{"date-parts":[["2021"]]},"page":"2810-2814","title":"Fungemia in COVID-19 ICU patients, a single medical center experience","type":"article-journal","volume":"93"},"uris":["http://www.mendeley.com/documents/?uuid=6bafec2c-44ff-402b-b9e7-8d86ea1150ea"]}],"mendeley":{"formattedCitation":"[66]","plainTextFormattedCitation":"[66]","previouslyFormattedCitation":"[65]"},"properties":{"noteIndex":0},"schema":"https://github.com/citation-style-language/schema/raw/master/csl-citation.json"}</w:instrText>
            </w:r>
            <w:r w:rsidRPr="00516E46">
              <w:rPr>
                <w:rFonts w:ascii="Times New Roman" w:hAnsi="Times New Roman" w:cs="Times New Roman"/>
                <w:color w:val="171717" w:themeColor="background2" w:themeShade="1A"/>
                <w:sz w:val="18"/>
                <w:szCs w:val="18"/>
              </w:rPr>
              <w:fldChar w:fldCharType="separate"/>
            </w:r>
            <w:r w:rsidRPr="00516E46">
              <w:rPr>
                <w:rFonts w:ascii="Times New Roman" w:hAnsi="Times New Roman" w:cs="Times New Roman"/>
                <w:noProof/>
                <w:color w:val="171717" w:themeColor="background2" w:themeShade="1A"/>
                <w:sz w:val="18"/>
                <w:szCs w:val="18"/>
              </w:rPr>
              <w:t>[66]</w:t>
            </w:r>
            <w:r w:rsidRPr="00516E46">
              <w:rPr>
                <w:rFonts w:ascii="Times New Roman" w:hAnsi="Times New Roman" w:cs="Times New Roman"/>
                <w:color w:val="171717" w:themeColor="background2" w:themeShade="1A"/>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8</w:t>
            </w:r>
          </w:p>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(CAC)</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4</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(FLU:3, CAS:1)</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4</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(CAS+FLU)</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3</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5</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color w:val="171717" w:themeColor="background2" w:themeShade="1A"/>
                <w:sz w:val="18"/>
                <w:szCs w:val="18"/>
              </w:rPr>
            </w:pPr>
            <w:r w:rsidRPr="00516E46">
              <w:rPr>
                <w:rFonts w:ascii="Times New Roman" w:hAnsi="Times New Roman" w:cs="Times New Roman"/>
                <w:color w:val="171717" w:themeColor="background2" w:themeShade="1A"/>
                <w:sz w:val="18"/>
                <w:szCs w:val="18"/>
              </w:rPr>
              <w:t>Lahmer T et al, Germany, 2021</w:t>
            </w:r>
            <w:r w:rsidRPr="00516E46">
              <w:rPr>
                <w:rFonts w:ascii="Times New Roman" w:hAnsi="Times New Roman" w:cs="Times New Roman"/>
                <w:sz w:val="18"/>
                <w:szCs w:val="18"/>
                <w:lang w:val="en-US" w:bidi="ne-NP"/>
              </w:rPr>
              <w:fldChar w:fldCharType="begin" w:fldLock="1"/>
            </w:r>
            <w:r w:rsidRPr="00516E46">
              <w:rPr>
                <w:rFonts w:ascii="Times New Roman" w:hAnsi="Times New Roman" w:cs="Times New Roman"/>
                <w:sz w:val="18"/>
                <w:szCs w:val="18"/>
                <w:lang w:val="en-US" w:bidi="ne-NP"/>
              </w:rPr>
              <w:instrText>ADDIN CSL_CITATION {"citationItems":[{"id":"ITEM-1","itemData":{"DOI":"10.1371/journal.pone.0238825","ISBN":"1111111111","ISSN":"19326203","PMID":"33730058","abstract":"Background Superinfections, including invasive pulmonary aspergillosis (IPA), are well-known complications of critically ill patients with severe viral pneumonia. Aim of this study was to evaluate the incidence, risk factors and outcome of IPA in critically ill patients with severe COVID-19 pneumonia. Methods We prospectively screened 32 critically ill patients with severe COVID-19 pneumonia for a time period of 28 days using a standardized study protocol for oberservation of developement of COVID-19 associated invasive pulmonary aspergillosis (CAPA). We collected laboratory, microbiological, virological and clinical parameters at defined timepoints in combination with galactomannan-antigen-detection from nondirected bronchial lavage (NBL). We used logistic regression analyses to assess if COVID-19 was independently associated with IPA and compared it with matched controls. Findings CAPA was diagnosed at a median of 4 days after ICU admission in 11/32 (34%) of critically ill patients with severe COVID-19 pneumonia as compared to 8% in the control cohort. In the COVID-19 cohort, mean age, APACHE II score and ICU mortality were higher in patients with CAPA than in patients without CAPA (36% versus 9.5%; p&lt;0.001). ICU stay (21 versus 17 days; p = 0.340) and days of mechanical ventilation (20 versus 15 days; p = 0.570) were not different between both groups. In regression analysis COVID-19 and APACHE II score were independently associated with IPA. Interpretation CAPA is highly prevalent and associated with a high mortality rate. COVID-19 is independently associated with invasive pulmonary aspergillosis. A standardized screening and diagnostic approach as presented in our study can help to identify affected patients at an early stage.","author":[{"dropping-particle":"","family":"Lahmer","given":"Tobias","non-dropping-particle":"","parse-names":false,"suffix":""},{"dropping-particle":"","family":"Kriescher","given":"Silja","non-dropping-particle":"","parse-names":false,"suffix":""},{"dropping-particle":"","family":"Herner","given":"Alexander","non-dropping-particle":"","parse-names":false,"suffix":""},{"dropping-particle":"","family":"Rothe","given":"Kathrin","non-dropping-particle":"","parse-names":false,"suffix":""},{"dropping-particle":"","family":"Spinner","given":"Christoph D.","non-dropping-particle":"","parse-names":false,"suffix":""},{"dropping-particle":"","family":"Schneider","given":"Jochen","non-dropping-particle":"","parse-names":false,"suffix":""},{"dropping-particle":"","family":"Mayer","given":"Ulrich","non-dropping-particle":"","parse-names":false,"suffix":""},{"dropping-particle":"","family":"Neuenhahn","given":"Michael","non-dropping-particle":"","parse-names":false,"suffix":""},{"dropping-particle":"","family":"Hoffmann","given":"Dieter","non-dropping-particle":"","parse-names":false,"suffix":""},{"dropping-particle":"","family":"Geisler","given":"Fabian","non-dropping-particle":"","parse-names":false,"suffix":""},{"dropping-particle":"","family":"Heim","given":"Markus","non-dropping-particle":"","parse-names":false,"suffix":""},{"dropping-particle":"","family":"Schneider","given":"Gerhard","non-dropping-particle":"","parse-names":false,"suffix":""},{"dropping-particle":"","family":"Schmid","given":"Roland M.","non-dropping-particle":"","parse-names":false,"suffix":""},{"dropping-particle":"","family":"Huber","given":"Wolfgang","non-dropping-particle":"","parse-names":false,"suffix":""},{"dropping-particle":"","family":"Rasch","given":"Sebastian","non-dropping-particle":"","parse-names":false,"suffix":""}],"container-title":"PLoS ONE","id":"ITEM-1","issue":"3","issued":{"date-parts":[["2021"]]},"page":"1-16","title":"Invasive pulmonary aspergillosis in critically ill patients with severe COVID-19 pneumonia: Results from the prospective AspCOVID-19 study","type":"article-journal","volume":"16"},"uris":["http://www.mendeley.com/documents/?uuid=3c95fc18-b630-41ce-a56d-27b55971dafe"]}],"mendeley":{"formattedCitation":"[67]","plainTextFormattedCitation":"[67]","previouslyFormattedCitation":"[66]"},"properties":{"noteIndex":0},"schema":"https://github.com/citation-style-language/schema/raw/master/csl-citation.json"}</w:instrText>
            </w:r>
            <w:r w:rsidRPr="00516E46">
              <w:rPr>
                <w:rFonts w:ascii="Times New Roman" w:hAnsi="Times New Roman" w:cs="Times New Roman"/>
                <w:sz w:val="18"/>
                <w:szCs w:val="18"/>
                <w:lang w:val="en-US" w:bidi="ne-NP"/>
              </w:rPr>
              <w:fldChar w:fldCharType="separate"/>
            </w:r>
            <w:r w:rsidRPr="00516E46">
              <w:rPr>
                <w:rFonts w:ascii="Times New Roman" w:hAnsi="Times New Roman" w:cs="Times New Roman"/>
                <w:noProof/>
                <w:sz w:val="18"/>
                <w:szCs w:val="18"/>
                <w:lang w:val="en-US" w:bidi="ne-NP"/>
              </w:rPr>
              <w:t>[67]</w:t>
            </w:r>
            <w:r w:rsidRPr="00516E46">
              <w:rPr>
                <w:rFonts w:ascii="Times New Roman" w:hAnsi="Times New Roman" w:cs="Times New Roman"/>
                <w:sz w:val="18"/>
                <w:szCs w:val="18"/>
                <w:lang w:val="en-US" w:bidi="ne-NP"/>
              </w:rPr>
              <w:fldChar w:fldCharType="end"/>
            </w:r>
          </w:p>
        </w:tc>
        <w:tc>
          <w:tcPr>
            <w:tcW w:w="1951" w:type="dxa"/>
            <w:shd w:val="clear" w:color="auto" w:fill="auto"/>
            <w:noWrap/>
            <w:vAlign w:val="center"/>
            <w:hideMark/>
          </w:tcPr>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11</w:t>
            </w:r>
          </w:p>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 5, ISA:1, AMB:5)</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11</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4</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7</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164"/>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Arastehfar A et al, Iran,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{"citationItems":[{"id":"ITEM-1","itemData":{"DOI":"10.3390/jof7040280","ISSN":"2309608X","abstract":"As a novel risk factor, COVID-19 has led to an increase in the incidence of candidemia and an elevated mortality rate. Despite being of clinical importance, there is a lack of data regarding COVID-19-associated candidemia (CAC) among Iranian patients. Therefore, in this retrospective study, we assessed CAC epidemiology in the intensive care units (ICUs) of two COVID-19 centers in Mashhad, Iran, from early November 2020 to late January 2021. Yeast isolates from patients’ blood were identified by 21-plex polymerase chain reaction (PCR) and sequencing, then subjected to antifungal susceptibility testing according to the CLSI M27-A3 protocol. Among 1988 patients with COVID-19 admitted to ICUs, seven had fungemia (7/1988; 0.03%), among whom six had CAC. The mortality of the limited CAC cases was high and greatly exceeded that of patients with COVID-19 but without candidemia (100% (6/6) vs. 22.7% (452/1988)). In total, nine yeast isolates were collected from patients with fungemia: five Candida albicans, three C. glabrata, and one Rhodotorula mucilaginosa. Half of the patients infected with C. albicans (2/4) were refractory to both azoles and echinocandins. The high mortality of patients with CAC, despite antifungal therapy, reflects the severity of the disease in these patients and underscores the importance of rapid diagnosis and timely initiation of antifungal treatment.","author":[{"dropping-particle":"","family":"Arastehfar","given":"Amir","non-dropping-particle":"","parse-names":false,"suffix":""},{"dropping-particle":"","family":"Shaban","given":"Tahmineh","non-dropping-particle":"","parse-names":false,"suffix":""},{"dropping-particle":"","family":"Zarrinfar","given":"Hossein","non-dropping-particle":"","parse-names":false,"suffix":""},{"dropping-particle":"","family":"Roudbary","given":"Maryam","non-dropping-particle":"","parse-names":false,"suffix":""},{"dropping-particle":"","family":"Ghazanfari","given":"Mona","non-dropping-particle":"","parse-names":false,"suffix":""},{"dropping-particle":"","family":"Hedayati","given":"Mohammad Taghi","non-dropping-particle":"","parse-names":false,"suffix":""},{"dropping-particle":"","family":"Sedaghat","given":"Alireza","non-dropping-particle":"","parse-names":false,"suffix":""},{"dropping-particle":"","family":"Ilkit","given":"Macit","non-dropping-particle":"","parse-names":false,"suffix":""},{"dropping-particle":"","family":"Najafzadeh","given":"Mohammad Javad","non-dropping-particle":"","parse-names":false,"suffix":""},{"dropping-particle":"","family":"Perlin","given":"David S.","non-dropping-particle":"","parse-names":false,"suffix":""}],"container-title":"Journal of Fungi","id":"ITEM-1","issue":"280","issued":{"date-parts":[["2021"]]},"page":"1-9","title":"Candidemia among iranian patients with severe COVID-19 admitted to ICUs","type":"article-journal","volume":"7"},"uris":["http://www.mendeley.com/documents/?uuid=36c7e850-53a3-48ad-ac02-15ef9470fde9"]}],"mendeley":{"formattedCitation":"[68]","plainTextFormattedCitation":"[68]","previouslyFormattedCitation":"[67]"},"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[68]</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7</w:t>
            </w:r>
          </w:p>
          <w:p w:rsidR="000E4732" w:rsidRPr="00516E46" w:rsidRDefault="000E4732" w:rsidP="000E4732">
            <w:pPr>
              <w:jc w:val="center"/>
              <w:rPr>
                <w:rFonts w:ascii="Times New Roman" w:hAnsi="Times New Roman" w:cs="Times New Roman"/>
                <w:sz w:val="18"/>
                <w:szCs w:val="18"/>
              </w:rPr>
            </w:pPr>
            <w:r w:rsidRPr="00516E46">
              <w:rPr>
                <w:rFonts w:ascii="Times New Roman" w:hAnsi="Times New Roman" w:cs="Times New Roman"/>
                <w:sz w:val="18"/>
                <w:szCs w:val="18"/>
              </w:rPr>
              <w:t>(CAC)</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2</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(FLU)</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5</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(CAS+FLU)</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val="en-US"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val="en-US" w:bidi="ne-NP"/>
              </w:rPr>
              <w:t>NR</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6</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1</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Fekkar A et al, France,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{"citationItems":[{"id":"ITEM-1","itemData":{"DOI":"10.1164/rccm.202009-3400OC","ISSN":"15354970","PMID":"33480831","abstract":"Rationale: Whether severe coronavirus disease (COVID-19) is a significant risk factor for the development of invasive fungal superinfections is of great medical interest and remains, for now, an open question. Objectives: We aim to assess the occurrence of invasive fungal respiratory superinfections in patients with severe COVID-19. Methods: We conducted the study on patients with severe acute respiratory syndrome coronavirus 2 (SARS-CoV-2)–related pneumonia admitted to five ICUs in France who had respiratory and serum sampling performed for specific screening of fungal complications. Measurements and Main Results: The study population included a total of 145 patients; the median age was 55 years old. Most of them were male (n = 104; 72%), were overweight (n = 99; 68%), and had hypertension (n = 83; 57%) and diabetes (n = 46; 32%). Few patients presented preexisting host risk factors for invasive fungal infection (n = 20; 14%). Their global severity was high; all patients were on invasive mechanical ventilation, and half (n = 73, 54%) were on extracorporeal membrane oxygenation support. Mycological analysis included 2,815 mycological tests (culture, galactomannan, b-glucan, and PCR) performed on 475 respiratory samples and 532 sera. A probable/putative invasive pulmonary mold infection was diagnosed in 7 (4.8%) patients and linked to high mortality. Multivariate analysis indicates a significantly higher risk for solid organ transplant recipients (odds ratio, = 4.66; interquartile range, 1.98–7.34; P = 0.004). False-positive fungal test and clinically irrelevant colonization, which did not require the initiation of antifungal treatment, was observed in 25 patients (17.2%). Conclusions: In patients with no underlying immunosuppression, severe SARS-CoV-2–related pneumonia seems at low risk of invasive fungal secondary infection, especially aspergillosis.","author":[{"dropping-particle":"","family":"Fekkar","given":"Arnaud","non-dropping-particle":"","parse-names":false,"suffix":""},{"dropping-particle":"","family":"Lampros","given":"Alexandre","non-dropping-particle":"","parse-names":false,"suffix":""},{"dropping-particle":"","family":"Mayaux","given":"Julien","non-dropping-particle":"","parse-names":false,"suffix":""},{"dropping-particle":"","family":"Poignon","given":"Corentin","non-dropping-particle":"","parse-names":false,"suffix":""},{"dropping-particle":"","family":"Demeret","given":"Sophie","non-dropping-particle":"","parse-names":false,"suffix":""},{"dropping-particle":"","family":"Constantin","given":"Jean Michel","non-dropping-particle":"","parse-names":false,"suffix":""},{"dropping-particle":"","family":"Marcelin","given":"Anne Geneviève","non-dropping-particle":"","parse-names":false,"suffix":""},{"dropping-particle":"","family":"Monsel","given":"Antoine","non-dropping-particle":"","parse-names":false,"suffix":""},{"dropping-particle":"","family":"Luyt","given":"Charles Edouard","non-dropping-particle":"","parse-names":false,"suffix":""},{"dropping-particle":"","family":"Blaize","given":"Marion","non-dropping-particle":"","parse-names":false,"suffix":""}],"container-title":"American Journal of Respiratory and Critical Care Medicine","id":"ITEM-1","issue":"3","issued":{"date-parts":[["2021"]]},"page":"307-317","title":"Occurrence of invasive pulmonary fungal infections in patients with severe COVID-19 admitted to the ICU","type":"article-journal","volume":"203"},"uris":["http://www.mendeley.com/documents/?uuid=58a69719-1bd6-4c71-addc-2bb1919217e4"]}],"mendeley":{"formattedCitation":"[69]","plainTextFormattedCitation":"[69]","previouslyFormattedCitation":"[68]"},"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[69]</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7</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(CAPA-4; CAPA+CAM-2; CAPA+CAC-1)</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4</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(VOR+CAS:3, AMB+CAS:1)</w:t>
            </w:r>
          </w:p>
        </w:tc>
        <w:tc>
          <w:tcPr>
            <w:tcW w:w="186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(VOR+CAS+AMB)</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(VOR+AMB+CAS+</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ISA)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5</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4</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3</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39"/>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Roman-Montes CM et al, Mexico,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{"citationItems":[{"id":"ITEM-1","itemData":{"DOI":"10.1111/myc.13216","ISBN":"0000000302","ISSN":"14390507","PMID":"33217784","abstract":"Objective: Our aim was to evaluate the performance of two galactomannan (GM) assays (Platelia Aspergillus EIA, Bio-Rad®, and Aspergillus GM LFA, IMMY®) in tracheal aspirate (TA) samples of consecutive critically ill patients with COVID-19. Methods: We included critically ill patients, performed GM-EIA and GM-Lateral Flow Assay (GM-LFA) in TA and followed them until development of COVID-19-associated pulmonary aspergillosis (CAPA) or alternate diagnosis. CAPA was defined according to the modified AspICU criteria in patients with SARS-CoV-2 infection. We estimated sensitivity, specificity, positive and negative predictive values for GM-EIA, GM-LFA, the combination of both or either positive results for GM-EIA and GM-LFA. We explored accuracy using different breakpoints, through ROC analysis and Youden index to identify the optimal cut-offs. We described antifungal treatment and 30-day mortality. Results: We identified 14/144 (9.7%) patients with CAPA, mean age was 50.35 (SD 11.9), the median time from admission to CAPA was 8 days; 28.5% received tocilizumab and 30-day mortality was 57%. ROC analysis and Youden index identified 2.0 OD as the best cut-off, resulting in sensitivity and specificity of 57.1% and 81.5% for GM-EIA and 60% and 72.6% for GM-LFA, respectively. Conclusions: The diagnostic performance of GM in tracheal aspirates improved after using a cut-off of 2 OD. Although bronchoalveolar lavage testing is the ideal test, centres with limited access to bronchoscopy may consider this approach to identify or rule out CAPA.","author":[{"dropping-particle":"","family":"Roman-Montes","given":"Carla M.","non-dropping-particle":"","parse-names":false,"suffix":""},{"dropping-particle":"","family":"Martinez-Gamboa","given":"Areli","non-dropping-particle":"","parse-names":false,"suffix":""},{"dropping-particle":"","family":"Diaz-Lomelí","given":"Paulette","non-dropping-particle":"","parse-names":false,"suffix":""},{"dropping-particle":"","family":"Cervantes-Sanchez","given":"Axel","non-dropping-particle":"","parse-names":false,"suffix":""},{"dropping-particle":"","family":"Rangel-Cordero","given":"Andrea","non-dropping-particle":"","parse-names":false,"suffix":""},{"dropping-particle":"","family":"Sifuentes-Osornio","given":"Jose","non-dropping-particle":"","parse-names":false,"suffix":""},{"dropping-particle":"","family":"Ponce-de-Leon","given":"Alfredo","non-dropping-particle":"","parse-names":false,"suffix":""},{"dropping-particle":"","family":"Gonzalez-Lara","given":"Maria F.","non-dropping-particle":"","parse-names":false,"suffix":""}],"container-title":"Mycoses","id":"ITEM-1","issue":"4","issued":{"date-parts":[["2021"]]},"page":"364-371","title":"Accuracy of galactomannan testing on tracheal aspirates in COVID-19-associated pulmonary aspergillosis","type":"article-journal","volume":"64"},"uris":["http://www.mendeley.com/documents/?uuid=8bacc939-8ffb-4669-9433-b5ab2a3d093d"]}],"mendeley":{"formattedCitation":"[70]","plainTextFormattedCitation":"[70]","previouslyFormattedCitation":"[69]"},"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[70]</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14</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12</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(VOR:10, ANI:2)</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2</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6</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5</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8</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5</w:t>
            </w:r>
          </w:p>
        </w:tc>
        <w:tc>
          <w:tcPr>
            <w:tcW w:w="99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w:t>
            </w:r>
          </w:p>
        </w:tc>
      </w:tr>
      <w:tr w:rsidR="000E4732" w:rsidRPr="00516E46" w:rsidTr="000E4732">
        <w:trPr>
          <w:trHeight w:val="292"/>
        </w:trPr>
        <w:tc>
          <w:tcPr>
            <w:tcW w:w="2790" w:type="dxa"/>
            <w:shd w:val="clear" w:color="auto" w:fill="auto"/>
            <w:noWrap/>
            <w:hideMark/>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Segrelles-Calvo G et al, Spain,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{"citationItems":[{"id":"ITEM-1","itemData":{"DOI":"10.1111/myc.13219","ISSN":"14390507","PMID":"33217071","abstract":"Background: As the global coronavirus pandemic (COVID-19) spreads across the world, new clinical challenges emerge in the hospital landscape. Among these challenges, the increased risk of coinfections is a major threat to the patients. Although still in a low number, due to the short time of the pandemic, studies that identified a significant number of hospitalised patients with COVID-19 who developed secondary fungal infections that led to serious complications and even death have been published. Objectives: In this scenario, we aim to determine the prevalence of invasive fungal infections (IFIs) and describe possible associated risk factors in patients admitted due to severe acute respiratory syndrome coronavirus 2 (SARS-CoV-2) infection. Patients/Methods: We designed an open prospective observational study at the Rey Juan Carlos University Hospital (Mostoles, Spain), during the period from February 1 to April 30, 2020. Results: In this article, we reported seven patients with COVID-19-associated pulmonary aspergillosis (CAPA) who had a poor prognosis. Severely ill patients represent a high-risk group; therefore, we must actively investigate the possibility of aspergillosis in all of these patients. Larger cohort studies are needed to unravel the role of COVID-19 immunosuppressive therapy as a risk factor for aspergillosis. Conclusions: As the pandemic continues to spread across the world, further reports are needed to assess the frequency of emergent and highly resistant reemergent fungal infections during severe COVID-19. These coinfections are leading a significant number of patients with COVID-19 to death due to complications following the primary viral disease.","author":[{"dropping-particle":"","family":"Segrelles-Calvo","given":"Gonzalo","non-dropping-particle":"","parse-names":false,"suffix":""},{"dropping-particle":"","family":"Araújo","given":"Glauber R.S.","non-dropping-particle":"","parse-names":false,"suffix":""},{"dropping-particle":"","family":"Llopis-Pastor","given":"Estefanía","non-dropping-particle":"","parse-names":false,"suffix":""},{"dropping-particle":"","family":"Carrillo","given":"Javier","non-dropping-particle":"","parse-names":false,"suffix":""},{"dropping-particle":"","family":"Hernández-Hernández","given":"Marta","non-dropping-particle":"","parse-names":false,"suffix":""},{"dropping-particle":"","family":"Rey","given":"Laura","non-dropping-particle":"","parse-names":false,"suffix":""},{"dropping-particle":"","family":"Rodríguez Melean","given":"Nestor","non-dropping-particle":"","parse-names":false,"suffix":""},{"dropping-particle":"","family":"Escribano","given":"Inés","non-dropping-particle":"","parse-names":false,"suffix":""},{"dropping-particle":"","family":"Antón","given":"Esther","non-dropping-particle":"","parse-names":false,"suffix":""},{"dropping-particle":"","family":"Zamarro","given":"Celia","non-dropping-particle":"","parse-names":false,"suffix":""},{"dropping-particle":"","family":"García-Salmones","given":"Mercedes","non-dropping-particle":"","parse-names":false,"suffix":""},{"dropping-particle":"","family":"Frases","given":"Susana","non-dropping-particle":"","parse-names":false,"suffix":""}],"container-title":"Mycoses","id":"ITEM-1","issue":"2","issued":{"date-parts":[["2021"]]},"page":"144-151","title":"Prevalence of opportunistic invasive aspergillosis in COVID-19 patients with severe pneumonia","type":"article-journal","volume":"64"},"uris":["http://www.mendeley.com/documents/?uuid=a3e78274-06dc-44e5-9031-da446e275c65"]}],"mendeley":{"formattedCitation":"[71]","plainTextFormattedCitation":"[71]","previouslyFormattedCitation":"[70]"},"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[71]</w:t>
            </w:r>
            <w:r w:rsidRPr="00516E46">
              <w:rPr>
                <w:rFonts w:ascii="Times New Roman" w:hAnsi="Times New Roman" w:cs="Times New Roman"/>
                <w:sz w:val="18"/>
                <w:szCs w:val="18"/>
              </w:rPr>
              <w:fldChar w:fldCharType="end"/>
            </w:r>
          </w:p>
        </w:tc>
        <w:tc>
          <w:tcPr>
            <w:tcW w:w="1951" w:type="dxa"/>
            <w:shd w:val="clear" w:color="auto" w:fill="auto"/>
            <w:noWrap/>
            <w:vAlign w:val="center"/>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7</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5</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(ITA:4, AMB:1)</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2</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3</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2</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5</w:t>
            </w:r>
          </w:p>
        </w:tc>
        <w:tc>
          <w:tcPr>
            <w:tcW w:w="720" w:type="dxa"/>
            <w:shd w:val="clear" w:color="auto" w:fill="auto"/>
            <w:noWrap/>
            <w:hideMark/>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2</w:t>
            </w:r>
          </w:p>
        </w:tc>
        <w:tc>
          <w:tcPr>
            <w:tcW w:w="990" w:type="dxa"/>
            <w:shd w:val="clear" w:color="auto" w:fill="auto"/>
            <w:noWrap/>
            <w:hideMark/>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Mitaka H et al, USA,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{"citationItems":[{"id":"ITEM-1","itemData":{"DOI":"10.1111/myc.13185","ISSN":"14390507","PMID":"32965042","abstract":"Background: Critically ill patients with coronavirus disease-2019 (COVID-19) are at the theoretical risk of invasive pulmonary aspergillosis (IPA) due to known risk factors. Patients/Methods: We aimed to describe the clinical features of COVID-19-associated pulmonary aspergillosis at a single centre in New York City. We performed a retrospective chart review of all patients with COVID-19 with Aspergillus isolated from respiratory cultures. Results: A total of seven patients with COVID-19 who had one or more positive respiratory cultures for Aspergillus fumigatus were identified, all of whom were mechanically ventilated in the ICU. Four patients were classified as putative IPA. The median age was 79 years, and all patients were male. The patients had been mechanically ventilated for a mean of 6.8 days (range: 1-14 days) before Aspergillus isolation. Serum galactomannan level was positive for only one patient. The majority of our cases received much higher doses of glucocorticoids than the dosage with a proven mortality benefit. All four patients died. Conclusions: Vigilance for secondary fungal infections will be needed to reduce adverse outcomes in critically ill patients with COVID-19.","author":[{"dropping-particle":"","family":"Mitaka","given":"Hayato","non-dropping-particle":"","parse-names":false,"suffix":""},{"dropping-particle":"","family":"Perlman","given":"David C.","non-dropping-particle":"","parse-names":false,"suffix":""},{"dropping-particle":"","family":"Javaid","given":"Waleed","non-dropping-particle":"","parse-names":false,"suffix":""},{"dropping-particle":"","family":"Salomon","given":"Nadim","non-dropping-particle":"","parse-names":false,"suffix":""}],"container-title":"Mycoses","id":"ITEM-1","issue":"12","issued":{"date-parts":[["2020"]]},"page":"1368-1372","title":"Putative invasive pulmonary aspergillosis in critically ill patients with COVID-19: An observational study from New York City","type":"article-journal","volume":"63"},"uris":["http://www.mendeley.com/documents/?uuid=64302ed6-8671-46c0-8861-19e4b5d95681"]}],"mendeley":{"formattedCitation":"[72]","plainTextFormattedCitation":"[72]","previouslyFormattedCitation":"[71]"},"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[72]</w:t>
            </w:r>
            <w:r w:rsidRPr="00516E46">
              <w:rPr>
                <w:rFonts w:ascii="Times New Roman" w:hAnsi="Times New Roman" w:cs="Times New Roman"/>
                <w:sz w:val="18"/>
                <w:szCs w:val="18"/>
              </w:rPr>
              <w:fldChar w:fldCharType="end"/>
            </w:r>
            <w:r w:rsidRPr="00516E46">
              <w:rPr>
                <w:rFonts w:ascii="Times New Roman" w:hAnsi="Times New Roman" w:cs="Times New Roman"/>
                <w:sz w:val="18"/>
                <w:szCs w:val="18"/>
              </w:rPr>
              <w:t xml:space="preserve"> </w:t>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4</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4</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(VOR:3, CAS:1)</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3</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4</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p>
        </w:tc>
        <w:tc>
          <w:tcPr>
            <w:tcW w:w="99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Salmanton-García J et al, Germany,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author":[{"dropping-particle":"","family":"August","given":"March","non-dropping-particle":"","parse-names":false,"suffix":""},{"dropping-particle":"","family":"Salmanton-garcía","given":"Jon","non-dropping-particle":"","parse-names":false,"suffix":""},{"dropping-particle":"","family":"Sprute","given":"Rosanne","non-dropping-particle":"","parse-names":false,"suffix":""},{"dropping-particle":"","family":"Stemler","given":"Jannik","non-dropping-particle":"","parse-names":false,"suffix":""},{"dropping-particle":"","family":"Bartoletti","given":"Michele","non-dropping-particle":"","parse-names":false,"suffix":""},{"dropping-particle":"","family":"Dupont","given":"Damien","non-dropping-particle":"","parse-names":false,"suffix":""},{"dropping-particle":"","family":"Valerio","given":"Maricela","non-dropping-particle":"","parse-names":false,"suffix":""},{"dropping-particle":"","family":"Garcia-vidal","given":"Carolina","non-dropping-particle":"","parse-names":false,"suffix":""},{"dropping-particle":"","family":"Falces-romero","given":"Iker","non-dropping-particle":"","parse-names":false,"suffix":""},{"dropping-particle":"","family":"Machado","given":"Marina","non-dropping-particle":"","parse-names":false,"suffix":""},{"dropping-particle":"De","family":"Villa","given":"Sofía","non-dropping-particle":"","parse-names":false,"suffix":""},{"dropping-particle":"","family":"Schroeder","given":"Maria","non-dropping-particle":"","parse-names":false,"suffix":""},{"dropping-particle":"","family":"Hoyo","given":"Irma","non-dropping-particle":"","parse-names":false,"suffix":""},{"dropping-particle":"","family":"Hanses","given":"Frank","non-dropping-particle":"","parse-names":false,"suffix":""},{"dropping-particle":"","family":"Ferreira-paim","given":"Kennio","non-dropping-particle":"","parse-names":false,"suffix":""},{"dropping-particle":"","family":"Giacobbe","given":"Daniele Roberto","non-dropping-particle":"","parse-names":false,"suffix":""},{"dropping-particle":"","family":"Meis","given":"Jacques F","non-dropping-particle":"","parse-names":false,"suffix":""},{"dropping-particle":"","family":"Gangneux","given":"Jean-pierre","non-dropping-particle":"","parse-names":false,"suffix":""},{"dropping-particle":"","family":"Rodríguez-guardado","given":"Azucena","non-dropping-particle":"","parse-names":false,"suffix":""},{"dropping-particle":"","family":"Antinori","given":"Spinello","non-dropping-particle":"","parse-names":false,"suffix":""},{"dropping-particle":"","family":"Sal","given":"Ertan","non-dropping-particle":"","parse-names":false,"suffix":""},{"dropping-particle":"","family":"Malaj","given":"Xhorxha","non-dropping-particle":"","parse-names":false,"suffix":""},{"dropping-particle":"","family":"Seidel","given":"Danila","non-dropping-particle":"","parse-names":false,"suffix":""},{"dropping-particle":"","family":"Cornely","given":"Oliver A","non-dropping-particle":"","parse-names":false,"suffix":""},{"dropping-particle":"","family":"Koehler","given":"Philipp","non-dropping-particle":"","parse-names":false,"suffix":""},{"dropping-particle":"","family":"European","given":"The Fungiscope","non-dropping-particle":"","parse-names":false,"suffix":""}],"container-title":"Emerging Infectious Diseases","id":"ITEM-1","issue":"4","issued":{"date-parts":[["2021"]]},"page":"1077-1086","title":"COVID-19–Associated Pulmonary Aspergillosis, March–August 2020","type":"article-journal","volume":"27"},"uris":["http://www.mendeley.com/documents/?uuid=d64c58e2-4243-4bce-a2de-69298cbd870b"]}],"mendeley":{"formattedCitation":"[73]","plainTextFormattedCitation":"[73]","previouslyFormattedCitation":"[72]"},"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[73]</w:t>
            </w:r>
            <w:r w:rsidRPr="00516E46">
              <w:rPr>
                <w:rFonts w:ascii="Times New Roman" w:hAnsi="Times New Roman" w:cs="Times New Roman"/>
                <w:sz w:val="18"/>
                <w:szCs w:val="18"/>
              </w:rPr>
              <w:fldChar w:fldCharType="end"/>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158</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 xml:space="preserve"> (CAPA)</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187</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(AMB:36, ANI:10, CAS:13, MIC:1, IBR:1, VOR:98, ISA:23, POS:4, FLU:1)</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bidi="ne-NP"/>
              </w:rPr>
              <w:t>NR</w:t>
            </w:r>
          </w:p>
        </w:tc>
        <w:tc>
          <w:tcPr>
            <w:tcW w:w="630" w:type="dxa"/>
            <w:shd w:val="clear" w:color="auto" w:fill="auto"/>
          </w:tcPr>
          <w:p w:rsidR="000E4732" w:rsidRPr="00516E46" w:rsidRDefault="000E4732" w:rsidP="000E4732">
            <w:pPr>
              <w:jc w:val="center"/>
              <w:rPr>
                <w:rFonts w:ascii="Times New Roman" w:hAnsi="Times New Roman" w:cs="Times New Roman"/>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119</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39</w:t>
            </w:r>
          </w:p>
        </w:tc>
        <w:tc>
          <w:tcPr>
            <w:tcW w:w="99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Søgaard KK et al, Switzerland,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{"citationItems":[{"id":"ITEM-1","itemData":{"DOI":"10.1186/s40560-021-00526-y","ISSN":"20520492","PMID":"33461613","abstract":"Objectives: SARS-CoV-2 may cause acute lung injury, and secondary infections are thus relevant complications in patients with COVID-19 pneumonia. However, detailed information on community- and hospital-acquired infections among patients with COVID-19 pneumonia is scarce. Methods: We identified 220 SARS-CoV-2-positive patients hospitalized at the University Hospital Basel, Switzerland (between 25 February and 31 May 2020). We excluded patients who declined the general consent (n = 12), patients without clinical evidence of pneumonia (n = 29), and patients hospitalized for &lt; 24 h (n = 17). We evaluated the frequency of community- and hospital-acquired infections using respiratory and blood culture materials with antigen, culture-based, and molecular diagnostics. For ICU patients, all clinical and microbial findings were re-evaluated interdisciplinary (intensive care, infectious disease, and clinical microbiology), and agreement reached to classify patients with infections. Results: In the final cohort of 162 hospitalized patients (median age 64.4 years (IQR, 50.4–74.2); 61.1% male), 41 (25.3%) patients were admitted to the intensive care unit, 34/41 (82.9%) required mechanical ventilation, and 17 (10.5%) of all hospitalized patients died. In total, 31 infections were diagnosed including five viral co-infections, 24 bacterial infections, and three fungal infections (ventilator-associated pneumonia, n = 5; tracheobronchitis, n = 13; pneumonia, n = 1; and bloodstream infection, n = 6). Median time to respiratory tract infection was 12.5 days (IQR, 8–18) and time to bloodstream infection 14 days (IQR, 6–30). Hospital-acquired bacterial and fungal infections were more frequent among ICU patients than other patients (36.6% vs. 1.7%). Antibiotic or antifungal treatment was administered in 71 (43.8%) patients. Conclusions: Community-acquired viral and bacterial infections were rare among COVID-19 pneumonia patients. By contrast, hospital-acquired bacterial or fungal infections were frequently complicating the course among ICU patients.","author":[{"dropping-particle":"","family":"Søgaard","given":"Kirstine K.","non-dropping-particle":"","parse-names":false,"suffix":""},{"dropping-particle":"","family":"Baettig","given":"Veronika","non-dropping-particle":"","parse-names":false,"suffix":""},{"dropping-particle":"","family":"Osthoff","given":"Michael","non-dropping-particle":"","parse-names":false,"suffix":""},{"dropping-particle":"","family":"Marsch","given":"Stephan","non-dropping-particle":"","parse-names":false,"suffix":""},{"dropping-particle":"","family":"Leuzinger","given":"Karoline","non-dropping-particle":"","parse-names":false,"suffix":""},{"dropping-particle":"","family":"Schweitzer","given":"Michael","non-dropping-particle":"","parse-names":false,"suffix":""},{"dropping-particle":"","family":"Meier","given":"Julian","non-dropping-particle":"","parse-names":false,"suffix":""},{"dropping-particle":"","family":"Bassetti","given":"Stefano","non-dropping-particle":"","parse-names":false,"suffix":""},{"dropping-particle":"","family":"Bingisser","given":"Roland","non-dropping-particle":"","parse-names":false,"suffix":""},{"dropping-particle":"","family":"Nickel","given":"Christian H.","non-dropping-particle":"","parse-names":false,"suffix":""},{"dropping-particle":"","family":"Khanna","given":"Nina","non-dropping-particle":"","parse-names":false,"suffix":""},{"dropping-particle":"","family":"Tschudin-Sutter","given":"Sarah","non-dropping-particle":"","parse-names":false,"suffix":""},{"dropping-particle":"","family":"Weisser","given":"Maja","non-dropping-particle":"","parse-names":false,"suffix":""},{"dropping-particle":"","family":"Battegay","given":"Manuel","non-dropping-particle":"","parse-names":false,"suffix":""},{"dropping-particle":"","family":"Hirsch","given":"Hans H.","non-dropping-particle":"","parse-names":false,"suffix":""},{"dropping-particle":"","family":"Pargger","given":"Hans","non-dropping-particle":"","parse-names":false,"suffix":""},{"dropping-particle":"","family":"Siegemund","given":"Martin","non-dropping-particle":"","parse-names":false,"suffix":""},{"dropping-particle":"","family":"Egli","given":"Adrian","non-dropping-particle":"","parse-names":false,"suffix":""}],"container-title":"Journal of Intensive Care","id":"ITEM-1","issue":"1","issued":{"date-parts":[["2021"]]},"page":"1-10","publisher":"Journal of Intensive Care","title":"Community-acquired and hospital-acquired respiratory tract infection and bloodstream infection in patients hospitalized with COVID-19 pneumonia","type":"article-journal","volume":"9"},"uris":["http://www.mendeley.com/documents/?uuid=bb30059d-ccb0-41b2-86fc-ce4158923868"]}],"mendeley":{"formattedCitation":"[74]","plainTextFormattedCitation":"[74]","previouslyFormattedCitation":"[73]"},"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[74]</w:t>
            </w:r>
            <w:r w:rsidRPr="00516E46">
              <w:rPr>
                <w:rFonts w:ascii="Times New Roman" w:hAnsi="Times New Roman" w:cs="Times New Roman"/>
                <w:sz w:val="18"/>
                <w:szCs w:val="18"/>
              </w:rPr>
              <w:fldChar w:fldCharType="end"/>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3</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(CAPA-2; CAC-1)</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7</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(FLU:1, CAS:3, ANI:1, VOR:2)</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sz w:val="18"/>
                <w:szCs w:val="18"/>
                <w:lang w:bidi="ne-NP"/>
              </w:rPr>
            </w:pPr>
            <w:r w:rsidRPr="00516E46">
              <w:rPr>
                <w:rFonts w:ascii="Times New Roman" w:eastAsia="Times New Roman" w:hAnsi="Times New Roman" w:cs="Times New Roman"/>
                <w:sz w:val="18"/>
                <w:szCs w:val="18"/>
                <w:lang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p>
        </w:tc>
        <w:tc>
          <w:tcPr>
            <w:tcW w:w="72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3</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Versyck M et al, France, 2021</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author":[{"dropping-particle":"","family":"Versyck","given":"Maaike","non-dropping-particle":"","parse-names":false,"suffix":""},{"dropping-particle":"","family":"Zarrougui","given":"Wafa","non-dropping-particle":"","parse-names":false,"suffix":""},{"dropping-particle":"","family":"Lambiotte","given":"Fabien","non-dropping-particle":"","parse-names":false,"suffix":""},{"dropping-particle":"","family":"Elbeki","given":"Nabil","non-dropping-particle":"","parse-names":false,"suffix":""},{"dropping-particle":"","family":"Saint-leger","given":"Piehr","non-dropping-particle":"","parse-names":false,"suffix":""}],"container-title":"Journal of Medical Mycology","id":"ITEM-1","issue":"2021","issued":{"date-parts":[["2021"]]},"page":"101122 Contents","title":"Invasive pulmonary aspergillosis in COVID-19 critically ill patients: Results of a French monocentric cohort","type":"article-journal"},"uris":["http://www.mendeley.com/documents/?uuid=8ab11048-de3d-477e-9d44-4481da524656"]}],"mendeley":{"formattedCitation":"[75]","plainTextFormattedCitation":"[75]","previouslyFormattedCitation":"[74]"},"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[75]</w:t>
            </w:r>
            <w:r w:rsidRPr="00516E46">
              <w:rPr>
                <w:rFonts w:ascii="Times New Roman" w:hAnsi="Times New Roman" w:cs="Times New Roman"/>
                <w:sz w:val="18"/>
                <w:szCs w:val="18"/>
              </w:rPr>
              <w:fldChar w:fldCharType="end"/>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2</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2</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(VOR)</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2</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2</w:t>
            </w:r>
          </w:p>
        </w:tc>
        <w:tc>
          <w:tcPr>
            <w:tcW w:w="72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Salehi M et al, Iran,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{"citationItems":[{"id":"ITEM-1","itemData":{"DOI":"10.1111/myc.13137","ISSN":"14390507","PMID":"32609906","abstract":"Background: Emergence of coronavirus disease 2019 (COVID-19) is a major healthcare threat. Apparently, the novel coronavirus (SARS-CoV-2) is armed by special abilities to spread and dysregulate the immune mechanisms. The likelihood of oropharyngeal candidiasis (OPC) development in COVID-19 patients with a list of attributable risk factors for oral infections has not yet been investigated. Objectives: We here aim to investigate the prevalence, causative agents and antifungal susceptibility pattern of OPC in Iranian COVID-19 patients. Patients and Methods: A total of 53 hospitalised COVID-19 patients with OPC were studied. Relevant clinical data were mined. Strain identification was performed by 21-plex PCR and sequencing of the internal transcribed spacer region (ITS1-5.8S-ITS2). Antifungal susceptibility testing to fluconazole, itraconazole, voriconazole, amphotericin B, caspofungin, micafungin and anidulafungin was performed according to the CLSI broth dilution method. Results: In 53 COVID-19 patients with OPC, cardiovascular diseases (52.83%) and diabetes (37.7%) were the principal underlying conditions. The most common risk factor was lymphopaenia (71%). In total, 65 Candida isolates causing OPC were recovered. C albicans (70.7%) was the most common, followed by C glabrata (10.7%), C dubliniensis (9.2%), C parapsilosis sensu stricto (4.6%), C tropicalis (3%) and Pichia kudriavzevii (=C krusei, 1.5%). Majority of the Candida isolates were susceptible to all three classes of antifungal drugs. Conclusion: Our data clarified some concerns regarding the occurrence of OPC in Iranian COVID-19 patients. Further studies should be conducted to design an appropriate prophylaxis programme and improve management of OPC in critically ill COVID-19 patients.","author":[{"dropping-particle":"","family":"Salehi","given":"Mohammadreza","non-dropping-particle":"","parse-names":false,"suffix":""},{"dropping-particle":"","family":"Ahmadikia","given":"Kazem","non-dropping-particle":"","parse-names":false,"suffix":""},{"dropping-particle":"","family":"Mahmoudi","given":"Shahram","non-dropping-particle":"","parse-names":false,"suffix":""},{"dropping-particle":"","family":"Kalantari","given":"Saeed","non-dropping-particle":"","parse-names":false,"suffix":""},{"dropping-particle":"","family":"Jamalimoghadamsiahkali","given":"Saeidreza","non-dropping-particle":"","parse-names":false,"suffix":""},{"dropping-particle":"","family":"Izadi","given":"Alireza","non-dropping-particle":"","parse-names":false,"suffix":""},{"dropping-particle":"","family":"Kord","given":"Mohammad","non-dropping-particle":"","parse-names":false,"suffix":""},{"dropping-particle":"","family":"Dehghan Manshadi","given":"Seyed Ali","non-dropping-particle":"","parse-names":false,"suffix":""},{"dropping-particle":"","family":"Seifi","given":"Arash","non-dropping-particle":"","parse-names":false,"suffix":""},{"dropping-particle":"","family":"Ghiasvand","given":"Fereshteh","non-dropping-particle":"","parse-names":false,"suffix":""},{"dropping-particle":"","family":"Khajavirad","given":"Nasim","non-dropping-particle":"","parse-names":false,"suffix":""},{"dropping-particle":"","family":"Ebrahimi","given":"Saeedeh","non-dropping-particle":"","parse-names":false,"suffix":""},{"dropping-particle":"","family":"Koohfar","given":"Amirhossein","non-dropping-particle":"","parse-names":false,"suffix":""},{"dropping-particle":"","family":"Boekhout","given":"Teun","non-dropping-particle":"","parse-names":false,"suffix":""},{"dropping-particle":"","family":"Khodavaisy","given":"Sadegh","non-dropping-particle":"","parse-names":false,"suffix":""}],"container-title":"Mycoses","id":"ITEM-1","issue":"8","issued":{"date-parts":[["2020"]]},"page":"771-778","title":"Oropharyngeal candidiasis in hospitalised COVID-19 patients from Iran: Species identification and antifungal susceptibility pattern","type":"article-journal","volume":"63"},"uris":["http://www.mendeley.com/documents/?uuid=8194ee3c-603c-4ac1-a0d8-90d43f23cac6"]}],"mendeley":{"formattedCitation":"[76]","plainTextFormattedCitation":"[76]","previouslyFormattedCitation":"[75]"},"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[76]</w:t>
            </w:r>
            <w:r w:rsidRPr="00516E46">
              <w:rPr>
                <w:rFonts w:ascii="Times New Roman" w:hAnsi="Times New Roman" w:cs="Times New Roman"/>
                <w:sz w:val="18"/>
                <w:szCs w:val="18"/>
              </w:rPr>
              <w:fldChar w:fldCharType="end"/>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53</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(CAC)</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35</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(FLU:21, NYS:13, CAS:1)</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17</w:t>
            </w:r>
          </w:p>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(FLU+NYS)</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w:t>
            </w:r>
          </w:p>
          <w:p w:rsidR="000E4732" w:rsidRPr="00516E46" w:rsidRDefault="000E4732" w:rsidP="000E4732">
            <w:pPr>
              <w:jc w:val="center"/>
              <w:rPr>
                <w:rFonts w:ascii="Times New Roman" w:eastAsia="Times New Roman" w:hAnsi="Times New Roman" w:cs="Times New Roman"/>
                <w:color w:val="000000"/>
                <w:sz w:val="18"/>
                <w:szCs w:val="18"/>
                <w:lang w:bidi="ne-NP"/>
              </w:rPr>
            </w:pPr>
          </w:p>
        </w:tc>
        <w:tc>
          <w:tcPr>
            <w:tcW w:w="630" w:type="dxa"/>
            <w:shd w:val="clear" w:color="auto" w:fill="auto"/>
          </w:tcPr>
          <w:p w:rsidR="000E4732" w:rsidRPr="00516E46" w:rsidRDefault="000E4732" w:rsidP="000E4732">
            <w:pPr>
              <w:jc w:val="center"/>
              <w:rPr>
                <w:rFonts w:ascii="Times New Roman" w:eastAsia="Times New Roman" w:hAnsi="Times New Roman" w:cs="Times New Roman"/>
                <w:sz w:val="18"/>
                <w:szCs w:val="18"/>
                <w:lang w:bidi="ne-NP"/>
              </w:rPr>
            </w:pPr>
            <w:r w:rsidRPr="00516E46">
              <w:rPr>
                <w:rFonts w:ascii="Times New Roman" w:eastAsia="Times New Roman" w:hAnsi="Times New Roman" w:cs="Times New Roman"/>
                <w:sz w:val="18"/>
                <w:szCs w:val="18"/>
                <w:lang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53</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Buehler PK et al, Switzerland,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{"citationItems":[{"id":"ITEM-1","itemData":{"author":[{"dropping-particle":"al","family":"Buehler PK, Zinkernagel AS, Hofmaenner DA, Wendel PD, Acevedo CT, Gómez-Mejia A","given":"Shambat SM et","non-dropping-particle":"","parse-names":false,"suffix":""}],"container-title":"medRxiv","id":"ITEM-1","issued":{"date-parts":[["2020"]]},"title":"Original article Bacterial pulmonary superinfections are associated with unfavourable outcomes in critically ill COVID-19 patients","type":"article-journal"},"uris":["http://www.mendeley.com/documents/?uuid=f2c8931c-7606-4368-833f-d853b6587009"]}],"mendeley":{"formattedCitation":"[77]","plainTextFormattedCitation":"[77]","previouslyFormattedCitation":"[76]"},"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[77]</w:t>
            </w:r>
            <w:r w:rsidRPr="00516E46">
              <w:rPr>
                <w:rFonts w:ascii="Times New Roman" w:hAnsi="Times New Roman" w:cs="Times New Roman"/>
                <w:sz w:val="18"/>
                <w:szCs w:val="18"/>
              </w:rPr>
              <w:fldChar w:fldCharType="end"/>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34</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(CAPA-5; CAC-29)</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bidi="ne-NP"/>
              </w:rPr>
              <w:t>NA</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10</w:t>
            </w:r>
          </w:p>
          <w:p w:rsidR="000E4732" w:rsidRPr="00516E46" w:rsidRDefault="000E4732" w:rsidP="000E4732">
            <w:pPr>
              <w:jc w:val="center"/>
              <w:rPr>
                <w:rFonts w:ascii="Times New Roman" w:eastAsia="Times New Roman" w:hAnsi="Times New Roman" w:cs="Times New Roman"/>
                <w:color w:val="000000"/>
                <w:sz w:val="18"/>
                <w:szCs w:val="18"/>
                <w:lang w:bidi="ne-NP"/>
              </w:rPr>
            </w:pPr>
          </w:p>
        </w:tc>
        <w:tc>
          <w:tcPr>
            <w:tcW w:w="117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sz w:val="18"/>
                <w:szCs w:val="18"/>
                <w:lang w:bidi="ne-NP"/>
              </w:rPr>
            </w:pPr>
            <w:r w:rsidRPr="00516E46">
              <w:rPr>
                <w:rFonts w:ascii="Times New Roman" w:eastAsia="Times New Roman" w:hAnsi="Times New Roman" w:cs="Times New Roman"/>
                <w:sz w:val="18"/>
                <w:szCs w:val="18"/>
                <w:lang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34</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hAnsi="Times New Roman" w:cs="Times New Roman"/>
                <w:sz w:val="18"/>
                <w:szCs w:val="18"/>
              </w:rPr>
            </w:pPr>
            <w:r w:rsidRPr="00516E46">
              <w:rPr>
                <w:rFonts w:ascii="Times New Roman" w:hAnsi="Times New Roman" w:cs="Times New Roman"/>
                <w:sz w:val="18"/>
                <w:szCs w:val="18"/>
              </w:rPr>
              <w:t>Seaton RA et al, UK, 2020</w:t>
            </w:r>
            <w:r w:rsidRPr="00516E46">
              <w:rPr>
                <w:rFonts w:ascii="Times New Roman" w:hAnsi="Times New Roman" w:cs="Times New Roman"/>
                <w:sz w:val="18"/>
                <w:szCs w:val="18"/>
              </w:rPr>
              <w:fldChar w:fldCharType="begin" w:fldLock="1"/>
            </w:r>
            <w:r w:rsidRPr="00516E46">
              <w:rPr>
                <w:rFonts w:ascii="Times New Roman" w:hAnsi="Times New Roman" w:cs="Times New Roman"/>
                <w:sz w:val="18"/>
                <w:szCs w:val="18"/>
              </w:rPr>
              <w:instrText>ADDIN CSL_CITATION {"citationItems":[{"id":"ITEM-1","itemData":{"DOI":"10.1016/j.jinf.2020.09.024","ISSN":"15322742","PMID":"32987097","abstract":"Background: Concern regarding bacterial co-infection complicating SARS-CoV-2 has created a challenge for antimicrobial stewardship. Following introduction of national antibiotic recommendations for suspected bacterial respiratory tract infection complicating COVID-19, a point prevalence survey of prescribing was conducted across acute hospitals in Scotland. Methods: Patients in designated COVID-19 units were included and demographic, clinical and antimicrobial data were collected from 15 hospitals on a single day between 20th and 30th April 2020. Comparisons were made between SARS-CoV-2 positive and negative patients and patients on non-critical care and critical care units. Factors associated with antibiotic prescribing in SARS-CoV-2 positive patients were examined using Univariable and multivariable regression analyses. Findings: There were 820 patients were included, 64.8% were SARS-CoV-2 positive and 14.9% were managed in critical care, and 22.1% of SARS-CoV-2 infections were considered probable or definite nosocomial infections. On the survey day, antibiotic prevalence was 45.0% and 73.9% were prescribed for suspected respiratory tract infection. Amoxicillin, doxycycline and co-amoxiclav accounted for over half of all antibiotics in non-critical care wards and meropenem, piperacillin-tazobactam and co-amoxiclav accounted for approximately half prescribed in critical care. Of all SARS-CoV-2 patients, 38.3% were prescribed antibiotics. In a multivariable logistic regression analysis, COPD/chronic lung disease and CRP ≥ 100 mg/l were associated with higher odds and probable or confirmed nosocomial COVID-19, diabetes and management on an elderly care ward had lower odds of an antibiotic prescription. Systemic antifungals were prescribed in 9.8% of critical care patients and commenced a median of 18 days after critical care admission. Interpretation: A relatively low prevalence of antibiotic prescribing in SARS-CoV-2 hospitalised patients and low proportion of broad spectrum antibiotics in non-critical care settings was observed potentially reflecting national antimicrobial stewardship initiatives. Broad spectrum antibiotic and antifungal prescribing in critical care units was observed indicating the importance of infection prevention and control and stewardship initiatives in this setting. Funding: The Scottish Antibiotic Prescribing Group is funded by Scottish Government.","author":[{"dropping-particle":"","family":"Seaton","given":"Ronald A.","non-dropping-particle":"","parse-names":false,"suffix":""},{"dropping-particle":"","family":"Gibbons","given":"Cheryl L.","non-dropping-particle":"","parse-names":false,"suffix":""},{"dropping-particle":"","family":"Cooper","given":"Lesley","non-dropping-particle":"","parse-names":false,"suffix":""},{"dropping-particle":"","family":"Malcolm","given":"William","non-dropping-particle":"","parse-names":false,"suffix":""},{"dropping-particle":"","family":"McKinney","given":"Rachel","non-dropping-particle":"","parse-names":false,"suffix":""},{"dropping-particle":"","family":"Dundas","given":"Stephanie","non-dropping-particle":"","parse-names":false,"suffix":""},{"dropping-particle":"","family":"Griffith","given":"David","non-dropping-particle":"","parse-names":false,"suffix":""},{"dropping-particle":"","family":"Jeffreys","given":"Danielle","non-dropping-particle":"","parse-names":false,"suffix":""},{"dropping-particle":"","family":"Hamilton","given":"Kayleigh","non-dropping-particle":"","parse-names":false,"suffix":""},{"dropping-particle":"","family":"Choo-Kang","given":"Brian","non-dropping-particle":"","parse-names":false,"suffix":""},{"dropping-particle":"","family":"Brittain","given":"Suzanne","non-dropping-particle":"","parse-names":false,"suffix":""},{"dropping-particle":"","family":"Guthrie","given":"Debbie","non-dropping-particle":"","parse-names":false,"suffix":""},{"dropping-particle":"","family":"Sneddon","given":"Jacqueline","non-dropping-particle":"","parse-names":false,"suffix":""}],"container-title":"Journal of Infection","id":"ITEM-1","issue":"6","issued":{"date-parts":[["2020"]]},"page":"952-960","publisher":"Elsevier Ltd","title":"Survey of antibiotic and antifungal prescribing in patients with suspected and confirmed COVID-19 in Scottish hospitals","type":"article-journal","volume":"81"},"uris":["http://www.mendeley.com/documents/?uuid=1002225a-7d56-486e-802e-bd27193c6d84"]}],"mendeley":{"formattedCitation":"[78]","plainTextFormattedCitation":"[78]","previouslyFormattedCitation":"[77]"},"properties":{"noteIndex":0},"schema":"https://github.com/citation-style-language/schema/raw/master/csl-citation.json"}</w:instrText>
            </w:r>
            <w:r w:rsidRPr="00516E46">
              <w:rPr>
                <w:rFonts w:ascii="Times New Roman" w:hAnsi="Times New Roman" w:cs="Times New Roman"/>
                <w:sz w:val="18"/>
                <w:szCs w:val="18"/>
              </w:rPr>
              <w:fldChar w:fldCharType="separate"/>
            </w:r>
            <w:r w:rsidRPr="00516E46">
              <w:rPr>
                <w:rFonts w:ascii="Times New Roman" w:hAnsi="Times New Roman" w:cs="Times New Roman"/>
                <w:noProof/>
                <w:sz w:val="18"/>
                <w:szCs w:val="18"/>
              </w:rPr>
              <w:t>[78]</w:t>
            </w:r>
            <w:r w:rsidRPr="00516E46">
              <w:rPr>
                <w:rFonts w:ascii="Times New Roman" w:hAnsi="Times New Roman" w:cs="Times New Roman"/>
                <w:sz w:val="18"/>
                <w:szCs w:val="18"/>
              </w:rPr>
              <w:fldChar w:fldCharType="end"/>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13</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(Unknown)</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13</w:t>
            </w:r>
          </w:p>
          <w:p w:rsidR="000E4732" w:rsidRPr="00516E46" w:rsidRDefault="000E4732" w:rsidP="000E4732">
            <w:pPr>
              <w:jc w:val="center"/>
              <w:rPr>
                <w:rFonts w:ascii="Times New Roman" w:eastAsia="Times New Roman" w:hAnsi="Times New Roman" w:cs="Times New Roman"/>
                <w:color w:val="000000"/>
                <w:sz w:val="18"/>
                <w:szCs w:val="18"/>
                <w:lang w:val="en-US" w:bidi="ne-NP"/>
              </w:rPr>
            </w:pPr>
            <w:r w:rsidRPr="00516E46">
              <w:rPr>
                <w:rFonts w:ascii="Times New Roman" w:eastAsia="Times New Roman" w:hAnsi="Times New Roman" w:cs="Times New Roman"/>
                <w:color w:val="000000"/>
                <w:sz w:val="18"/>
                <w:szCs w:val="18"/>
                <w:lang w:val="en-US" w:bidi="ne-NP"/>
              </w:rPr>
              <w:t>(CAS:7, FLU:5, VOR:1)</w:t>
            </w:r>
          </w:p>
        </w:tc>
        <w:tc>
          <w:tcPr>
            <w:tcW w:w="1418"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86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1170" w:type="dxa"/>
            <w:shd w:val="clear" w:color="auto" w:fill="auto"/>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630" w:type="dxa"/>
            <w:shd w:val="clear" w:color="auto" w:fill="auto"/>
          </w:tcPr>
          <w:p w:rsidR="000E4732" w:rsidRPr="00516E46" w:rsidRDefault="000E4732" w:rsidP="000E4732">
            <w:pPr>
              <w:jc w:val="center"/>
              <w:rPr>
                <w:rFonts w:ascii="Times New Roman" w:eastAsia="Times New Roman" w:hAnsi="Times New Roman" w:cs="Times New Roman"/>
                <w:sz w:val="18"/>
                <w:szCs w:val="18"/>
                <w:lang w:bidi="ne-NP"/>
              </w:rPr>
            </w:pPr>
            <w:r w:rsidRPr="00516E46">
              <w:rPr>
                <w:rFonts w:ascii="Times New Roman" w:eastAsia="Times New Roman" w:hAnsi="Times New Roman" w:cs="Times New Roman"/>
                <w:sz w:val="18"/>
                <w:szCs w:val="18"/>
                <w:lang w:bidi="ne-NP"/>
              </w:rPr>
              <w:t>NR</w:t>
            </w:r>
          </w:p>
        </w:tc>
        <w:tc>
          <w:tcPr>
            <w:tcW w:w="630" w:type="dxa"/>
            <w:shd w:val="clear" w:color="auto" w:fill="auto"/>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NR</w:t>
            </w:r>
          </w:p>
        </w:tc>
        <w:tc>
          <w:tcPr>
            <w:tcW w:w="72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720" w:type="dxa"/>
            <w:shd w:val="clear" w:color="auto" w:fill="auto"/>
            <w:noWrap/>
          </w:tcPr>
          <w:p w:rsidR="000E4732" w:rsidRPr="00516E46" w:rsidRDefault="000E4732" w:rsidP="000E4732">
            <w:pPr>
              <w:jc w:val="center"/>
            </w:pPr>
            <w:r w:rsidRPr="00516E46">
              <w:rPr>
                <w:rFonts w:ascii="Times New Roman" w:eastAsia="Times New Roman" w:hAnsi="Times New Roman" w:cs="Times New Roman"/>
                <w:color w:val="000000"/>
                <w:sz w:val="18"/>
                <w:szCs w:val="18"/>
                <w:lang w:bidi="ne-NP"/>
              </w:rPr>
              <w:t>NA</w:t>
            </w:r>
          </w:p>
        </w:tc>
        <w:tc>
          <w:tcPr>
            <w:tcW w:w="990" w:type="dxa"/>
            <w:shd w:val="clear" w:color="auto" w:fill="auto"/>
            <w:noWrap/>
          </w:tcPr>
          <w:p w:rsidR="000E4732" w:rsidRPr="00516E46" w:rsidRDefault="000E4732" w:rsidP="000E4732">
            <w:pPr>
              <w:jc w:val="center"/>
              <w:rPr>
                <w:rFonts w:ascii="Times New Roman" w:eastAsia="Times New Roman" w:hAnsi="Times New Roman" w:cs="Times New Roman"/>
                <w:color w:val="000000"/>
                <w:sz w:val="18"/>
                <w:szCs w:val="18"/>
                <w:lang w:bidi="ne-NP"/>
              </w:rPr>
            </w:pPr>
            <w:r w:rsidRPr="00516E46">
              <w:rPr>
                <w:rFonts w:ascii="Times New Roman" w:eastAsia="Times New Roman" w:hAnsi="Times New Roman" w:cs="Times New Roman"/>
                <w:color w:val="000000"/>
                <w:sz w:val="18"/>
                <w:szCs w:val="18"/>
                <w:lang w:bidi="ne-NP"/>
              </w:rPr>
              <w:t>13</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hAnsi="Times New Roman" w:cs="Times New Roman"/>
                <w:b/>
                <w:bCs/>
                <w:sz w:val="18"/>
                <w:szCs w:val="18"/>
              </w:rPr>
            </w:pPr>
            <w:r w:rsidRPr="00516E46">
              <w:rPr>
                <w:rFonts w:ascii="Times New Roman" w:hAnsi="Times New Roman" w:cs="Times New Roman"/>
                <w:b/>
                <w:bCs/>
                <w:sz w:val="18"/>
                <w:szCs w:val="18"/>
              </w:rPr>
              <w:t>Sub-total (Cohort studies)</w:t>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416</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326</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42</w:t>
            </w:r>
          </w:p>
        </w:tc>
        <w:tc>
          <w:tcPr>
            <w:tcW w:w="186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3</w:t>
            </w:r>
          </w:p>
        </w:tc>
        <w:tc>
          <w:tcPr>
            <w:tcW w:w="99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53</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23</w:t>
            </w:r>
          </w:p>
        </w:tc>
        <w:tc>
          <w:tcPr>
            <w:tcW w:w="630" w:type="dxa"/>
            <w:shd w:val="clear" w:color="auto" w:fill="auto"/>
          </w:tcPr>
          <w:p w:rsidR="000E4732" w:rsidRPr="00516E46" w:rsidRDefault="000E4732" w:rsidP="000E4732">
            <w:pPr>
              <w:jc w:val="center"/>
              <w:rPr>
                <w:rFonts w:ascii="Times New Roman" w:eastAsia="Times New Roman" w:hAnsi="Times New Roman" w:cs="Times New Roman"/>
                <w:b/>
                <w:bCs/>
                <w:sz w:val="18"/>
                <w:szCs w:val="18"/>
                <w:lang w:bidi="ne-NP"/>
              </w:rPr>
            </w:pPr>
            <w:r w:rsidRPr="00516E46">
              <w:rPr>
                <w:rFonts w:ascii="Times New Roman" w:eastAsia="Times New Roman" w:hAnsi="Times New Roman" w:cs="Times New Roman"/>
                <w:b/>
                <w:bCs/>
                <w:sz w:val="18"/>
                <w:szCs w:val="18"/>
                <w:lang w:bidi="ne-NP"/>
              </w:rPr>
              <w:t>41</w:t>
            </w:r>
          </w:p>
        </w:tc>
        <w:tc>
          <w:tcPr>
            <w:tcW w:w="63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13</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193</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103</w:t>
            </w:r>
          </w:p>
        </w:tc>
        <w:tc>
          <w:tcPr>
            <w:tcW w:w="990"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120</w:t>
            </w:r>
          </w:p>
        </w:tc>
      </w:tr>
      <w:tr w:rsidR="000E4732" w:rsidRPr="00516E46" w:rsidTr="000E4732">
        <w:trPr>
          <w:trHeight w:val="292"/>
        </w:trPr>
        <w:tc>
          <w:tcPr>
            <w:tcW w:w="2790" w:type="dxa"/>
            <w:shd w:val="clear" w:color="auto" w:fill="auto"/>
            <w:noWrap/>
          </w:tcPr>
          <w:p w:rsidR="000E4732" w:rsidRPr="00516E46" w:rsidRDefault="000E4732" w:rsidP="000E4732">
            <w:pP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Total</w:t>
            </w:r>
          </w:p>
        </w:tc>
        <w:tc>
          <w:tcPr>
            <w:tcW w:w="1951" w:type="dxa"/>
            <w:shd w:val="clear" w:color="auto" w:fill="auto"/>
            <w:noWrap/>
            <w:vAlign w:val="center"/>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479</w:t>
            </w:r>
          </w:p>
        </w:tc>
        <w:tc>
          <w:tcPr>
            <w:tcW w:w="1701" w:type="dxa"/>
            <w:shd w:val="clear" w:color="auto" w:fill="auto"/>
            <w:noWrap/>
          </w:tcPr>
          <w:p w:rsidR="000E4732" w:rsidRPr="00516E46" w:rsidRDefault="000E4732" w:rsidP="000E4732">
            <w:pPr>
              <w:jc w:val="center"/>
              <w:rPr>
                <w:rFonts w:ascii="Times New Roman" w:eastAsia="Times New Roman" w:hAnsi="Times New Roman" w:cs="Times New Roman"/>
                <w:b/>
                <w:bCs/>
                <w:sz w:val="18"/>
                <w:szCs w:val="18"/>
                <w:lang w:val="en-US" w:bidi="ne-NP"/>
              </w:rPr>
            </w:pPr>
            <w:r w:rsidRPr="00516E46">
              <w:rPr>
                <w:rFonts w:ascii="Times New Roman" w:eastAsia="Times New Roman" w:hAnsi="Times New Roman" w:cs="Times New Roman"/>
                <w:b/>
                <w:bCs/>
                <w:sz w:val="18"/>
                <w:szCs w:val="18"/>
                <w:lang w:val="en-US" w:bidi="ne-NP"/>
              </w:rPr>
              <w:t>356</w:t>
            </w:r>
          </w:p>
        </w:tc>
        <w:tc>
          <w:tcPr>
            <w:tcW w:w="1418"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68</w:t>
            </w:r>
          </w:p>
        </w:tc>
        <w:tc>
          <w:tcPr>
            <w:tcW w:w="186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5</w:t>
            </w:r>
          </w:p>
        </w:tc>
        <w:tc>
          <w:tcPr>
            <w:tcW w:w="99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55</w:t>
            </w:r>
          </w:p>
        </w:tc>
        <w:tc>
          <w:tcPr>
            <w:tcW w:w="117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23</w:t>
            </w:r>
          </w:p>
        </w:tc>
        <w:tc>
          <w:tcPr>
            <w:tcW w:w="63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62</w:t>
            </w:r>
          </w:p>
        </w:tc>
        <w:tc>
          <w:tcPr>
            <w:tcW w:w="63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25</w:t>
            </w:r>
          </w:p>
        </w:tc>
        <w:tc>
          <w:tcPr>
            <w:tcW w:w="720" w:type="dxa"/>
            <w:shd w:val="clear" w:color="auto" w:fill="auto"/>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219</w:t>
            </w:r>
          </w:p>
        </w:tc>
        <w:tc>
          <w:tcPr>
            <w:tcW w:w="720"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val="en-US" w:bidi="ne-NP"/>
              </w:rPr>
            </w:pPr>
            <w:r w:rsidRPr="00516E46">
              <w:rPr>
                <w:rFonts w:ascii="Times New Roman" w:eastAsia="Times New Roman" w:hAnsi="Times New Roman" w:cs="Times New Roman"/>
                <w:b/>
                <w:bCs/>
                <w:color w:val="000000"/>
                <w:sz w:val="18"/>
                <w:szCs w:val="18"/>
                <w:lang w:val="en-US" w:bidi="ne-NP"/>
              </w:rPr>
              <w:t>140</w:t>
            </w:r>
          </w:p>
        </w:tc>
        <w:tc>
          <w:tcPr>
            <w:tcW w:w="990" w:type="dxa"/>
            <w:shd w:val="clear" w:color="auto" w:fill="auto"/>
            <w:noWrap/>
          </w:tcPr>
          <w:p w:rsidR="000E4732" w:rsidRPr="00516E46" w:rsidRDefault="000E4732" w:rsidP="000E4732">
            <w:pPr>
              <w:jc w:val="center"/>
              <w:rPr>
                <w:rFonts w:ascii="Times New Roman" w:eastAsia="Times New Roman" w:hAnsi="Times New Roman" w:cs="Times New Roman"/>
                <w:b/>
                <w:bCs/>
                <w:color w:val="000000"/>
                <w:sz w:val="18"/>
                <w:szCs w:val="18"/>
                <w:lang w:bidi="ne-NP"/>
              </w:rPr>
            </w:pPr>
            <w:r w:rsidRPr="00516E46">
              <w:rPr>
                <w:rFonts w:ascii="Times New Roman" w:eastAsia="Times New Roman" w:hAnsi="Times New Roman" w:cs="Times New Roman"/>
                <w:b/>
                <w:bCs/>
                <w:color w:val="000000"/>
                <w:sz w:val="18"/>
                <w:szCs w:val="18"/>
                <w:lang w:bidi="ne-NP"/>
              </w:rPr>
              <w:t>120</w:t>
            </w:r>
          </w:p>
        </w:tc>
      </w:tr>
      <w:tr w:rsidR="000E4732" w:rsidRPr="00516E46" w:rsidTr="000E4732">
        <w:trPr>
          <w:trHeight w:val="292"/>
        </w:trPr>
        <w:tc>
          <w:tcPr>
            <w:tcW w:w="15570" w:type="dxa"/>
            <w:gridSpan w:val="12"/>
            <w:noWrap/>
          </w:tcPr>
          <w:p w:rsidR="000E4732" w:rsidRPr="00516E46" w:rsidRDefault="000E4732" w:rsidP="000E4732">
            <w:pPr>
              <w:jc w:val="both"/>
              <w:rPr>
                <w:rFonts w:ascii="Times New Roman" w:eastAsia="Times New Roman" w:hAnsi="Times New Roman" w:cs="Times New Roman"/>
                <w:bCs/>
                <w:i/>
                <w:color w:val="000000"/>
                <w:sz w:val="18"/>
                <w:szCs w:val="18"/>
                <w:lang w:bidi="ne-NP"/>
              </w:rPr>
            </w:pPr>
            <w:r w:rsidRPr="00516E46">
              <w:rPr>
                <w:rFonts w:ascii="Times New Roman" w:eastAsia="Times New Roman" w:hAnsi="Times New Roman" w:cs="Times New Roman"/>
                <w:bCs/>
                <w:i/>
                <w:color w:val="000000"/>
                <w:sz w:val="18"/>
                <w:szCs w:val="18"/>
                <w:lang w:val="en-US" w:bidi="ne-NP"/>
              </w:rPr>
              <w:lastRenderedPageBreak/>
              <w:t xml:space="preserve">AFT: Antifungal therapy; AMB: Amphotericin B; ANI: </w:t>
            </w:r>
            <w:proofErr w:type="spellStart"/>
            <w:r w:rsidRPr="00516E46">
              <w:rPr>
                <w:rFonts w:ascii="Times New Roman" w:eastAsia="Times New Roman" w:hAnsi="Times New Roman" w:cs="Times New Roman"/>
                <w:bCs/>
                <w:i/>
                <w:color w:val="000000"/>
                <w:sz w:val="18"/>
                <w:szCs w:val="18"/>
                <w:lang w:val="en-US" w:bidi="ne-NP"/>
              </w:rPr>
              <w:t>Anidulafungin</w:t>
            </w:r>
            <w:proofErr w:type="spellEnd"/>
            <w:r w:rsidRPr="00516E46">
              <w:rPr>
                <w:rFonts w:ascii="Times New Roman" w:eastAsia="Times New Roman" w:hAnsi="Times New Roman" w:cs="Times New Roman"/>
                <w:bCs/>
                <w:i/>
                <w:color w:val="000000"/>
                <w:sz w:val="18"/>
                <w:szCs w:val="18"/>
                <w:lang w:val="en-US" w:bidi="ne-NP"/>
              </w:rPr>
              <w:t xml:space="preserve">; BSAA: Broad spectrum antifungal agents; </w:t>
            </w:r>
            <w:r w:rsidRPr="00516E46">
              <w:rPr>
                <w:rFonts w:ascii="Times New Roman" w:hAnsi="Times New Roman" w:cs="Times New Roman"/>
                <w:bCs/>
                <w:i/>
                <w:sz w:val="18"/>
                <w:szCs w:val="18"/>
                <w:lang w:val="en-US" w:bidi="ne-NP"/>
              </w:rPr>
              <w:t>CAS:</w:t>
            </w:r>
            <w:r w:rsidRPr="00516E46">
              <w:rPr>
                <w:rFonts w:ascii="Times New Roman" w:eastAsia="Times New Roman" w:hAnsi="Times New Roman" w:cs="Times New Roman"/>
                <w:bCs/>
                <w:i/>
                <w:color w:val="000000"/>
                <w:sz w:val="18"/>
                <w:szCs w:val="18"/>
                <w:lang w:val="en-US" w:bidi="ne-NP"/>
              </w:rPr>
              <w:t xml:space="preserve"> </w:t>
            </w:r>
            <w:proofErr w:type="spellStart"/>
            <w:r w:rsidRPr="00516E46">
              <w:rPr>
                <w:rFonts w:ascii="Times New Roman" w:eastAsia="Times New Roman" w:hAnsi="Times New Roman" w:cs="Times New Roman"/>
                <w:bCs/>
                <w:i/>
                <w:color w:val="000000"/>
                <w:sz w:val="18"/>
                <w:szCs w:val="18"/>
                <w:lang w:val="en-US" w:bidi="ne-NP"/>
              </w:rPr>
              <w:t>Caspofungin</w:t>
            </w:r>
            <w:proofErr w:type="spellEnd"/>
            <w:r w:rsidRPr="00516E46">
              <w:rPr>
                <w:rFonts w:ascii="Times New Roman" w:eastAsia="Times New Roman" w:hAnsi="Times New Roman" w:cs="Times New Roman"/>
                <w:bCs/>
                <w:i/>
                <w:color w:val="000000"/>
                <w:sz w:val="18"/>
                <w:szCs w:val="18"/>
                <w:lang w:val="en-US" w:bidi="ne-NP"/>
              </w:rPr>
              <w:t xml:space="preserve">; CAC: COVID-19 Associated </w:t>
            </w:r>
            <w:proofErr w:type="spellStart"/>
            <w:r w:rsidRPr="00516E46">
              <w:rPr>
                <w:rFonts w:ascii="Times New Roman" w:eastAsia="Times New Roman" w:hAnsi="Times New Roman" w:cs="Times New Roman"/>
                <w:bCs/>
                <w:i/>
                <w:color w:val="000000"/>
                <w:sz w:val="18"/>
                <w:szCs w:val="18"/>
                <w:lang w:val="en-US" w:bidi="ne-NP"/>
              </w:rPr>
              <w:t>Candidemia</w:t>
            </w:r>
            <w:proofErr w:type="spellEnd"/>
            <w:r w:rsidRPr="00516E46">
              <w:rPr>
                <w:rFonts w:ascii="Times New Roman" w:eastAsia="Times New Roman" w:hAnsi="Times New Roman" w:cs="Times New Roman"/>
                <w:bCs/>
                <w:i/>
                <w:color w:val="000000"/>
                <w:sz w:val="18"/>
                <w:szCs w:val="18"/>
                <w:lang w:val="en-US" w:bidi="ne-NP"/>
              </w:rPr>
              <w:t xml:space="preserve">; CAPA: COVID-19 Associated Pulmonary </w:t>
            </w:r>
            <w:proofErr w:type="spellStart"/>
            <w:r w:rsidRPr="00516E46">
              <w:rPr>
                <w:rFonts w:ascii="Times New Roman" w:eastAsia="Times New Roman" w:hAnsi="Times New Roman" w:cs="Times New Roman"/>
                <w:bCs/>
                <w:i/>
                <w:color w:val="000000"/>
                <w:sz w:val="18"/>
                <w:szCs w:val="18"/>
                <w:lang w:val="en-US" w:bidi="ne-NP"/>
              </w:rPr>
              <w:t>Aspergillosis</w:t>
            </w:r>
            <w:proofErr w:type="spellEnd"/>
            <w:r w:rsidRPr="00516E46">
              <w:rPr>
                <w:rFonts w:ascii="Times New Roman" w:eastAsia="Times New Roman" w:hAnsi="Times New Roman" w:cs="Times New Roman"/>
                <w:bCs/>
                <w:i/>
                <w:color w:val="000000"/>
                <w:sz w:val="18"/>
                <w:szCs w:val="18"/>
                <w:lang w:val="en-US" w:bidi="ne-NP"/>
              </w:rPr>
              <w:t xml:space="preserve">; CAM: COVID-19 Associated </w:t>
            </w:r>
            <w:proofErr w:type="spellStart"/>
            <w:r w:rsidRPr="00516E46">
              <w:rPr>
                <w:rFonts w:ascii="Times New Roman" w:eastAsia="Times New Roman" w:hAnsi="Times New Roman" w:cs="Times New Roman"/>
                <w:bCs/>
                <w:i/>
                <w:color w:val="000000"/>
                <w:sz w:val="18"/>
                <w:szCs w:val="18"/>
                <w:lang w:val="en-US" w:bidi="ne-NP"/>
              </w:rPr>
              <w:t>Mucormycosis</w:t>
            </w:r>
            <w:proofErr w:type="spellEnd"/>
            <w:r w:rsidRPr="00516E46">
              <w:rPr>
                <w:rFonts w:ascii="Times New Roman" w:eastAsia="Times New Roman" w:hAnsi="Times New Roman" w:cs="Times New Roman"/>
                <w:bCs/>
                <w:i/>
                <w:color w:val="000000"/>
                <w:sz w:val="18"/>
                <w:szCs w:val="18"/>
                <w:lang w:val="en-US" w:bidi="ne-NP"/>
              </w:rPr>
              <w:t xml:space="preserve">; ECH: </w:t>
            </w:r>
            <w:proofErr w:type="spellStart"/>
            <w:r w:rsidRPr="00516E46">
              <w:rPr>
                <w:rFonts w:ascii="Times New Roman" w:eastAsia="Times New Roman" w:hAnsi="Times New Roman" w:cs="Times New Roman"/>
                <w:bCs/>
                <w:i/>
                <w:color w:val="000000"/>
                <w:sz w:val="18"/>
                <w:szCs w:val="18"/>
                <w:lang w:val="en-US" w:bidi="ne-NP"/>
              </w:rPr>
              <w:t>Echinocandins</w:t>
            </w:r>
            <w:proofErr w:type="spellEnd"/>
            <w:r w:rsidRPr="00516E46">
              <w:rPr>
                <w:rFonts w:ascii="Times New Roman" w:eastAsia="Times New Roman" w:hAnsi="Times New Roman" w:cs="Times New Roman"/>
                <w:bCs/>
                <w:i/>
                <w:color w:val="000000"/>
                <w:sz w:val="18"/>
                <w:szCs w:val="18"/>
                <w:lang w:val="en-US" w:bidi="ne-NP"/>
              </w:rPr>
              <w:t xml:space="preserve">; FLU: Fluconazole; FLUC: </w:t>
            </w:r>
            <w:proofErr w:type="spellStart"/>
            <w:r w:rsidRPr="00516E46">
              <w:rPr>
                <w:rFonts w:ascii="Times New Roman" w:hAnsi="Times New Roman" w:cs="Times New Roman"/>
                <w:bCs/>
                <w:i/>
                <w:sz w:val="18"/>
                <w:szCs w:val="18"/>
                <w:lang w:val="en-US" w:bidi="ne-NP"/>
              </w:rPr>
              <w:t>Flucytosine</w:t>
            </w:r>
            <w:proofErr w:type="spellEnd"/>
            <w:r w:rsidRPr="00516E46">
              <w:rPr>
                <w:rFonts w:ascii="Times New Roman" w:hAnsi="Times New Roman" w:cs="Times New Roman"/>
                <w:bCs/>
                <w:i/>
                <w:sz w:val="18"/>
                <w:szCs w:val="18"/>
                <w:lang w:val="en-US" w:bidi="ne-NP"/>
              </w:rPr>
              <w:t xml:space="preserve">; </w:t>
            </w:r>
            <w:r w:rsidRPr="00516E46">
              <w:rPr>
                <w:rFonts w:ascii="Times New Roman" w:eastAsia="Times New Roman" w:hAnsi="Times New Roman" w:cs="Times New Roman"/>
                <w:bCs/>
                <w:i/>
                <w:color w:val="000000"/>
                <w:sz w:val="18"/>
                <w:szCs w:val="18"/>
                <w:lang w:val="en-US" w:bidi="ne-NP"/>
              </w:rPr>
              <w:t xml:space="preserve">IBR: </w:t>
            </w:r>
            <w:r w:rsidRPr="00516E46">
              <w:rPr>
                <w:rFonts w:ascii="Times New Roman" w:eastAsia="Times New Roman" w:hAnsi="Times New Roman" w:cs="Times New Roman"/>
                <w:bCs/>
                <w:i/>
                <w:color w:val="000000"/>
                <w:sz w:val="18"/>
                <w:szCs w:val="18"/>
                <w:lang w:bidi="ne-NP"/>
              </w:rPr>
              <w:t>Ibrexafungin;</w:t>
            </w:r>
            <w:r w:rsidRPr="00516E46">
              <w:rPr>
                <w:rFonts w:ascii="Times New Roman" w:eastAsia="Times New Roman" w:hAnsi="Times New Roman" w:cs="Times New Roman"/>
                <w:bCs/>
                <w:i/>
                <w:color w:val="000000"/>
                <w:sz w:val="18"/>
                <w:szCs w:val="18"/>
                <w:lang w:val="en-US" w:bidi="ne-NP"/>
              </w:rPr>
              <w:t xml:space="preserve"> ISA: </w:t>
            </w:r>
            <w:proofErr w:type="spellStart"/>
            <w:r w:rsidRPr="00516E46">
              <w:rPr>
                <w:rFonts w:ascii="Times New Roman" w:eastAsia="Times New Roman" w:hAnsi="Times New Roman" w:cs="Times New Roman"/>
                <w:bCs/>
                <w:i/>
                <w:color w:val="000000"/>
                <w:sz w:val="18"/>
                <w:szCs w:val="18"/>
                <w:lang w:val="en-US" w:bidi="ne-NP"/>
              </w:rPr>
              <w:t>Isavuconazole</w:t>
            </w:r>
            <w:proofErr w:type="spellEnd"/>
            <w:r w:rsidRPr="00516E46">
              <w:rPr>
                <w:rFonts w:ascii="Times New Roman" w:eastAsia="Times New Roman" w:hAnsi="Times New Roman" w:cs="Times New Roman"/>
                <w:bCs/>
                <w:i/>
                <w:color w:val="000000"/>
                <w:sz w:val="18"/>
                <w:szCs w:val="18"/>
                <w:lang w:val="en-US" w:bidi="ne-NP"/>
              </w:rPr>
              <w:t xml:space="preserve">; ITR: </w:t>
            </w:r>
            <w:proofErr w:type="spellStart"/>
            <w:r w:rsidRPr="00516E46">
              <w:rPr>
                <w:rFonts w:ascii="Times New Roman" w:eastAsia="Times New Roman" w:hAnsi="Times New Roman" w:cs="Times New Roman"/>
                <w:bCs/>
                <w:i/>
                <w:color w:val="000000"/>
                <w:sz w:val="18"/>
                <w:szCs w:val="18"/>
                <w:lang w:val="en-US" w:bidi="ne-NP"/>
              </w:rPr>
              <w:t>Itraconazole</w:t>
            </w:r>
            <w:proofErr w:type="spellEnd"/>
            <w:r w:rsidRPr="00516E46">
              <w:rPr>
                <w:rFonts w:ascii="Times New Roman" w:eastAsia="Times New Roman" w:hAnsi="Times New Roman" w:cs="Times New Roman"/>
                <w:bCs/>
                <w:i/>
                <w:color w:val="000000"/>
                <w:sz w:val="18"/>
                <w:szCs w:val="18"/>
                <w:lang w:val="en-US" w:bidi="ne-NP"/>
              </w:rPr>
              <w:t xml:space="preserve">; MIC: </w:t>
            </w:r>
            <w:proofErr w:type="spellStart"/>
            <w:r w:rsidRPr="00516E46">
              <w:rPr>
                <w:rFonts w:ascii="Times New Roman" w:eastAsia="Times New Roman" w:hAnsi="Times New Roman" w:cs="Times New Roman"/>
                <w:bCs/>
                <w:i/>
                <w:color w:val="000000"/>
                <w:sz w:val="18"/>
                <w:szCs w:val="18"/>
                <w:lang w:val="en-US" w:bidi="ne-NP"/>
              </w:rPr>
              <w:t>Micafungin</w:t>
            </w:r>
            <w:proofErr w:type="spellEnd"/>
            <w:r w:rsidRPr="00516E46">
              <w:rPr>
                <w:rFonts w:ascii="Times New Roman" w:eastAsia="Times New Roman" w:hAnsi="Times New Roman" w:cs="Times New Roman"/>
                <w:bCs/>
                <w:i/>
                <w:color w:val="000000"/>
                <w:sz w:val="18"/>
                <w:szCs w:val="18"/>
                <w:lang w:val="en-US" w:bidi="ne-NP"/>
              </w:rPr>
              <w:t xml:space="preserve">; NA: Not applicable; NR: Not reported; NYS: </w:t>
            </w:r>
            <w:proofErr w:type="spellStart"/>
            <w:r w:rsidRPr="00516E46">
              <w:rPr>
                <w:rFonts w:ascii="Times New Roman" w:eastAsia="Times New Roman" w:hAnsi="Times New Roman" w:cs="Times New Roman"/>
                <w:bCs/>
                <w:i/>
                <w:color w:val="000000"/>
                <w:sz w:val="18"/>
                <w:szCs w:val="18"/>
                <w:lang w:val="en-US" w:bidi="ne-NP"/>
              </w:rPr>
              <w:t>Nystatin</w:t>
            </w:r>
            <w:proofErr w:type="spellEnd"/>
            <w:r w:rsidRPr="00516E46">
              <w:rPr>
                <w:rFonts w:ascii="Times New Roman" w:eastAsia="Times New Roman" w:hAnsi="Times New Roman" w:cs="Times New Roman"/>
                <w:bCs/>
                <w:i/>
                <w:color w:val="000000"/>
                <w:sz w:val="18"/>
                <w:szCs w:val="18"/>
                <w:lang w:val="en-US" w:bidi="ne-NP"/>
              </w:rPr>
              <w:t xml:space="preserve">; POS: </w:t>
            </w:r>
            <w:proofErr w:type="spellStart"/>
            <w:r w:rsidRPr="00516E46">
              <w:rPr>
                <w:rFonts w:ascii="Times New Roman" w:eastAsia="Times New Roman" w:hAnsi="Times New Roman" w:cs="Times New Roman"/>
                <w:bCs/>
                <w:i/>
                <w:color w:val="000000"/>
                <w:sz w:val="18"/>
                <w:szCs w:val="18"/>
                <w:lang w:val="en-US" w:bidi="ne-NP"/>
              </w:rPr>
              <w:t>Posaconazole</w:t>
            </w:r>
            <w:proofErr w:type="spellEnd"/>
            <w:r w:rsidRPr="00516E46">
              <w:rPr>
                <w:rFonts w:ascii="Times New Roman" w:eastAsia="Times New Roman" w:hAnsi="Times New Roman" w:cs="Times New Roman"/>
                <w:bCs/>
                <w:i/>
                <w:color w:val="000000"/>
                <w:sz w:val="18"/>
                <w:szCs w:val="18"/>
                <w:lang w:val="en-US" w:bidi="ne-NP"/>
              </w:rPr>
              <w:t xml:space="preserve">; VOR: </w:t>
            </w:r>
            <w:proofErr w:type="spellStart"/>
            <w:r w:rsidRPr="00516E46">
              <w:rPr>
                <w:rFonts w:ascii="Times New Roman" w:eastAsia="Times New Roman" w:hAnsi="Times New Roman" w:cs="Times New Roman"/>
                <w:bCs/>
                <w:i/>
                <w:color w:val="000000"/>
                <w:sz w:val="18"/>
                <w:szCs w:val="18"/>
                <w:lang w:val="en-US" w:bidi="ne-NP"/>
              </w:rPr>
              <w:t>Voriconazole</w:t>
            </w:r>
            <w:proofErr w:type="spellEnd"/>
            <w:r w:rsidRPr="00516E46">
              <w:rPr>
                <w:rFonts w:ascii="Times New Roman" w:eastAsia="Times New Roman" w:hAnsi="Times New Roman" w:cs="Times New Roman"/>
                <w:bCs/>
                <w:i/>
                <w:color w:val="000000"/>
                <w:sz w:val="18"/>
                <w:szCs w:val="18"/>
                <w:lang w:val="en-US" w:bidi="ne-NP"/>
              </w:rPr>
              <w:t>.</w:t>
            </w:r>
          </w:p>
        </w:tc>
      </w:tr>
    </w:tbl>
    <w:p w:rsidR="000E4732" w:rsidRPr="00516E46" w:rsidRDefault="000E4732" w:rsidP="000E4732">
      <w:pPr>
        <w:pStyle w:val="ListParagraph"/>
        <w:numPr>
          <w:ilvl w:val="0"/>
          <w:numId w:val="1"/>
        </w:numPr>
        <w:rPr>
          <w:rFonts w:ascii="Times New Roman" w:hAnsi="Times New Roman" w:cs="Times New Roman"/>
          <w:sz w:val="10"/>
          <w:szCs w:val="10"/>
        </w:rPr>
      </w:pPr>
    </w:p>
    <w:p w:rsidR="00DB3BC3" w:rsidRDefault="00DB3BC3" w:rsidP="000E4732">
      <w:pPr>
        <w:rPr>
          <w:rFonts w:ascii="Times New Roman" w:hAnsi="Times New Roman" w:cs="Times New Roman"/>
          <w:b/>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DB3BC3" w:rsidRPr="00DB3BC3" w:rsidRDefault="00DB3BC3" w:rsidP="00DB3BC3">
      <w:pPr>
        <w:rPr>
          <w:rFonts w:ascii="Times New Roman" w:hAnsi="Times New Roman" w:cs="Times New Roman"/>
          <w:sz w:val="20"/>
        </w:rPr>
      </w:pPr>
    </w:p>
    <w:p w:rsidR="00465683" w:rsidRPr="00C84E00" w:rsidRDefault="00DB3BC3" w:rsidP="00DB3BC3">
      <w:pPr>
        <w:tabs>
          <w:tab w:val="left" w:pos="7625"/>
        </w:tabs>
        <w:rPr>
          <w:rFonts w:ascii="Times New Roman" w:hAnsi="Times New Roman" w:cs="Times New Roman"/>
          <w:lang w:val="en-US"/>
        </w:rPr>
      </w:pPr>
      <w:r>
        <w:rPr>
          <w:rFonts w:ascii="Times New Roman" w:hAnsi="Times New Roman" w:cs="Times New Roman"/>
          <w:sz w:val="20"/>
        </w:rPr>
        <w:tab/>
      </w:r>
    </w:p>
    <w:sectPr w:rsidR="00465683" w:rsidRPr="00C84E00" w:rsidSect="00DB3BC3">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14" w:rsidRDefault="00392014">
      <w:r>
        <w:separator/>
      </w:r>
    </w:p>
  </w:endnote>
  <w:endnote w:type="continuationSeparator" w:id="0">
    <w:p w:rsidR="00392014" w:rsidRDefault="0039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nson Text L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61" w:rsidRPr="00E52876" w:rsidRDefault="00623861" w:rsidP="00523B12">
    <w:pPr>
      <w:pStyle w:val="Footer"/>
      <w:rPr>
        <w:caps/>
        <w:noProof/>
        <w:color w:val="000000" w:themeColor="text1"/>
      </w:rPr>
    </w:pPr>
    <w:r w:rsidRPr="00E52876">
      <w:rPr>
        <w:caps/>
        <w:color w:val="000000" w:themeColor="text1"/>
      </w:rPr>
      <w:fldChar w:fldCharType="begin"/>
    </w:r>
    <w:r w:rsidRPr="00E52876">
      <w:rPr>
        <w:caps/>
        <w:color w:val="000000" w:themeColor="text1"/>
      </w:rPr>
      <w:instrText xml:space="preserve"> PAGE   \* MERGEFORMAT </w:instrText>
    </w:r>
    <w:r w:rsidRPr="00E52876">
      <w:rPr>
        <w:caps/>
        <w:color w:val="000000" w:themeColor="text1"/>
      </w:rPr>
      <w:fldChar w:fldCharType="separate"/>
    </w:r>
    <w:r w:rsidR="00B83066">
      <w:rPr>
        <w:caps/>
        <w:noProof/>
        <w:color w:val="000000" w:themeColor="text1"/>
      </w:rPr>
      <w:t>1</w:t>
    </w:r>
    <w:r w:rsidRPr="00E52876">
      <w:rPr>
        <w:caps/>
        <w:noProof/>
        <w:color w:val="000000" w:themeColor="text1"/>
      </w:rPr>
      <w:fldChar w:fldCharType="end"/>
    </w:r>
  </w:p>
  <w:p w:rsidR="00623861" w:rsidRDefault="00623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14" w:rsidRDefault="00392014">
      <w:r>
        <w:separator/>
      </w:r>
    </w:p>
  </w:footnote>
  <w:footnote w:type="continuationSeparator" w:id="0">
    <w:p w:rsidR="00392014" w:rsidRDefault="0039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66" w:rsidRDefault="00B83066">
    <w:pPr>
      <w:pStyle w:val="Header"/>
    </w:pPr>
  </w:p>
  <w:p w:rsidR="00623861" w:rsidRDefault="00623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B3B"/>
    <w:multiLevelType w:val="hybridMultilevel"/>
    <w:tmpl w:val="2548A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74242B"/>
    <w:multiLevelType w:val="hybridMultilevel"/>
    <w:tmpl w:val="6FCC6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6B75CB"/>
    <w:multiLevelType w:val="hybridMultilevel"/>
    <w:tmpl w:val="62C0E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2F3B46"/>
    <w:multiLevelType w:val="hybridMultilevel"/>
    <w:tmpl w:val="7446FC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F9A080A"/>
    <w:multiLevelType w:val="hybridMultilevel"/>
    <w:tmpl w:val="9B023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749B6"/>
    <w:multiLevelType w:val="hybridMultilevel"/>
    <w:tmpl w:val="34E6AA6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D60E7"/>
    <w:multiLevelType w:val="hybridMultilevel"/>
    <w:tmpl w:val="0A6C3340"/>
    <w:lvl w:ilvl="0" w:tplc="CDEA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36580"/>
    <w:multiLevelType w:val="hybridMultilevel"/>
    <w:tmpl w:val="78F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24D09"/>
    <w:multiLevelType w:val="hybridMultilevel"/>
    <w:tmpl w:val="6F20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78C1"/>
    <w:multiLevelType w:val="hybridMultilevel"/>
    <w:tmpl w:val="C6B0C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785B26"/>
    <w:multiLevelType w:val="hybridMultilevel"/>
    <w:tmpl w:val="01708CA0"/>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
    <w:nsid w:val="59711A6A"/>
    <w:multiLevelType w:val="hybridMultilevel"/>
    <w:tmpl w:val="935E03B6"/>
    <w:lvl w:ilvl="0" w:tplc="5F969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FF1197"/>
    <w:multiLevelType w:val="hybridMultilevel"/>
    <w:tmpl w:val="27741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DFA0836"/>
    <w:multiLevelType w:val="hybridMultilevel"/>
    <w:tmpl w:val="AB926D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FA03C99"/>
    <w:multiLevelType w:val="hybridMultilevel"/>
    <w:tmpl w:val="E1F629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68F124A"/>
    <w:multiLevelType w:val="hybridMultilevel"/>
    <w:tmpl w:val="99A6F7FE"/>
    <w:lvl w:ilvl="0" w:tplc="4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135EF0"/>
    <w:multiLevelType w:val="hybridMultilevel"/>
    <w:tmpl w:val="E15E7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5"/>
  </w:num>
  <w:num w:numId="5">
    <w:abstractNumId w:val="6"/>
  </w:num>
  <w:num w:numId="6">
    <w:abstractNumId w:val="16"/>
  </w:num>
  <w:num w:numId="7">
    <w:abstractNumId w:val="10"/>
  </w:num>
  <w:num w:numId="8">
    <w:abstractNumId w:val="7"/>
  </w:num>
  <w:num w:numId="9">
    <w:abstractNumId w:val="8"/>
  </w:num>
  <w:num w:numId="10">
    <w:abstractNumId w:val="4"/>
  </w:num>
  <w:num w:numId="11">
    <w:abstractNumId w:val="11"/>
  </w:num>
  <w:num w:numId="12">
    <w:abstractNumId w:val="12"/>
  </w:num>
  <w:num w:numId="13">
    <w:abstractNumId w:val="1"/>
  </w:num>
  <w:num w:numId="14">
    <w:abstractNumId w:val="2"/>
  </w:num>
  <w:num w:numId="15">
    <w:abstractNumId w:val="1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2MjS2MDE3NzA2MTFU0lEKTi0uzszPAykwrAUA1RZPASwAAAA="/>
  </w:docVars>
  <w:rsids>
    <w:rsidRoot w:val="00CE3705"/>
    <w:rsid w:val="000E4732"/>
    <w:rsid w:val="00153AC5"/>
    <w:rsid w:val="001A7A1C"/>
    <w:rsid w:val="001B7273"/>
    <w:rsid w:val="001B7E56"/>
    <w:rsid w:val="00245B6C"/>
    <w:rsid w:val="00276BAA"/>
    <w:rsid w:val="0036263F"/>
    <w:rsid w:val="00392014"/>
    <w:rsid w:val="003D7E52"/>
    <w:rsid w:val="0044114D"/>
    <w:rsid w:val="00465683"/>
    <w:rsid w:val="004C33D7"/>
    <w:rsid w:val="00506554"/>
    <w:rsid w:val="00516E46"/>
    <w:rsid w:val="00523B12"/>
    <w:rsid w:val="005D6B3E"/>
    <w:rsid w:val="00617710"/>
    <w:rsid w:val="00623861"/>
    <w:rsid w:val="00643A19"/>
    <w:rsid w:val="006C67E2"/>
    <w:rsid w:val="00710C6C"/>
    <w:rsid w:val="007A647A"/>
    <w:rsid w:val="007D1D26"/>
    <w:rsid w:val="007F11AA"/>
    <w:rsid w:val="008146D5"/>
    <w:rsid w:val="0083168B"/>
    <w:rsid w:val="008535EF"/>
    <w:rsid w:val="008634AB"/>
    <w:rsid w:val="00951C61"/>
    <w:rsid w:val="00A24F1C"/>
    <w:rsid w:val="00B03E8D"/>
    <w:rsid w:val="00B2143B"/>
    <w:rsid w:val="00B30DA3"/>
    <w:rsid w:val="00B3155E"/>
    <w:rsid w:val="00B44818"/>
    <w:rsid w:val="00B83066"/>
    <w:rsid w:val="00C2111A"/>
    <w:rsid w:val="00C84E00"/>
    <w:rsid w:val="00CE3705"/>
    <w:rsid w:val="00D07DE4"/>
    <w:rsid w:val="00D15D4E"/>
    <w:rsid w:val="00D4007D"/>
    <w:rsid w:val="00D42CA2"/>
    <w:rsid w:val="00DB3BC3"/>
    <w:rsid w:val="00DE53F9"/>
    <w:rsid w:val="00E31DC3"/>
    <w:rsid w:val="00E50394"/>
    <w:rsid w:val="00E52876"/>
    <w:rsid w:val="00E9294D"/>
    <w:rsid w:val="00E9439D"/>
    <w:rsid w:val="00EE7C73"/>
    <w:rsid w:val="00F32EDA"/>
    <w:rsid w:val="00F44C40"/>
    <w:rsid w:val="00F65C27"/>
    <w:rsid w:val="00FA49F4"/>
    <w:rsid w:val="00FE2CC1"/>
    <w:rsid w:val="00FF77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4C16-7B36-4D42-9BC1-49D914E6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61"/>
    <w:pPr>
      <w:spacing w:after="0" w:line="240" w:lineRule="auto"/>
    </w:pPr>
    <w:rPr>
      <w:sz w:val="24"/>
      <w:szCs w:val="24"/>
      <w:lang w:val="nl-NL"/>
    </w:rPr>
  </w:style>
  <w:style w:type="paragraph" w:styleId="Heading1">
    <w:name w:val="heading 1"/>
    <w:basedOn w:val="Normal"/>
    <w:next w:val="Normal"/>
    <w:link w:val="Heading1Char"/>
    <w:uiPriority w:val="9"/>
    <w:qFormat/>
    <w:rsid w:val="000E473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61"/>
    <w:pPr>
      <w:ind w:left="720"/>
      <w:contextualSpacing/>
    </w:pPr>
  </w:style>
  <w:style w:type="paragraph" w:styleId="Footer">
    <w:name w:val="footer"/>
    <w:basedOn w:val="Normal"/>
    <w:link w:val="FooterChar"/>
    <w:uiPriority w:val="99"/>
    <w:unhideWhenUsed/>
    <w:rsid w:val="00951C61"/>
    <w:pPr>
      <w:tabs>
        <w:tab w:val="center" w:pos="4536"/>
        <w:tab w:val="right" w:pos="9072"/>
      </w:tabs>
    </w:pPr>
  </w:style>
  <w:style w:type="character" w:customStyle="1" w:styleId="FooterChar">
    <w:name w:val="Footer Char"/>
    <w:basedOn w:val="DefaultParagraphFont"/>
    <w:link w:val="Footer"/>
    <w:uiPriority w:val="99"/>
    <w:rsid w:val="00951C61"/>
    <w:rPr>
      <w:sz w:val="24"/>
      <w:szCs w:val="24"/>
      <w:lang w:val="nl-NL"/>
    </w:rPr>
  </w:style>
  <w:style w:type="table" w:styleId="TableGrid">
    <w:name w:val="Table Grid"/>
    <w:basedOn w:val="TableNormal"/>
    <w:uiPriority w:val="39"/>
    <w:rsid w:val="001B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473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E4732"/>
    <w:rPr>
      <w:color w:val="0000FF"/>
      <w:u w:val="single"/>
    </w:rPr>
  </w:style>
  <w:style w:type="table" w:styleId="TableGridLight">
    <w:name w:val="Grid Table Light"/>
    <w:basedOn w:val="TableNormal"/>
    <w:uiPriority w:val="40"/>
    <w:rsid w:val="000E473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8">
    <w:name w:val="A8"/>
    <w:uiPriority w:val="99"/>
    <w:rsid w:val="000E4732"/>
    <w:rPr>
      <w:rFonts w:cs="Janson Text LT"/>
      <w:color w:val="000000"/>
      <w:sz w:val="19"/>
      <w:szCs w:val="19"/>
    </w:rPr>
  </w:style>
  <w:style w:type="character" w:styleId="FollowedHyperlink">
    <w:name w:val="FollowedHyperlink"/>
    <w:basedOn w:val="DefaultParagraphFont"/>
    <w:uiPriority w:val="99"/>
    <w:semiHidden/>
    <w:unhideWhenUsed/>
    <w:rsid w:val="000E4732"/>
    <w:rPr>
      <w:color w:val="954F72"/>
      <w:u w:val="single"/>
    </w:rPr>
  </w:style>
  <w:style w:type="paragraph" w:customStyle="1" w:styleId="msonormal0">
    <w:name w:val="msonormal"/>
    <w:basedOn w:val="Normal"/>
    <w:rsid w:val="000E4732"/>
    <w:pPr>
      <w:spacing w:before="100" w:beforeAutospacing="1" w:after="100" w:afterAutospacing="1"/>
    </w:pPr>
    <w:rPr>
      <w:rFonts w:ascii="Times New Roman" w:eastAsia="Times New Roman" w:hAnsi="Times New Roman" w:cs="Times New Roman"/>
      <w:lang w:val="en-US" w:bidi="ne-NP"/>
    </w:rPr>
  </w:style>
  <w:style w:type="paragraph" w:customStyle="1" w:styleId="font5">
    <w:name w:val="font5"/>
    <w:basedOn w:val="Normal"/>
    <w:rsid w:val="000E4732"/>
    <w:pPr>
      <w:spacing w:before="100" w:beforeAutospacing="1" w:after="100" w:afterAutospacing="1"/>
    </w:pPr>
    <w:rPr>
      <w:rFonts w:ascii="Times New Roman" w:eastAsia="Times New Roman" w:hAnsi="Times New Roman" w:cs="Times New Roman"/>
      <w:color w:val="000000"/>
      <w:sz w:val="18"/>
      <w:szCs w:val="18"/>
      <w:lang w:val="en-US" w:bidi="ne-NP"/>
    </w:rPr>
  </w:style>
  <w:style w:type="paragraph" w:customStyle="1" w:styleId="font6">
    <w:name w:val="font6"/>
    <w:basedOn w:val="Normal"/>
    <w:rsid w:val="000E4732"/>
    <w:pPr>
      <w:spacing w:before="100" w:beforeAutospacing="1" w:after="100" w:afterAutospacing="1"/>
    </w:pPr>
    <w:rPr>
      <w:rFonts w:ascii="Times New Roman" w:eastAsia="Times New Roman" w:hAnsi="Times New Roman" w:cs="Times New Roman"/>
      <w:color w:val="000000"/>
      <w:sz w:val="18"/>
      <w:szCs w:val="18"/>
      <w:lang w:val="en-US" w:bidi="ne-NP"/>
    </w:rPr>
  </w:style>
  <w:style w:type="paragraph" w:customStyle="1" w:styleId="font7">
    <w:name w:val="font7"/>
    <w:basedOn w:val="Normal"/>
    <w:rsid w:val="000E4732"/>
    <w:pPr>
      <w:spacing w:before="100" w:beforeAutospacing="1" w:after="100" w:afterAutospacing="1"/>
    </w:pPr>
    <w:rPr>
      <w:rFonts w:ascii="Times New Roman" w:eastAsia="Times New Roman" w:hAnsi="Times New Roman" w:cs="Times New Roman"/>
      <w:color w:val="000000"/>
      <w:sz w:val="18"/>
      <w:szCs w:val="18"/>
      <w:lang w:val="en-US" w:bidi="ne-NP"/>
    </w:rPr>
  </w:style>
  <w:style w:type="paragraph" w:customStyle="1" w:styleId="font8">
    <w:name w:val="font8"/>
    <w:basedOn w:val="Normal"/>
    <w:rsid w:val="000E4732"/>
    <w:pPr>
      <w:spacing w:before="100" w:beforeAutospacing="1" w:after="100" w:afterAutospacing="1"/>
    </w:pPr>
    <w:rPr>
      <w:rFonts w:ascii="Times New Roman" w:eastAsia="Times New Roman" w:hAnsi="Times New Roman" w:cs="Times New Roman"/>
      <w:color w:val="171717"/>
      <w:sz w:val="18"/>
      <w:szCs w:val="18"/>
      <w:lang w:val="en-US" w:bidi="ne-NP"/>
    </w:rPr>
  </w:style>
  <w:style w:type="paragraph" w:customStyle="1" w:styleId="font9">
    <w:name w:val="font9"/>
    <w:basedOn w:val="Normal"/>
    <w:rsid w:val="000E4732"/>
    <w:pPr>
      <w:spacing w:before="100" w:beforeAutospacing="1" w:after="100" w:afterAutospacing="1"/>
    </w:pPr>
    <w:rPr>
      <w:rFonts w:ascii="Times New Roman" w:eastAsia="Times New Roman" w:hAnsi="Times New Roman" w:cs="Times New Roman"/>
      <w:color w:val="171717"/>
      <w:sz w:val="18"/>
      <w:szCs w:val="18"/>
      <w:lang w:val="en-US" w:bidi="ne-NP"/>
    </w:rPr>
  </w:style>
  <w:style w:type="paragraph" w:customStyle="1" w:styleId="xl63">
    <w:name w:val="xl63"/>
    <w:basedOn w:val="Normal"/>
    <w:rsid w:val="000E4732"/>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18"/>
      <w:szCs w:val="18"/>
      <w:lang w:val="en-US" w:bidi="ne-NP"/>
    </w:rPr>
  </w:style>
  <w:style w:type="paragraph" w:customStyle="1" w:styleId="xl64">
    <w:name w:val="xl64"/>
    <w:basedOn w:val="Normal"/>
    <w:rsid w:val="000E4732"/>
    <w:pPr>
      <w:pBdr>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65">
    <w:name w:val="xl65"/>
    <w:basedOn w:val="Normal"/>
    <w:rsid w:val="000E4732"/>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66">
    <w:name w:val="xl66"/>
    <w:basedOn w:val="Normal"/>
    <w:rsid w:val="000E4732"/>
    <w:pPr>
      <w:pBdr>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18"/>
      <w:szCs w:val="18"/>
      <w:lang w:val="en-US" w:bidi="ne-NP"/>
    </w:rPr>
  </w:style>
  <w:style w:type="paragraph" w:customStyle="1" w:styleId="xl67">
    <w:name w:val="xl67"/>
    <w:basedOn w:val="Normal"/>
    <w:rsid w:val="000E4732"/>
    <w:pPr>
      <w:pBdr>
        <w:left w:val="single" w:sz="8" w:space="0" w:color="auto"/>
        <w:right w:val="single" w:sz="8" w:space="0" w:color="auto"/>
      </w:pBdr>
      <w:shd w:val="clear" w:color="000000" w:fill="FFD966"/>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68">
    <w:name w:val="xl68"/>
    <w:basedOn w:val="Normal"/>
    <w:rsid w:val="000E4732"/>
    <w:pPr>
      <w:pBdr>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69">
    <w:name w:val="xl69"/>
    <w:basedOn w:val="Normal"/>
    <w:rsid w:val="000E4732"/>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70">
    <w:name w:val="xl70"/>
    <w:basedOn w:val="Normal"/>
    <w:rsid w:val="000E4732"/>
    <w:pPr>
      <w:pBdr>
        <w:right w:val="single" w:sz="8" w:space="0" w:color="auto"/>
      </w:pBdr>
      <w:shd w:val="clear" w:color="000000" w:fill="FFD966"/>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71">
    <w:name w:val="xl71"/>
    <w:basedOn w:val="Normal"/>
    <w:rsid w:val="000E47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72">
    <w:name w:val="xl72"/>
    <w:basedOn w:val="Normal"/>
    <w:rsid w:val="000E47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73">
    <w:name w:val="xl73"/>
    <w:basedOn w:val="Normal"/>
    <w:rsid w:val="000E4732"/>
    <w:pPr>
      <w:pBdr>
        <w:left w:val="single" w:sz="8" w:space="0" w:color="auto"/>
        <w:bottom w:val="single" w:sz="8" w:space="0" w:color="auto"/>
        <w:right w:val="single" w:sz="8" w:space="0" w:color="auto"/>
      </w:pBdr>
      <w:shd w:val="clear" w:color="000000" w:fill="FFD966"/>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74">
    <w:name w:val="xl74"/>
    <w:basedOn w:val="Normal"/>
    <w:rsid w:val="000E4732"/>
    <w:pPr>
      <w:pBdr>
        <w:bottom w:val="single" w:sz="8" w:space="0" w:color="auto"/>
        <w:right w:val="single" w:sz="8" w:space="0" w:color="auto"/>
      </w:pBdr>
      <w:shd w:val="clear" w:color="000000" w:fill="FFD966"/>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75">
    <w:name w:val="xl75"/>
    <w:basedOn w:val="Normal"/>
    <w:rsid w:val="000E4732"/>
    <w:pPr>
      <w:pBdr>
        <w:left w:val="single" w:sz="8" w:space="0" w:color="auto"/>
        <w:right w:val="single" w:sz="8" w:space="0" w:color="auto"/>
      </w:pBdr>
      <w:shd w:val="clear" w:color="000000" w:fill="FFD966"/>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76">
    <w:name w:val="xl76"/>
    <w:basedOn w:val="Normal"/>
    <w:rsid w:val="000E4732"/>
    <w:pPr>
      <w:pBdr>
        <w:left w:val="single" w:sz="8" w:space="0" w:color="auto"/>
        <w:bottom w:val="single" w:sz="8" w:space="0" w:color="auto"/>
        <w:right w:val="single" w:sz="8" w:space="0" w:color="auto"/>
      </w:pBdr>
      <w:shd w:val="clear" w:color="000000" w:fill="FFD966"/>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77">
    <w:name w:val="xl77"/>
    <w:basedOn w:val="Normal"/>
    <w:rsid w:val="000E473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78">
    <w:name w:val="xl78"/>
    <w:basedOn w:val="Normal"/>
    <w:rsid w:val="000E4732"/>
    <w:pPr>
      <w:pBdr>
        <w:left w:val="single" w:sz="8" w:space="0" w:color="auto"/>
        <w:right w:val="single" w:sz="8" w:space="0" w:color="auto"/>
      </w:pBdr>
      <w:shd w:val="clear" w:color="000000" w:fill="B4C6E7"/>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79">
    <w:name w:val="xl79"/>
    <w:basedOn w:val="Normal"/>
    <w:rsid w:val="000E4732"/>
    <w:pPr>
      <w:pBdr>
        <w:left w:val="single" w:sz="8" w:space="0" w:color="auto"/>
        <w:bottom w:val="single" w:sz="8" w:space="0" w:color="auto"/>
        <w:right w:val="single" w:sz="8" w:space="0" w:color="auto"/>
      </w:pBdr>
      <w:shd w:val="clear" w:color="000000" w:fill="B4C6E7"/>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80">
    <w:name w:val="xl80"/>
    <w:basedOn w:val="Normal"/>
    <w:rsid w:val="000E4732"/>
    <w:pPr>
      <w:pBdr>
        <w:bottom w:val="single" w:sz="8" w:space="0" w:color="auto"/>
        <w:right w:val="single" w:sz="8" w:space="0" w:color="auto"/>
      </w:pBdr>
      <w:shd w:val="clear" w:color="000000" w:fill="B4C6E7"/>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81">
    <w:name w:val="xl81"/>
    <w:basedOn w:val="Normal"/>
    <w:rsid w:val="000E4732"/>
    <w:pPr>
      <w:pBdr>
        <w:left w:val="single" w:sz="8" w:space="0" w:color="auto"/>
        <w:right w:val="single" w:sz="8" w:space="0" w:color="auto"/>
      </w:pBdr>
      <w:shd w:val="clear" w:color="000000" w:fill="B4C6E7"/>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82">
    <w:name w:val="xl82"/>
    <w:basedOn w:val="Normal"/>
    <w:rsid w:val="000E4732"/>
    <w:pPr>
      <w:pBdr>
        <w:left w:val="single" w:sz="8" w:space="0" w:color="auto"/>
        <w:bottom w:val="single" w:sz="8" w:space="0" w:color="auto"/>
        <w:right w:val="single" w:sz="8" w:space="0" w:color="auto"/>
      </w:pBdr>
      <w:shd w:val="clear" w:color="000000" w:fill="B4C6E7"/>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83">
    <w:name w:val="xl83"/>
    <w:basedOn w:val="Normal"/>
    <w:rsid w:val="000E4732"/>
    <w:pPr>
      <w:pBdr>
        <w:left w:val="single" w:sz="8" w:space="0" w:color="auto"/>
        <w:bottom w:val="single" w:sz="8" w:space="0" w:color="auto"/>
        <w:right w:val="single" w:sz="8" w:space="0" w:color="auto"/>
      </w:pBdr>
      <w:shd w:val="clear" w:color="000000" w:fill="C5E0B3"/>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84">
    <w:name w:val="xl84"/>
    <w:basedOn w:val="Normal"/>
    <w:rsid w:val="000E4732"/>
    <w:pPr>
      <w:pBdr>
        <w:bottom w:val="single" w:sz="8" w:space="0" w:color="auto"/>
        <w:right w:val="single" w:sz="8" w:space="0" w:color="auto"/>
      </w:pBdr>
      <w:shd w:val="clear" w:color="000000" w:fill="C5E0B3"/>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85">
    <w:name w:val="xl85"/>
    <w:basedOn w:val="Normal"/>
    <w:rsid w:val="000E4732"/>
    <w:pPr>
      <w:pBdr>
        <w:left w:val="single" w:sz="8" w:space="0" w:color="auto"/>
        <w:right w:val="single" w:sz="8" w:space="0" w:color="auto"/>
      </w:pBdr>
      <w:shd w:val="clear" w:color="000000" w:fill="C5E0B3"/>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86">
    <w:name w:val="xl86"/>
    <w:basedOn w:val="Normal"/>
    <w:rsid w:val="000E4732"/>
    <w:pPr>
      <w:pBdr>
        <w:right w:val="single" w:sz="8" w:space="0" w:color="auto"/>
      </w:pBdr>
      <w:shd w:val="clear" w:color="000000" w:fill="C5E0B3"/>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87">
    <w:name w:val="xl87"/>
    <w:basedOn w:val="Normal"/>
    <w:rsid w:val="000E4732"/>
    <w:pPr>
      <w:pBdr>
        <w:left w:val="single" w:sz="8" w:space="0" w:color="auto"/>
        <w:right w:val="single" w:sz="8" w:space="0" w:color="auto"/>
      </w:pBdr>
      <w:shd w:val="clear" w:color="000000" w:fill="C5E0B3"/>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88">
    <w:name w:val="xl88"/>
    <w:basedOn w:val="Normal"/>
    <w:rsid w:val="000E4732"/>
    <w:pPr>
      <w:pBdr>
        <w:left w:val="single" w:sz="8" w:space="0" w:color="auto"/>
        <w:bottom w:val="single" w:sz="8" w:space="0" w:color="auto"/>
        <w:right w:val="single" w:sz="8" w:space="0" w:color="auto"/>
      </w:pBdr>
      <w:shd w:val="clear" w:color="000000" w:fill="C5E0B3"/>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89">
    <w:name w:val="xl89"/>
    <w:basedOn w:val="Normal"/>
    <w:rsid w:val="000E4732"/>
    <w:pPr>
      <w:pBdr>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val="en-US" w:bidi="ne-NP"/>
    </w:rPr>
  </w:style>
  <w:style w:type="paragraph" w:customStyle="1" w:styleId="xl90">
    <w:name w:val="xl90"/>
    <w:basedOn w:val="Normal"/>
    <w:rsid w:val="000E4732"/>
    <w:pPr>
      <w:pBdr>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val="en-US" w:bidi="ne-NP"/>
    </w:rPr>
  </w:style>
  <w:style w:type="paragraph" w:customStyle="1" w:styleId="xl91">
    <w:name w:val="xl91"/>
    <w:basedOn w:val="Normal"/>
    <w:rsid w:val="000E4732"/>
    <w:pPr>
      <w:pBdr>
        <w:right w:val="single" w:sz="8" w:space="0" w:color="auto"/>
      </w:pBdr>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92">
    <w:name w:val="xl92"/>
    <w:basedOn w:val="Normal"/>
    <w:rsid w:val="000E47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93">
    <w:name w:val="xl93"/>
    <w:basedOn w:val="Normal"/>
    <w:rsid w:val="000E4732"/>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val="en-US" w:bidi="ne-NP"/>
    </w:rPr>
  </w:style>
  <w:style w:type="paragraph" w:customStyle="1" w:styleId="xl94">
    <w:name w:val="xl94"/>
    <w:basedOn w:val="Normal"/>
    <w:rsid w:val="000E4732"/>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95">
    <w:name w:val="xl95"/>
    <w:basedOn w:val="Normal"/>
    <w:rsid w:val="000E473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val="en-US" w:bidi="ne-NP"/>
    </w:rPr>
  </w:style>
  <w:style w:type="paragraph" w:customStyle="1" w:styleId="xl96">
    <w:name w:val="xl96"/>
    <w:basedOn w:val="Normal"/>
    <w:rsid w:val="000E47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97">
    <w:name w:val="xl97"/>
    <w:basedOn w:val="Normal"/>
    <w:rsid w:val="000E4732"/>
    <w:pPr>
      <w:pBdr>
        <w:left w:val="single" w:sz="8" w:space="0" w:color="auto"/>
        <w:right w:val="single" w:sz="8" w:space="0" w:color="auto"/>
      </w:pBdr>
      <w:shd w:val="clear" w:color="000000" w:fill="FBE4D5"/>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98">
    <w:name w:val="xl98"/>
    <w:basedOn w:val="Normal"/>
    <w:rsid w:val="000E4732"/>
    <w:pPr>
      <w:pBdr>
        <w:left w:val="single" w:sz="8" w:space="0" w:color="auto"/>
        <w:bottom w:val="single" w:sz="8" w:space="0" w:color="auto"/>
        <w:right w:val="single" w:sz="8" w:space="0" w:color="auto"/>
      </w:pBdr>
      <w:shd w:val="clear" w:color="000000" w:fill="FBE4D5"/>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99">
    <w:name w:val="xl99"/>
    <w:basedOn w:val="Normal"/>
    <w:rsid w:val="000E47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171717"/>
      <w:sz w:val="18"/>
      <w:szCs w:val="18"/>
      <w:lang w:val="en-US" w:bidi="ne-NP"/>
    </w:rPr>
  </w:style>
  <w:style w:type="paragraph" w:customStyle="1" w:styleId="xl100">
    <w:name w:val="xl100"/>
    <w:basedOn w:val="Normal"/>
    <w:rsid w:val="000E47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171717"/>
      <w:sz w:val="18"/>
      <w:szCs w:val="18"/>
      <w:lang w:val="en-US" w:bidi="ne-NP"/>
    </w:rPr>
  </w:style>
  <w:style w:type="paragraph" w:customStyle="1" w:styleId="xl101">
    <w:name w:val="xl101"/>
    <w:basedOn w:val="Normal"/>
    <w:rsid w:val="000E47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val="en-US" w:bidi="ne-NP"/>
    </w:rPr>
  </w:style>
  <w:style w:type="paragraph" w:customStyle="1" w:styleId="xl102">
    <w:name w:val="xl102"/>
    <w:basedOn w:val="Normal"/>
    <w:rsid w:val="000E47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val="en-US" w:bidi="ne-NP"/>
    </w:rPr>
  </w:style>
  <w:style w:type="paragraph" w:customStyle="1" w:styleId="xl103">
    <w:name w:val="xl103"/>
    <w:basedOn w:val="Normal"/>
    <w:rsid w:val="000E4732"/>
    <w:pPr>
      <w:pBdr>
        <w:top w:val="single" w:sz="8" w:space="0" w:color="auto"/>
        <w:left w:val="single" w:sz="8" w:space="0" w:color="auto"/>
        <w:right w:val="single" w:sz="8" w:space="0" w:color="auto"/>
      </w:pBdr>
      <w:shd w:val="clear" w:color="000000" w:fill="FFD966"/>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04">
    <w:name w:val="xl104"/>
    <w:basedOn w:val="Normal"/>
    <w:rsid w:val="000E4732"/>
    <w:pPr>
      <w:pBdr>
        <w:left w:val="single" w:sz="8" w:space="0" w:color="auto"/>
        <w:bottom w:val="single" w:sz="8" w:space="0" w:color="auto"/>
        <w:right w:val="single" w:sz="8" w:space="0" w:color="auto"/>
      </w:pBdr>
      <w:shd w:val="clear" w:color="000000" w:fill="FFD966"/>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05">
    <w:name w:val="xl105"/>
    <w:basedOn w:val="Normal"/>
    <w:rsid w:val="000E4732"/>
    <w:pPr>
      <w:pBdr>
        <w:bottom w:val="single" w:sz="8" w:space="0" w:color="auto"/>
        <w:right w:val="single" w:sz="8" w:space="0" w:color="auto"/>
      </w:pBdr>
      <w:shd w:val="clear" w:color="000000" w:fill="FFD966"/>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06">
    <w:name w:val="xl106"/>
    <w:basedOn w:val="Normal"/>
    <w:rsid w:val="000E4732"/>
    <w:pPr>
      <w:pBdr>
        <w:right w:val="single" w:sz="8" w:space="0" w:color="auto"/>
      </w:pBdr>
      <w:shd w:val="clear" w:color="000000" w:fill="FFD966"/>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07">
    <w:name w:val="xl107"/>
    <w:basedOn w:val="Normal"/>
    <w:rsid w:val="000E4732"/>
    <w:pPr>
      <w:pBdr>
        <w:left w:val="single" w:sz="8" w:space="0" w:color="auto"/>
        <w:right w:val="single" w:sz="8" w:space="0" w:color="auto"/>
      </w:pBdr>
      <w:shd w:val="clear" w:color="000000" w:fill="FFD966"/>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08">
    <w:name w:val="xl108"/>
    <w:basedOn w:val="Normal"/>
    <w:rsid w:val="000E4732"/>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09">
    <w:name w:val="xl109"/>
    <w:basedOn w:val="Normal"/>
    <w:rsid w:val="000E4732"/>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10">
    <w:name w:val="xl110"/>
    <w:basedOn w:val="Normal"/>
    <w:rsid w:val="000E4732"/>
    <w:pPr>
      <w:pBdr>
        <w:bottom w:val="single" w:sz="8"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11">
    <w:name w:val="xl111"/>
    <w:basedOn w:val="Normal"/>
    <w:rsid w:val="000E4732"/>
    <w:pPr>
      <w:pBdr>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12">
    <w:name w:val="xl112"/>
    <w:basedOn w:val="Normal"/>
    <w:rsid w:val="000E4732"/>
    <w:pPr>
      <w:pBdr>
        <w:left w:val="single" w:sz="8"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13">
    <w:name w:val="xl113"/>
    <w:basedOn w:val="Normal"/>
    <w:rsid w:val="000E4732"/>
    <w:pPr>
      <w:pBdr>
        <w:bottom w:val="single" w:sz="8" w:space="0" w:color="auto"/>
        <w:right w:val="single" w:sz="8" w:space="0" w:color="auto"/>
      </w:pBdr>
      <w:shd w:val="clear" w:color="000000" w:fill="C5E0B3"/>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14">
    <w:name w:val="xl114"/>
    <w:basedOn w:val="Normal"/>
    <w:rsid w:val="000E4732"/>
    <w:pPr>
      <w:pBdr>
        <w:right w:val="single" w:sz="8" w:space="0" w:color="auto"/>
      </w:pBdr>
      <w:shd w:val="clear" w:color="000000" w:fill="C5E0B3"/>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15">
    <w:name w:val="xl115"/>
    <w:basedOn w:val="Normal"/>
    <w:rsid w:val="000E4732"/>
    <w:pPr>
      <w:pBdr>
        <w:top w:val="single" w:sz="8" w:space="0" w:color="auto"/>
        <w:left w:val="single" w:sz="8" w:space="0" w:color="auto"/>
        <w:right w:val="single" w:sz="8" w:space="0" w:color="auto"/>
      </w:pBdr>
      <w:shd w:val="clear" w:color="000000" w:fill="C5E0B3"/>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16">
    <w:name w:val="xl116"/>
    <w:basedOn w:val="Normal"/>
    <w:rsid w:val="000E4732"/>
    <w:pPr>
      <w:pBdr>
        <w:left w:val="single" w:sz="8" w:space="0" w:color="auto"/>
        <w:bottom w:val="single" w:sz="8" w:space="0" w:color="auto"/>
        <w:right w:val="single" w:sz="8" w:space="0" w:color="auto"/>
      </w:pBdr>
      <w:shd w:val="clear" w:color="000000" w:fill="C5E0B3"/>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17">
    <w:name w:val="xl117"/>
    <w:basedOn w:val="Normal"/>
    <w:rsid w:val="000E4732"/>
    <w:pPr>
      <w:pBdr>
        <w:right w:val="single" w:sz="8" w:space="0" w:color="auto"/>
      </w:pBdr>
      <w:spacing w:before="100" w:beforeAutospacing="1" w:after="100" w:afterAutospacing="1"/>
      <w:jc w:val="center"/>
      <w:textAlignment w:val="top"/>
    </w:pPr>
    <w:rPr>
      <w:rFonts w:ascii="Times New Roman" w:eastAsia="Times New Roman" w:hAnsi="Times New Roman" w:cs="Times New Roman"/>
      <w:lang w:val="en-US" w:bidi="ne-NP"/>
    </w:rPr>
  </w:style>
  <w:style w:type="paragraph" w:customStyle="1" w:styleId="xl118">
    <w:name w:val="xl118"/>
    <w:basedOn w:val="Normal"/>
    <w:rsid w:val="000E473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val="en-US" w:bidi="ne-NP"/>
    </w:rPr>
  </w:style>
  <w:style w:type="paragraph" w:customStyle="1" w:styleId="xl119">
    <w:name w:val="xl119"/>
    <w:basedOn w:val="Normal"/>
    <w:rsid w:val="000E47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20">
    <w:name w:val="xl120"/>
    <w:basedOn w:val="Normal"/>
    <w:rsid w:val="000E47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21">
    <w:name w:val="xl121"/>
    <w:basedOn w:val="Normal"/>
    <w:rsid w:val="000E47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22">
    <w:name w:val="xl122"/>
    <w:basedOn w:val="Normal"/>
    <w:rsid w:val="000E4732"/>
    <w:pPr>
      <w:pBdr>
        <w:top w:val="single" w:sz="8" w:space="0" w:color="auto"/>
        <w:left w:val="single" w:sz="8" w:space="0" w:color="auto"/>
        <w:right w:val="single" w:sz="8" w:space="0" w:color="auto"/>
      </w:pBdr>
      <w:shd w:val="clear" w:color="000000" w:fill="FBE4D5"/>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23">
    <w:name w:val="xl123"/>
    <w:basedOn w:val="Normal"/>
    <w:rsid w:val="000E4732"/>
    <w:pPr>
      <w:pBdr>
        <w:left w:val="single" w:sz="8" w:space="0" w:color="auto"/>
        <w:bottom w:val="single" w:sz="8" w:space="0" w:color="auto"/>
        <w:right w:val="single" w:sz="8" w:space="0" w:color="auto"/>
      </w:pBdr>
      <w:shd w:val="clear" w:color="000000" w:fill="FBE4D5"/>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24">
    <w:name w:val="xl124"/>
    <w:basedOn w:val="Normal"/>
    <w:rsid w:val="000E4732"/>
    <w:pPr>
      <w:spacing w:before="100" w:beforeAutospacing="1" w:after="100" w:afterAutospacing="1"/>
      <w:jc w:val="center"/>
    </w:pPr>
    <w:rPr>
      <w:rFonts w:ascii="Times New Roman" w:eastAsia="Times New Roman" w:hAnsi="Times New Roman" w:cs="Times New Roman"/>
      <w:lang w:val="en-US" w:bidi="ne-NP"/>
    </w:rPr>
  </w:style>
  <w:style w:type="paragraph" w:customStyle="1" w:styleId="xl125">
    <w:name w:val="xl125"/>
    <w:basedOn w:val="Normal"/>
    <w:rsid w:val="000E4732"/>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val="en-US" w:bidi="ne-NP"/>
    </w:rPr>
  </w:style>
  <w:style w:type="paragraph" w:customStyle="1" w:styleId="xl126">
    <w:name w:val="xl126"/>
    <w:basedOn w:val="Normal"/>
    <w:rsid w:val="000E4732"/>
    <w:pPr>
      <w:pBdr>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val="en-US" w:bidi="ne-NP"/>
    </w:rPr>
  </w:style>
  <w:style w:type="paragraph" w:customStyle="1" w:styleId="xl127">
    <w:name w:val="xl127"/>
    <w:basedOn w:val="Normal"/>
    <w:rsid w:val="000E4732"/>
    <w:pPr>
      <w:pBdr>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val="en-US" w:bidi="ne-NP"/>
    </w:rPr>
  </w:style>
  <w:style w:type="paragraph" w:customStyle="1" w:styleId="xl128">
    <w:name w:val="xl128"/>
    <w:basedOn w:val="Normal"/>
    <w:rsid w:val="000E4732"/>
    <w:pPr>
      <w:pBdr>
        <w:top w:val="single" w:sz="8" w:space="0" w:color="auto"/>
        <w:left w:val="single" w:sz="8" w:space="0" w:color="auto"/>
        <w:right w:val="single" w:sz="8" w:space="0" w:color="auto"/>
      </w:pBdr>
      <w:shd w:val="clear" w:color="000000" w:fill="D0CECE"/>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129">
    <w:name w:val="xl129"/>
    <w:basedOn w:val="Normal"/>
    <w:rsid w:val="000E4732"/>
    <w:pPr>
      <w:pBdr>
        <w:left w:val="single" w:sz="8" w:space="0" w:color="auto"/>
        <w:right w:val="single" w:sz="8" w:space="0" w:color="auto"/>
      </w:pBdr>
      <w:shd w:val="clear" w:color="000000" w:fill="D0CECE"/>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130">
    <w:name w:val="xl130"/>
    <w:basedOn w:val="Normal"/>
    <w:rsid w:val="000E4732"/>
    <w:pPr>
      <w:pBdr>
        <w:left w:val="single" w:sz="8" w:space="0" w:color="auto"/>
        <w:bottom w:val="single" w:sz="8" w:space="0" w:color="auto"/>
        <w:right w:val="single" w:sz="8" w:space="0" w:color="auto"/>
      </w:pBdr>
      <w:shd w:val="clear" w:color="000000" w:fill="D0CECE"/>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131">
    <w:name w:val="xl131"/>
    <w:basedOn w:val="Normal"/>
    <w:rsid w:val="000E47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132">
    <w:name w:val="xl132"/>
    <w:basedOn w:val="Normal"/>
    <w:rsid w:val="000E4732"/>
    <w:pPr>
      <w:pBdr>
        <w:top w:val="single" w:sz="8" w:space="0" w:color="auto"/>
        <w:left w:val="single" w:sz="8" w:space="0" w:color="auto"/>
        <w:right w:val="single" w:sz="8" w:space="0" w:color="auto"/>
      </w:pBdr>
      <w:shd w:val="clear" w:color="000000" w:fill="FBE4D5"/>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133">
    <w:name w:val="xl133"/>
    <w:basedOn w:val="Normal"/>
    <w:rsid w:val="000E4732"/>
    <w:pPr>
      <w:pBdr>
        <w:top w:val="single" w:sz="8" w:space="0" w:color="auto"/>
        <w:left w:val="single" w:sz="8" w:space="0" w:color="auto"/>
        <w:right w:val="single" w:sz="8" w:space="0" w:color="auto"/>
      </w:pBdr>
      <w:shd w:val="clear" w:color="000000" w:fill="FFD966"/>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134">
    <w:name w:val="xl134"/>
    <w:basedOn w:val="Normal"/>
    <w:rsid w:val="000E47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val="en-US" w:bidi="ne-NP"/>
    </w:rPr>
  </w:style>
  <w:style w:type="paragraph" w:customStyle="1" w:styleId="xl135">
    <w:name w:val="xl135"/>
    <w:basedOn w:val="Normal"/>
    <w:rsid w:val="000E47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val="en-US" w:bidi="ne-NP"/>
    </w:rPr>
  </w:style>
  <w:style w:type="paragraph" w:customStyle="1" w:styleId="xl136">
    <w:name w:val="xl136"/>
    <w:basedOn w:val="Normal"/>
    <w:rsid w:val="000E4732"/>
    <w:pPr>
      <w:pBdr>
        <w:top w:val="single" w:sz="8" w:space="0" w:color="auto"/>
        <w:left w:val="single" w:sz="8" w:space="0" w:color="auto"/>
        <w:right w:val="single" w:sz="8" w:space="0" w:color="auto"/>
      </w:pBdr>
      <w:shd w:val="clear" w:color="000000" w:fill="B4C6E7"/>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137">
    <w:name w:val="xl137"/>
    <w:basedOn w:val="Normal"/>
    <w:rsid w:val="000E4732"/>
    <w:pPr>
      <w:pBdr>
        <w:top w:val="single" w:sz="8" w:space="0" w:color="auto"/>
        <w:left w:val="single" w:sz="8" w:space="0" w:color="auto"/>
        <w:right w:val="single" w:sz="8" w:space="0" w:color="auto"/>
      </w:pBdr>
      <w:shd w:val="clear" w:color="000000" w:fill="C5E0B3"/>
      <w:spacing w:before="100" w:beforeAutospacing="1" w:after="100" w:afterAutospacing="1"/>
      <w:textAlignment w:val="center"/>
    </w:pPr>
    <w:rPr>
      <w:rFonts w:ascii="Times New Roman" w:eastAsia="Times New Roman" w:hAnsi="Times New Roman" w:cs="Times New Roman"/>
      <w:sz w:val="18"/>
      <w:szCs w:val="18"/>
      <w:lang w:val="en-US" w:bidi="ne-NP"/>
    </w:rPr>
  </w:style>
  <w:style w:type="paragraph" w:customStyle="1" w:styleId="xl138">
    <w:name w:val="xl138"/>
    <w:basedOn w:val="Normal"/>
    <w:rsid w:val="000E47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val="en-US" w:bidi="ne-NP"/>
    </w:rPr>
  </w:style>
  <w:style w:type="paragraph" w:customStyle="1" w:styleId="xl139">
    <w:name w:val="xl139"/>
    <w:basedOn w:val="Normal"/>
    <w:rsid w:val="000E47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val="en-US" w:bidi="ne-NP"/>
    </w:rPr>
  </w:style>
  <w:style w:type="paragraph" w:customStyle="1" w:styleId="xl140">
    <w:name w:val="xl140"/>
    <w:basedOn w:val="Normal"/>
    <w:rsid w:val="000E47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val="en-US" w:bidi="ne-NP"/>
    </w:rPr>
  </w:style>
  <w:style w:type="paragraph" w:styleId="NoSpacing">
    <w:name w:val="No Spacing"/>
    <w:uiPriority w:val="1"/>
    <w:qFormat/>
    <w:rsid w:val="000E4732"/>
    <w:pPr>
      <w:spacing w:after="0" w:line="240" w:lineRule="auto"/>
    </w:pPr>
  </w:style>
  <w:style w:type="paragraph" w:styleId="Header">
    <w:name w:val="header"/>
    <w:basedOn w:val="Normal"/>
    <w:link w:val="HeaderChar"/>
    <w:uiPriority w:val="99"/>
    <w:unhideWhenUsed/>
    <w:rsid w:val="000E4732"/>
    <w:pPr>
      <w:tabs>
        <w:tab w:val="center" w:pos="4680"/>
        <w:tab w:val="right" w:pos="9360"/>
      </w:tabs>
    </w:pPr>
    <w:rPr>
      <w:sz w:val="22"/>
      <w:szCs w:val="22"/>
      <w:lang w:val="en-IN"/>
    </w:rPr>
  </w:style>
  <w:style w:type="character" w:customStyle="1" w:styleId="HeaderChar">
    <w:name w:val="Header Char"/>
    <w:basedOn w:val="DefaultParagraphFont"/>
    <w:link w:val="Header"/>
    <w:uiPriority w:val="99"/>
    <w:rsid w:val="000E4732"/>
  </w:style>
  <w:style w:type="paragraph" w:styleId="BalloonText">
    <w:name w:val="Balloon Text"/>
    <w:basedOn w:val="Normal"/>
    <w:link w:val="BalloonTextChar"/>
    <w:uiPriority w:val="99"/>
    <w:semiHidden/>
    <w:unhideWhenUsed/>
    <w:rsid w:val="000E4732"/>
    <w:rPr>
      <w:rFonts w:ascii="Segoe UI" w:hAnsi="Segoe UI" w:cs="Segoe UI"/>
      <w:sz w:val="18"/>
      <w:szCs w:val="18"/>
      <w:lang w:val="en-IN"/>
    </w:rPr>
  </w:style>
  <w:style w:type="character" w:customStyle="1" w:styleId="BalloonTextChar">
    <w:name w:val="Balloon Text Char"/>
    <w:basedOn w:val="DefaultParagraphFont"/>
    <w:link w:val="BalloonText"/>
    <w:uiPriority w:val="99"/>
    <w:semiHidden/>
    <w:rsid w:val="000E4732"/>
    <w:rPr>
      <w:rFonts w:ascii="Segoe UI" w:hAnsi="Segoe UI" w:cs="Segoe UI"/>
      <w:sz w:val="18"/>
      <w:szCs w:val="18"/>
    </w:rPr>
  </w:style>
  <w:style w:type="paragraph" w:customStyle="1" w:styleId="Default">
    <w:name w:val="Default"/>
    <w:rsid w:val="0083168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LineNumber">
    <w:name w:val="line number"/>
    <w:basedOn w:val="DefaultParagraphFont"/>
    <w:uiPriority w:val="99"/>
    <w:semiHidden/>
    <w:unhideWhenUsed/>
    <w:rsid w:val="0036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B664-C823-48EC-B9E8-701B4161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5</Pages>
  <Words>25403</Words>
  <Characters>144800</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account</cp:lastModifiedBy>
  <cp:revision>65</cp:revision>
  <dcterms:created xsi:type="dcterms:W3CDTF">2021-08-06T09:02:00Z</dcterms:created>
  <dcterms:modified xsi:type="dcterms:W3CDTF">2022-07-15T07:30:00Z</dcterms:modified>
</cp:coreProperties>
</file>