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3C94F" w14:textId="77777777" w:rsidR="00A121BF" w:rsidRDefault="00A121BF" w:rsidP="00A121BF">
      <w:pPr>
        <w:keepNext/>
        <w:spacing w:after="0" w:line="480" w:lineRule="auto"/>
        <w:jc w:val="both"/>
      </w:pPr>
      <w:r w:rsidRPr="00DC12AF">
        <w:rPr>
          <w:noProof/>
        </w:rPr>
        <w:drawing>
          <wp:inline distT="0" distB="0" distL="0" distR="0" wp14:anchorId="3813C951" wp14:editId="3813C952">
            <wp:extent cx="5612130" cy="4210050"/>
            <wp:effectExtent l="0" t="0" r="762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3C950" w14:textId="363FFA48" w:rsidR="006F2503" w:rsidRPr="00FF41EE" w:rsidRDefault="00303987" w:rsidP="00A121BF">
      <w:pPr>
        <w:pStyle w:val="a3"/>
        <w:jc w:val="both"/>
        <w:rPr>
          <w:szCs w:val="24"/>
        </w:rPr>
      </w:pPr>
      <w:r w:rsidRPr="00165392">
        <w:rPr>
          <w:b/>
          <w:szCs w:val="24"/>
        </w:rPr>
        <w:t>S4 Fig</w:t>
      </w:r>
      <w:r w:rsidR="00A121BF">
        <w:rPr>
          <w:b/>
        </w:rPr>
        <w:t>.</w:t>
      </w:r>
      <w:r w:rsidR="00A121BF" w:rsidRPr="00381385">
        <w:rPr>
          <w:b/>
        </w:rPr>
        <w:t xml:space="preserve"> </w:t>
      </w:r>
      <w:r w:rsidR="00A121BF" w:rsidRPr="00FF41EE">
        <w:t>Switch patterns for 2-drug regimen cohort</w:t>
      </w:r>
    </w:p>
    <w:sectPr w:rsidR="006F2503" w:rsidRPr="00FF41EE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3C955" w14:textId="77777777" w:rsidR="00015181" w:rsidRDefault="00015181" w:rsidP="009962C2">
      <w:pPr>
        <w:spacing w:after="0" w:line="240" w:lineRule="auto"/>
      </w:pPr>
      <w:r>
        <w:separator/>
      </w:r>
    </w:p>
  </w:endnote>
  <w:endnote w:type="continuationSeparator" w:id="0">
    <w:p w14:paraId="3813C956" w14:textId="77777777" w:rsidR="00015181" w:rsidRDefault="00015181" w:rsidP="0099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3C953" w14:textId="77777777" w:rsidR="00015181" w:rsidRDefault="00015181" w:rsidP="009962C2">
      <w:pPr>
        <w:spacing w:after="0" w:line="240" w:lineRule="auto"/>
      </w:pPr>
      <w:r>
        <w:separator/>
      </w:r>
    </w:p>
  </w:footnote>
  <w:footnote w:type="continuationSeparator" w:id="0">
    <w:p w14:paraId="3813C954" w14:textId="77777777" w:rsidR="00015181" w:rsidRDefault="00015181" w:rsidP="00996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BF"/>
    <w:rsid w:val="00015181"/>
    <w:rsid w:val="00023F2E"/>
    <w:rsid w:val="00064BCC"/>
    <w:rsid w:val="00303987"/>
    <w:rsid w:val="003415FD"/>
    <w:rsid w:val="004A0546"/>
    <w:rsid w:val="00525139"/>
    <w:rsid w:val="00561843"/>
    <w:rsid w:val="00591024"/>
    <w:rsid w:val="009220AF"/>
    <w:rsid w:val="0099218C"/>
    <w:rsid w:val="009962C2"/>
    <w:rsid w:val="00A121BF"/>
    <w:rsid w:val="00A455AE"/>
    <w:rsid w:val="00A71382"/>
    <w:rsid w:val="00AA6FBC"/>
    <w:rsid w:val="00AC72C5"/>
    <w:rsid w:val="00AD51C0"/>
    <w:rsid w:val="00AF3311"/>
    <w:rsid w:val="00B84BE3"/>
    <w:rsid w:val="00EE56E8"/>
    <w:rsid w:val="00F218A1"/>
    <w:rsid w:val="00F44E5F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13C94F"/>
  <w15:chartTrackingRefBased/>
  <w15:docId w15:val="{B070572E-8B92-4372-B6B3-3B14120A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121B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99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9962C2"/>
  </w:style>
  <w:style w:type="paragraph" w:styleId="a6">
    <w:name w:val="footer"/>
    <w:basedOn w:val="a"/>
    <w:link w:val="a7"/>
    <w:uiPriority w:val="99"/>
    <w:unhideWhenUsed/>
    <w:rsid w:val="009962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99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inVentiv Health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Russell</dc:creator>
  <cp:keywords/>
  <dc:description/>
  <cp:lastModifiedBy>Kamakura, Mayuko MEDICAL AFFAIRS ACH MSL</cp:lastModifiedBy>
  <cp:revision>2</cp:revision>
  <cp:lastPrinted>2020-08-14T05:00:00Z</cp:lastPrinted>
  <dcterms:created xsi:type="dcterms:W3CDTF">2022-01-22T03:01:00Z</dcterms:created>
  <dcterms:modified xsi:type="dcterms:W3CDTF">2022-01-22T03:01:00Z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2022-01-22T03:01:13Z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0c460512-01e3-4c7e-bfcf-414783b78a22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