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57CEA" w14:textId="77777777" w:rsidR="00C867F2" w:rsidRDefault="00C867F2">
      <w:pPr>
        <w:spacing w:after="160" w:line="259" w:lineRule="auto"/>
        <w:rPr>
          <w:rFonts w:ascii="Times New Roman" w:hAnsi="Times New Roman" w:cs="Times New Roman"/>
        </w:rPr>
      </w:pPr>
    </w:p>
    <w:p w14:paraId="3CD5EA42" w14:textId="4E3EDC03" w:rsidR="00C867F2" w:rsidRPr="007C2019" w:rsidRDefault="00FC2959" w:rsidP="007C2019">
      <w:pPr>
        <w:rPr>
          <w:rFonts w:eastAsia="Times New Roman" w:cs="Times New Roman"/>
        </w:rPr>
      </w:pPr>
      <w:r>
        <w:rPr>
          <w:rFonts w:ascii="Times New Roman" w:eastAsia="Times New Roman" w:hAnsi="Times New Roman" w:cs="Times New Roman"/>
          <w:b/>
          <w:bCs/>
        </w:rPr>
        <w:t xml:space="preserve">S2 Table. </w:t>
      </w:r>
      <w:r w:rsidR="00943966" w:rsidRPr="00B21E12">
        <w:rPr>
          <w:rFonts w:ascii="Times New Roman" w:eastAsia="Times New Roman" w:hAnsi="Times New Roman" w:cs="Times New Roman"/>
        </w:rPr>
        <w:t xml:space="preserve">Chemical compounds of </w:t>
      </w:r>
      <w:r w:rsidR="00943966" w:rsidRPr="00B21E12">
        <w:rPr>
          <w:rFonts w:ascii="Times New Roman" w:eastAsia="Times New Roman" w:hAnsi="Times New Roman" w:cs="Times New Roman"/>
          <w:i/>
        </w:rPr>
        <w:t>Senna </w:t>
      </w:r>
      <w:proofErr w:type="spellStart"/>
      <w:r w:rsidR="00943966" w:rsidRPr="00B21E12">
        <w:rPr>
          <w:rFonts w:ascii="Times New Roman" w:eastAsia="Times New Roman" w:hAnsi="Times New Roman" w:cs="Times New Roman"/>
          <w:i/>
        </w:rPr>
        <w:t>alexandrina</w:t>
      </w:r>
      <w:proofErr w:type="spellEnd"/>
      <w:r w:rsidR="00943966" w:rsidRPr="00B21E12">
        <w:rPr>
          <w:rFonts w:ascii="Times New Roman" w:eastAsia="Times New Roman" w:hAnsi="Times New Roman" w:cs="Times New Roman"/>
        </w:rPr>
        <w:t xml:space="preserve"> of </w:t>
      </w:r>
      <w:r w:rsidR="00943966" w:rsidRPr="00B21E12">
        <w:rPr>
          <w:rFonts w:ascii="Times New Roman" w:eastAsia="Times New Roman" w:hAnsi="Times New Roman" w:cs="Times New Roman"/>
          <w:i/>
          <w:iCs/>
        </w:rPr>
        <w:t xml:space="preserve">Cassia </w:t>
      </w:r>
      <w:proofErr w:type="spellStart"/>
      <w:r w:rsidR="00943966" w:rsidRPr="00B21E12">
        <w:rPr>
          <w:rFonts w:ascii="Times New Roman" w:eastAsia="Times New Roman" w:hAnsi="Times New Roman" w:cs="Times New Roman"/>
          <w:i/>
          <w:iCs/>
        </w:rPr>
        <w:t>senna</w:t>
      </w:r>
      <w:proofErr w:type="spellEnd"/>
      <w:r w:rsidR="00943966" w:rsidRPr="00B21E12">
        <w:rPr>
          <w:rFonts w:ascii="Times New Roman" w:eastAsia="Times New Roman" w:hAnsi="Times New Roman" w:cs="Times New Roman"/>
        </w:rPr>
        <w:t xml:space="preserve"> and </w:t>
      </w:r>
      <w:proofErr w:type="spellStart"/>
      <w:r w:rsidR="00943966" w:rsidRPr="00B21E12">
        <w:rPr>
          <w:rFonts w:ascii="Times New Roman" w:eastAsia="Times New Roman" w:hAnsi="Times New Roman" w:cs="Times New Roman"/>
          <w:i/>
          <w:iCs/>
        </w:rPr>
        <w:t>Tinnevelly</w:t>
      </w:r>
      <w:proofErr w:type="spellEnd"/>
      <w:r w:rsidR="00943966" w:rsidRPr="00B21E12">
        <w:rPr>
          <w:rFonts w:ascii="Times New Roman" w:eastAsia="Times New Roman" w:hAnsi="Times New Roman" w:cs="Times New Roman"/>
          <w:i/>
          <w:iCs/>
        </w:rPr>
        <w:t xml:space="preserve"> </w:t>
      </w:r>
      <w:proofErr w:type="spellStart"/>
      <w:r w:rsidR="00943966" w:rsidRPr="00B21E12">
        <w:rPr>
          <w:rFonts w:ascii="Times New Roman" w:eastAsia="Times New Roman" w:hAnsi="Times New Roman" w:cs="Times New Roman"/>
          <w:i/>
          <w:iCs/>
        </w:rPr>
        <w:t>senna</w:t>
      </w:r>
      <w:proofErr w:type="spellEnd"/>
      <w:r w:rsidR="00943966" w:rsidRPr="00B21E12">
        <w:rPr>
          <w:rFonts w:ascii="Times New Roman" w:eastAsia="Times New Roman" w:hAnsi="Times New Roman" w:cs="Times New Roman"/>
        </w:rPr>
        <w:t xml:space="preserve"> of </w:t>
      </w:r>
      <w:r w:rsidR="00943966" w:rsidRPr="00B21E12">
        <w:rPr>
          <w:rFonts w:ascii="Times New Roman" w:eastAsia="Times New Roman" w:hAnsi="Times New Roman" w:cs="Times New Roman"/>
          <w:i/>
          <w:iCs/>
        </w:rPr>
        <w:t xml:space="preserve">Cassia </w:t>
      </w:r>
      <w:proofErr w:type="spellStart"/>
      <w:r w:rsidR="00943966" w:rsidRPr="00B21E12">
        <w:rPr>
          <w:rFonts w:ascii="Times New Roman" w:eastAsia="Times New Roman" w:hAnsi="Times New Roman" w:cs="Times New Roman"/>
          <w:i/>
          <w:iCs/>
        </w:rPr>
        <w:t>angustifolia</w:t>
      </w:r>
      <w:proofErr w:type="spellEnd"/>
      <w:r w:rsidR="00943966" w:rsidRPr="00B21E12">
        <w:rPr>
          <w:rFonts w:ascii="Times New Roman" w:eastAsia="Times New Roman" w:hAnsi="Times New Roman" w:cs="Times New Roman"/>
        </w:rPr>
        <w:t xml:space="preserve"> used for common feature pharmacophore modeling and molecular docking.</w:t>
      </w:r>
    </w:p>
    <w:tbl>
      <w:tblPr>
        <w:tblpPr w:leftFromText="180" w:rightFromText="180" w:vertAnchor="page" w:horzAnchor="page" w:tblpX="2355" w:tblpY="3601"/>
        <w:tblW w:w="755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4" w:type="dxa"/>
          <w:right w:w="0" w:type="dxa"/>
        </w:tblCellMar>
        <w:tblLook w:val="04A0" w:firstRow="1" w:lastRow="0" w:firstColumn="1" w:lastColumn="0" w:noHBand="0" w:noVBand="1"/>
      </w:tblPr>
      <w:tblGrid>
        <w:gridCol w:w="606"/>
        <w:gridCol w:w="2447"/>
        <w:gridCol w:w="2186"/>
        <w:gridCol w:w="2314"/>
      </w:tblGrid>
      <w:tr w:rsidR="00562046" w14:paraId="482530D9" w14:textId="77777777" w:rsidTr="00562046">
        <w:trPr>
          <w:trHeight w:val="360"/>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143CA6CB"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b/>
                <w:bCs/>
              </w:rPr>
              <w:t>No.</w:t>
            </w:r>
          </w:p>
        </w:tc>
        <w:tc>
          <w:tcPr>
            <w:tcW w:w="2447"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75D7723D" w14:textId="77777777" w:rsidR="00562046" w:rsidRDefault="00562046" w:rsidP="00562046">
            <w:pPr>
              <w:ind w:left="89"/>
              <w:jc w:val="center"/>
              <w:textAlignment w:val="baseline"/>
              <w:rPr>
                <w:rFonts w:ascii="Times New Roman" w:hAnsi="Times New Roman"/>
              </w:rPr>
            </w:pPr>
            <w:r>
              <w:rPr>
                <w:rFonts w:ascii="Times New Roman" w:eastAsia="Times New Roman" w:hAnsi="Times New Roman" w:cs="Times New Roman"/>
                <w:b/>
                <w:bCs/>
              </w:rPr>
              <w:t>Compound Name</w:t>
            </w:r>
          </w:p>
        </w:tc>
        <w:tc>
          <w:tcPr>
            <w:tcW w:w="218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65468CB6" w14:textId="77777777" w:rsidR="00562046" w:rsidRPr="00562046" w:rsidRDefault="00562046" w:rsidP="00562046">
            <w:pPr>
              <w:jc w:val="center"/>
              <w:textAlignment w:val="baseline"/>
              <w:rPr>
                <w:rFonts w:ascii="Times New Roman" w:eastAsia="Times New Roman" w:hAnsi="Times New Roman" w:cs="Times New Roman"/>
                <w:b/>
                <w:bCs/>
                <w:sz w:val="40"/>
                <w:szCs w:val="40"/>
                <w:vertAlign w:val="subscript"/>
              </w:rPr>
            </w:pPr>
            <w:r>
              <w:rPr>
                <w:rFonts w:ascii="Times New Roman" w:eastAsia="Times New Roman" w:hAnsi="Times New Roman" w:cs="Times New Roman"/>
                <w:b/>
                <w:bCs/>
                <w:sz w:val="40"/>
                <w:szCs w:val="40"/>
                <w:vertAlign w:val="subscript"/>
              </w:rPr>
              <w:t>PubChem Compound ID</w:t>
            </w:r>
          </w:p>
        </w:tc>
        <w:tc>
          <w:tcPr>
            <w:tcW w:w="2314" w:type="dxa"/>
            <w:tcBorders>
              <w:top w:val="single" w:sz="6" w:space="0" w:color="00000A"/>
              <w:left w:val="single" w:sz="6" w:space="0" w:color="00000A"/>
              <w:bottom w:val="single" w:sz="6" w:space="0" w:color="00000A"/>
              <w:right w:val="single" w:sz="6" w:space="0" w:color="00000A"/>
            </w:tcBorders>
          </w:tcPr>
          <w:p w14:paraId="5E911A60" w14:textId="77777777" w:rsidR="00562046" w:rsidRDefault="00562046" w:rsidP="00562046">
            <w:pPr>
              <w:jc w:val="center"/>
              <w:textAlignment w:val="baseline"/>
              <w:rPr>
                <w:rFonts w:ascii="Times New Roman" w:eastAsia="Times New Roman" w:hAnsi="Times New Roman" w:cs="Times New Roman"/>
                <w:b/>
                <w:bCs/>
              </w:rPr>
            </w:pPr>
          </w:p>
          <w:p w14:paraId="7FADC32A" w14:textId="77777777" w:rsidR="00562046" w:rsidRDefault="00562046" w:rsidP="00562046">
            <w:pPr>
              <w:jc w:val="center"/>
              <w:textAlignment w:val="baseline"/>
              <w:rPr>
                <w:rFonts w:ascii="Times New Roman" w:eastAsia="Times New Roman" w:hAnsi="Times New Roman" w:cs="Times New Roman"/>
                <w:b/>
                <w:bCs/>
                <w:sz w:val="40"/>
                <w:szCs w:val="40"/>
                <w:vertAlign w:val="subscript"/>
              </w:rPr>
            </w:pPr>
            <w:r>
              <w:rPr>
                <w:rFonts w:ascii="Times New Roman" w:eastAsia="Times New Roman" w:hAnsi="Times New Roman" w:cs="Times New Roman"/>
                <w:b/>
                <w:bCs/>
              </w:rPr>
              <w:t>Reference</w:t>
            </w:r>
          </w:p>
        </w:tc>
      </w:tr>
      <w:tr w:rsidR="00562046" w14:paraId="6AB7A654" w14:textId="77777777" w:rsidTr="00562046">
        <w:trPr>
          <w:trHeight w:val="360"/>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55CFC1C8"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1</w:t>
            </w:r>
          </w:p>
        </w:tc>
        <w:tc>
          <w:tcPr>
            <w:tcW w:w="2447"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1E4A0467" w14:textId="77777777" w:rsidR="00562046" w:rsidRDefault="00562046" w:rsidP="00562046">
            <w:pPr>
              <w:jc w:val="center"/>
              <w:textAlignment w:val="baseline"/>
              <w:rPr>
                <w:rFonts w:ascii="Times New Roman" w:eastAsia="Times New Roman" w:hAnsi="Times New Roman" w:cs="Times New Roman"/>
              </w:rPr>
            </w:pPr>
            <w:proofErr w:type="spellStart"/>
            <w:r>
              <w:rPr>
                <w:rFonts w:ascii="Times New Roman" w:eastAsia="Times New Roman" w:hAnsi="Times New Roman" w:cs="Times New Roman"/>
                <w:color w:val="000000"/>
              </w:rPr>
              <w:t>Caffeic</w:t>
            </w:r>
            <w:proofErr w:type="spellEnd"/>
            <w:r>
              <w:rPr>
                <w:rFonts w:ascii="Times New Roman" w:eastAsia="Times New Roman" w:hAnsi="Times New Roman" w:cs="Times New Roman"/>
                <w:color w:val="000000"/>
              </w:rPr>
              <w:t xml:space="preserve"> acid</w:t>
            </w:r>
          </w:p>
        </w:tc>
        <w:tc>
          <w:tcPr>
            <w:tcW w:w="218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1897A8BB"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689043</w:t>
            </w:r>
          </w:p>
        </w:tc>
        <w:tc>
          <w:tcPr>
            <w:tcW w:w="2314" w:type="dxa"/>
            <w:tcBorders>
              <w:top w:val="single" w:sz="6" w:space="0" w:color="00000A"/>
              <w:left w:val="single" w:sz="6" w:space="0" w:color="00000A"/>
              <w:bottom w:val="single" w:sz="6" w:space="0" w:color="00000A"/>
              <w:right w:val="single" w:sz="6" w:space="0" w:color="00000A"/>
            </w:tcBorders>
          </w:tcPr>
          <w:p w14:paraId="229289A8" w14:textId="3985BF60" w:rsidR="00562046" w:rsidRPr="00091ABB" w:rsidRDefault="00E57206" w:rsidP="00091ABB">
            <w:pPr>
              <w:jc w:val="center"/>
              <w:rPr>
                <w:rFonts w:ascii="Times New Roman" w:eastAsia="Times New Roman" w:hAnsi="Times New Roman" w:cs="Times New Roman"/>
                <w:bCs/>
                <w:color w:val="000000"/>
                <w:shd w:val="clear" w:color="auto" w:fill="F4F7F8"/>
              </w:rPr>
            </w:pPr>
            <w:r w:rsidRPr="00091ABB">
              <w:rPr>
                <w:rFonts w:ascii="Times New Roman" w:eastAsia="Times New Roman" w:hAnsi="Times New Roman" w:cs="Times New Roman"/>
                <w:bCs/>
                <w:color w:val="000000"/>
                <w:shd w:val="clear" w:color="auto" w:fill="F4F7F8"/>
              </w:rPr>
              <w:fldChar w:fldCharType="begin"/>
            </w:r>
            <w:r w:rsidRPr="00091ABB">
              <w:rPr>
                <w:rFonts w:ascii="Times New Roman" w:eastAsia="Times New Roman" w:hAnsi="Times New Roman" w:cs="Times New Roman"/>
                <w:bCs/>
                <w:color w:val="000000"/>
                <w:shd w:val="clear" w:color="auto" w:fill="F4F7F8"/>
              </w:rPr>
              <w:instrText>ADDIN F1000_CSL_CITATION&lt;~#@#~&gt;[{"title":"Inhibition of multiplication of herpes simplex virus by caffeic acid.","id":"12628976","ArticleId":"737337624","page":"595-598","type":"article-journal","volume":"28","issue":"4","author":[{"family":"Ikeda","given":"Keiko"},{"family":"Tsujimoto","given":"Kazuko"},{"family":"Uozaki","given":"Misao"},{"family":"Nishide","given":"Mitsunori"},{"family":"Suzuki","given":"Yukiko"},{"family":"Koyama","given":"A Hajime"},{"family":"Yamasaki","given":"Hisashi"}],"issued":{"date-parts":[["2011","10"]]},"container-title":"International Journal of Molecular Medicine","container-title-short":"Int. J. Mol. Med.","journalAbbreviation":"Int. J. Mol. Med.","DOI":"10.3892/ijmm.2011.739","PMID":"21725588","citation-label":"12628976","Abstract":"Hot water extracts of coffee grinds and commercial instant coffee solutions have been shown to exhibit marked antiviral and virucidal activities against herpes simplex virus type 1 (HSV-1). Specifically, it has been shown that caffeine and N-methyl-pyridinium formate inhibit the multiplication of HSV-1 in HEp-2 cells. The present study examined the virological properties and the antiviral activity of caffeic acid against HSV-1. Caffeic acid inhibited the multiplication of HSV-1 in vitro, while chlorogenic acid, a caffeic acid ester with quinic acid, did not. These reagents did not have a direct virucidal effect. The one-step growth curve of HSV-1 showed that the addition of caffeic acid at 8 h post infection (h p.i.) did not significantly affect the formation of progeny viruses. An analysis of the influence of the time of caffeic acid addition, revealed that addition at an early time post infection remarkably inhibited the formation of progeny infectious virus in the infected cells, but its addition after 6 h p.i. (i.e., the time of the completion of viral genome replication) did not efficiently inhibit this process. These results indicate that caffeic acid inhibits HSV-1 multiplication mainly before the completion of viral DNA replication, but not thereafter. Although caffeic acid showed some cytotoxicity by prolonged incubation, the observed antiviral activity is likely not the secondary result of the cytotoxic effect of the reagent, because the inhibition of the virus multiplication was observed before appearance of the notable cytotoxicity.","CleanAbstract":"Hot water extracts of coffee grinds and commercial instant coffee solutions have been shown to exhibit marked antiviral and virucidal activities against herpes simplex virus type 1 (HSV-1). Specifically, it has been shown that caffeine and N-methyl-pyridinium formate inhibit the multiplication of HSV-1 in HEp-2 cells. The present study examined the virological properties and the antiviral activity of caffeic acid against HSV-1. Caffeic acid inhibited the multiplication of HSV-1 in vitro, while chlorogenic acid, a caffeic acid ester with quinic acid, did not. These reagents did not have a direct virucidal effect. The one-step growth curve of HSV-1 showed that the addition of caffeic acid at 8 h post infection (h p.i.) did not significantly affect the formation of progeny viruses. An analysis of the influence of the time of caffeic acid addition, revealed that addition at an early time post infection remarkably inhibited the formation of progeny infectious virus in the infected cells, but its addition after 6 h p.i. (i.e., the time of the completion of viral genome replication) did not efficiently inhibit this process. These results indicate that caffeic acid inhibits HSV-1 multiplication mainly before the completion of viral DNA replication, but not thereafter. Although caffeic acid showed some cytotoxicity by prolonged incubation, the observed antiviral activity is likely not the secondary result of the cytotoxic effect of the reagent, because the inhibition of the virus multiplication was observed before appearance of the notable cytotoxicity."}]</w:instrText>
            </w:r>
            <w:r w:rsidRPr="00091ABB">
              <w:rPr>
                <w:rFonts w:ascii="Times New Roman" w:eastAsia="Times New Roman" w:hAnsi="Times New Roman" w:cs="Times New Roman"/>
                <w:bCs/>
                <w:color w:val="000000"/>
                <w:shd w:val="clear" w:color="auto" w:fill="F4F7F8"/>
              </w:rPr>
              <w:fldChar w:fldCharType="separate"/>
            </w:r>
            <w:r w:rsidRPr="00091ABB">
              <w:rPr>
                <w:rFonts w:ascii="Times New Roman" w:eastAsia="Times New Roman" w:hAnsi="Times New Roman" w:cs="Times New Roman"/>
                <w:bCs/>
                <w:color w:val="000000"/>
                <w:shd w:val="clear" w:color="auto" w:fill="F4F7F8"/>
              </w:rPr>
              <w:t>[1]</w:t>
            </w:r>
            <w:r w:rsidRPr="00091ABB">
              <w:rPr>
                <w:rFonts w:ascii="Times New Roman" w:eastAsia="Times New Roman" w:hAnsi="Times New Roman" w:cs="Times New Roman"/>
                <w:bCs/>
                <w:color w:val="000000"/>
                <w:shd w:val="clear" w:color="auto" w:fill="F4F7F8"/>
              </w:rPr>
              <w:fldChar w:fldCharType="end"/>
            </w:r>
          </w:p>
        </w:tc>
      </w:tr>
      <w:tr w:rsidR="00562046" w14:paraId="1AF07D88" w14:textId="77777777" w:rsidTr="00562046">
        <w:trPr>
          <w:trHeight w:val="360"/>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2274DC7A" w14:textId="05B0EE55" w:rsidR="00562046" w:rsidRDefault="00562046" w:rsidP="00562046">
            <w:pPr>
              <w:jc w:val="center"/>
              <w:textAlignment w:val="baseline"/>
              <w:rPr>
                <w:rFonts w:ascii="Times New Roman" w:eastAsia="Times New Roman" w:hAnsi="Times New Roman" w:cs="Times New Roman"/>
              </w:rPr>
            </w:pPr>
            <w:r>
              <w:rPr>
                <w:rFonts w:ascii="Times New Roman" w:eastAsia="Times New Roman" w:hAnsi="Times New Roman" w:cs="Times New Roman"/>
              </w:rPr>
              <w:t>2</w:t>
            </w:r>
          </w:p>
        </w:tc>
        <w:tc>
          <w:tcPr>
            <w:tcW w:w="2447"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783B06BD" w14:textId="77777777" w:rsidR="00562046" w:rsidRDefault="00562046" w:rsidP="00562046">
            <w:pPr>
              <w:jc w:val="center"/>
              <w:textAlignment w:val="baseline"/>
              <w:rPr>
                <w:rFonts w:ascii="Times New Roman" w:hAnsi="Times New Roman"/>
                <w:color w:val="000000"/>
              </w:rPr>
            </w:pPr>
            <w:proofErr w:type="spellStart"/>
            <w:r>
              <w:rPr>
                <w:rFonts w:ascii="Times New Roman" w:eastAsia="Times New Roman" w:hAnsi="Times New Roman" w:cs="Times New Roman"/>
                <w:color w:val="000000"/>
              </w:rPr>
              <w:t>Cynaroside</w:t>
            </w:r>
            <w:proofErr w:type="spellEnd"/>
          </w:p>
        </w:tc>
        <w:tc>
          <w:tcPr>
            <w:tcW w:w="218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0B7E7960"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5280637</w:t>
            </w:r>
          </w:p>
        </w:tc>
        <w:tc>
          <w:tcPr>
            <w:tcW w:w="2314" w:type="dxa"/>
            <w:tcBorders>
              <w:top w:val="single" w:sz="6" w:space="0" w:color="00000A"/>
              <w:left w:val="single" w:sz="6" w:space="0" w:color="00000A"/>
              <w:bottom w:val="single" w:sz="6" w:space="0" w:color="00000A"/>
              <w:right w:val="single" w:sz="6" w:space="0" w:color="00000A"/>
            </w:tcBorders>
          </w:tcPr>
          <w:p w14:paraId="23AF6633" w14:textId="37C2C6F5" w:rsidR="00562046" w:rsidRPr="00091ABB" w:rsidRDefault="00E57206" w:rsidP="00091ABB">
            <w:pPr>
              <w:jc w:val="center"/>
              <w:rPr>
                <w:rFonts w:ascii="Times New Roman" w:eastAsia="Times New Roman" w:hAnsi="Times New Roman" w:cs="Times New Roman"/>
                <w:bCs/>
                <w:color w:val="000000"/>
                <w:shd w:val="clear" w:color="auto" w:fill="F4F7F8"/>
              </w:rPr>
            </w:pPr>
            <w:r w:rsidRPr="00091ABB">
              <w:rPr>
                <w:rFonts w:ascii="Times New Roman" w:eastAsia="Times New Roman" w:hAnsi="Times New Roman" w:cs="Times New Roman"/>
                <w:bCs/>
                <w:color w:val="000000"/>
                <w:shd w:val="clear" w:color="auto" w:fill="F4F7F8"/>
              </w:rPr>
              <w:fldChar w:fldCharType="begin"/>
            </w:r>
            <w:r w:rsidRPr="00091ABB">
              <w:rPr>
                <w:rFonts w:ascii="Times New Roman" w:eastAsia="Times New Roman" w:hAnsi="Times New Roman" w:cs="Times New Roman"/>
                <w:bCs/>
                <w:color w:val="000000"/>
                <w:shd w:val="clear" w:color="auto" w:fill="F4F7F8"/>
              </w:rPr>
              <w:instrText>ADDIN F1000_CSL_CITATION&lt;~#@#~&gt;[{"title":"Cynaroside inhibits Leishmania donovani UDP-galactopyranose mutase and induces reactive oxygen species to exert antileishmanial response.","id":"12628986","ArticleId":"739274840","type":"article-journal","volume":"41","issue":"1","author":[{"family":"Tabrez","given":"Shams"},{"family":"Rahman","given":"Fazlur"},{"family":"Ali","given":"Rahat"},{"family":"Alouffi","given":"Abdulaziz S"},{"family":"Akand","given":"Sajjadul Kadir"},{"family":"Alshehri","given":"Bader Mohammed"},{"family":"Alshammari","given":"Fahdah Ayed"},{"family":"Alam","given":"Aftab"},{"family":"Alaidarous","given":"Mohammed A"},{"family":"Banawas","given":"Saeed"},{"family":"Dukhyil","given":"Abdul Aziz Bin"},{"family":"Rub","given":"Abdur"}],"issued":{"date-parts":[["2021","1","29"]]},"container-title":"Bioscience reports","container-title-short":"Biosci. Rep.","journalAbbreviation":"Biosci. Rep.","DOI":"10.1042/BSR20203857","PMID":"33367614","PMCID":"PMC7805024","citation-label":"12628986","Abstract":"Cynaroside, a flavonoid, has been shown to have antibacterial, antifungal and anticancer activities. Here, we evaluated its antileishmanial properties and its mechanism of action through different in silico and in vitro assays. Cynaroside exhibited antileishmanial activity in time- and dose-dependent manner with 50% of inhibitory concentration (IC50) value of 49.49 ± 3.515 µM in vitro. It inhibited the growth of parasite significantly at only 20 µM concentration when used in combination with miltefosine, a standard drug which has very high toxicity. It also inhibited the intra-macrophagic parasite significantly at low doses when used in combination with miltefosine. It showed less toxicity than the existing antileishmanial drug, miltefosine at similar doses. Propidium iodide staining showed that cynaroside inhibited the parasites in G0/G1 phase of cell cycle. 2,7-dichloro dihydro fluorescein diacetate (H2DCFDA) staining showed cynaroside induced antileishmanial activity through reactive oxygen species (ROS) generation in parasites. Molecular-docking studies with key drug targets of Leishmania donovani showed significant inhibition. Out of these targets, cynaroside showed strongest affinity with uridine diphosphate (UDP)-galactopyranose mutase with -10.4 kcal/mol which was further validated by molecular dynamics (MD) simulation. The bioactivity, ADMET (absorption, distribution, metabolism, excretion and toxicity) properties, Organisation for Economic Co-operation and Development (OECD) chemical classification and toxicity risk prediction showed cynaroside as an enzyme inhibitor having sufficient solubility and non-toxic properties. In conclusion, cynaroside may be used alone or in combination with existing drug, miltefosine to control leishmaniasis with less cytotoxicity.&lt;br&gt;&lt;br&gt;© 2021 The Author(s).","CleanAbstract":"Cynaroside, a flavonoid, has been shown to have antibacterial, antifungal and anticancer activities. Here, we evaluated its antileishmanial properties and its mechanism of action through different in silico and in vitro assays. Cynaroside exhibited antileishmanial activity in time- and dose-dependent manner with 50% of inhibitory concentration (IC50) value of 49.49 ± 3.515 µM in vitro. It inhibited the growth of parasite significantly at only 20 µM concentration when used in combination with miltefosine, a standard drug which has very high toxicity. It also inhibited the intra-macrophagic parasite significantly at low doses when used in combination with miltefosine. It showed less toxicity than the existing antileishmanial drug, miltefosine at similar doses. Propidium iodide staining showed that cynaroside inhibited the parasites in G0/G1 phase of cell cycle. 2,7-dichloro dihydro fluorescein diacetate (H2DCFDA) staining showed cynaroside induced antileishmanial activity through reactive oxygen species (ROS) generation in parasites. Molecular-docking studies with key drug targets of Leishmania donovani showed significant inhibition. Out of these targets, cynaroside showed strongest affinity with uridine diphosphate (UDP)-galactopyranose mutase with -10.4 kcal/mol which was further validated by molecular dynamics (MD) simulation. The bioactivity, ADMET (absorption, distribution, metabolism, excretion and toxicity) properties, Organisation for Economic Co-operation and Development (OECD) chemical classification and toxicity risk prediction showed cynaroside as an enzyme inhibitor having sufficient solubility and non-toxic properties. In conclusion, cynaroside may be used alone or in combination with existing drug, miltefosine to control leishmaniasis with less cytotoxicity.© 2021 The Author(s)."}]</w:instrText>
            </w:r>
            <w:r w:rsidRPr="00091ABB">
              <w:rPr>
                <w:rFonts w:ascii="Times New Roman" w:eastAsia="Times New Roman" w:hAnsi="Times New Roman" w:cs="Times New Roman"/>
                <w:bCs/>
                <w:color w:val="000000"/>
                <w:shd w:val="clear" w:color="auto" w:fill="F4F7F8"/>
              </w:rPr>
              <w:fldChar w:fldCharType="separate"/>
            </w:r>
            <w:r w:rsidRPr="00091ABB">
              <w:rPr>
                <w:rFonts w:ascii="Times New Roman" w:eastAsia="Times New Roman" w:hAnsi="Times New Roman" w:cs="Times New Roman"/>
                <w:bCs/>
                <w:color w:val="000000"/>
                <w:shd w:val="clear" w:color="auto" w:fill="F4F7F8"/>
              </w:rPr>
              <w:t>[2]</w:t>
            </w:r>
            <w:r w:rsidRPr="00091ABB">
              <w:rPr>
                <w:rFonts w:ascii="Times New Roman" w:eastAsia="Times New Roman" w:hAnsi="Times New Roman" w:cs="Times New Roman"/>
                <w:bCs/>
                <w:color w:val="000000"/>
                <w:shd w:val="clear" w:color="auto" w:fill="F4F7F8"/>
              </w:rPr>
              <w:fldChar w:fldCharType="end"/>
            </w:r>
          </w:p>
        </w:tc>
      </w:tr>
      <w:tr w:rsidR="00562046" w14:paraId="62267ED7" w14:textId="77777777" w:rsidTr="00562046">
        <w:trPr>
          <w:trHeight w:val="360"/>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170C9D6E"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3</w:t>
            </w:r>
          </w:p>
        </w:tc>
        <w:tc>
          <w:tcPr>
            <w:tcW w:w="2447"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5A004253" w14:textId="77777777" w:rsidR="00562046" w:rsidRDefault="00562046" w:rsidP="00562046">
            <w:pPr>
              <w:jc w:val="center"/>
              <w:textAlignment w:val="baseline"/>
              <w:rPr>
                <w:rFonts w:ascii="Times New Roman" w:eastAsia="Times New Roman" w:hAnsi="Times New Roman" w:cs="Times New Roman"/>
              </w:rPr>
            </w:pPr>
            <w:r>
              <w:rPr>
                <w:rFonts w:ascii="Times New Roman" w:eastAsia="Times New Roman" w:hAnsi="Times New Roman" w:cs="Times New Roman"/>
                <w:color w:val="000000"/>
              </w:rPr>
              <w:t>Gallic acid</w:t>
            </w:r>
          </w:p>
        </w:tc>
        <w:tc>
          <w:tcPr>
            <w:tcW w:w="218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56FD614A"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370</w:t>
            </w:r>
          </w:p>
        </w:tc>
        <w:tc>
          <w:tcPr>
            <w:tcW w:w="2314" w:type="dxa"/>
            <w:tcBorders>
              <w:top w:val="single" w:sz="6" w:space="0" w:color="00000A"/>
              <w:left w:val="single" w:sz="6" w:space="0" w:color="00000A"/>
              <w:bottom w:val="single" w:sz="6" w:space="0" w:color="00000A"/>
              <w:right w:val="single" w:sz="6" w:space="0" w:color="00000A"/>
            </w:tcBorders>
          </w:tcPr>
          <w:p w14:paraId="3BEF308E" w14:textId="2311F404" w:rsidR="00562046" w:rsidRPr="00091ABB" w:rsidRDefault="00E57206" w:rsidP="00091ABB">
            <w:pPr>
              <w:jc w:val="center"/>
              <w:rPr>
                <w:rFonts w:ascii="Times New Roman" w:eastAsia="Times New Roman" w:hAnsi="Times New Roman" w:cs="Times New Roman"/>
                <w:bCs/>
                <w:color w:val="000000"/>
                <w:shd w:val="clear" w:color="auto" w:fill="F4F7F8"/>
              </w:rPr>
            </w:pPr>
            <w:r w:rsidRPr="00091ABB">
              <w:rPr>
                <w:rFonts w:ascii="Times New Roman" w:eastAsia="Times New Roman" w:hAnsi="Times New Roman" w:cs="Times New Roman"/>
                <w:bCs/>
                <w:color w:val="000000"/>
                <w:shd w:val="clear" w:color="auto" w:fill="F4F7F8"/>
              </w:rPr>
              <w:fldChar w:fldCharType="begin"/>
            </w:r>
            <w:r w:rsidRPr="00091ABB">
              <w:rPr>
                <w:rFonts w:ascii="Times New Roman" w:eastAsia="Times New Roman" w:hAnsi="Times New Roman" w:cs="Times New Roman"/>
                <w:bCs/>
                <w:color w:val="000000"/>
                <w:shd w:val="clear" w:color="auto" w:fill="F4F7F8"/>
              </w:rPr>
              <w:instrText>ADDIN F1000_CSL_CITATION&lt;~#@#~&gt;[{"title":"Anti-human rhinovirus activity of gallic acid possessing antioxidant capacity.","id":"12628993","ArticleId":"741781451","page":"1292-1296","type":"article-journal","volume":"24","issue":"9","author":[{"family":"Choi","given":"Hwa Jung"},{"family":"Song","given":"Jae Hyoung"},{"family":"Bhatt","given":"Lok Ranjan"},{"family":"Baek","given":"Seung Hwa"}],"issued":{"date-parts":[["2010","9"]]},"container-title":"Phytotherapy Research","container-title-short":"Phytother. Res.","journalAbbreviation":"Phytother. Res.","DOI":"10.1002/ptr.3101","PMID":"20104501","citation-label":"12628993","Abstract":"Human rhinoviruses (HRVs) are a major cause of the common cold and until now there is no registered clinically effective antiviral chemotherapeutic agent for treatment of diseases caused by HRVs. Our previous report showed that gallic acid from Woodfordia fruticosa flowers possessed antioxidant activity. Many studies reported that antioxidants possess antiviral activities against various viruses. Therefore, we examined antiviral activity of gallic acid against HRVs and mode of its actions by observing the effect of gallic acid on HRV-induced cytopathic effect (CPE) and the infectivity of HRV particles, and then carried out a time-addition study. As a result, gallic acid actively inhibited HRV2 and -3 replications with antiviral activity more than 55% without cytotoxicity in human epitheloid carcinoma cervix (HeLa) cells at a concentration of 100 mug/mL. Also, ribavirin showed lower anti-HRV3 activity than gallic acid and similar anti-HRV3 activity to it. The addition of gallic acid to HRV-infected HeLa cells directly reduced the formation of a visible CPE. Furthermore, gallic acid did directly interact or activate with HRV particles. Collectively, we concluded that the inhibition of HRV production by gallic acid is mainly due to a general action as an antioxidant and the mode of action derived from the inhibition of virus absorption.&lt;br&gt;&lt;br&gt;Copyright 2010 John Wiley &amp; Sons, Ltd.","CleanAbstract":"Human rhinoviruses (HRVs) are a major cause of the common cold and until now there is no registered clinically effective antiviral chemotherapeutic agent for treatment of diseases caused by HRVs. Our previous report showed that gallic acid from Woodfordia fruticosa flowers possessed antioxidant activity. Many studies reported that antioxidants possess antiviral activities against various viruses. Therefore, we examined antiviral activity of gallic acid against HRVs and mode of its actions by observing the effect of gallic acid on HRV-induced cytopathic effect (CPE) and the infectivity of HRV particles, and then carried out a time-addition study. As a result, gallic acid actively inhibited HRV2 and -3 replications with antiviral activity more than 55% without cytotoxicity in human epitheloid carcinoma cervix (HeLa) cells at a concentration of 100 mug/mL. Also, ribavirin showed lower anti-HRV3 activity than gallic acid and similar anti-HRV3 activity to it. The addition of gallic acid to HRV-infected HeLa cells directly reduced the formation of a visible CPE. Furthermore, gallic acid did directly interact or activate with HRV particles. Collectively, we concluded that the inhibition of HRV production by gallic acid is mainly due to a general action as an antioxidant and the mode of action derived from the inhibition of virus absorption.Copyright 2010 John Wiley &amp; Sons, Ltd."}]</w:instrText>
            </w:r>
            <w:r w:rsidRPr="00091ABB">
              <w:rPr>
                <w:rFonts w:ascii="Times New Roman" w:eastAsia="Times New Roman" w:hAnsi="Times New Roman" w:cs="Times New Roman"/>
                <w:bCs/>
                <w:color w:val="000000"/>
                <w:shd w:val="clear" w:color="auto" w:fill="F4F7F8"/>
              </w:rPr>
              <w:fldChar w:fldCharType="separate"/>
            </w:r>
            <w:r w:rsidRPr="00091ABB">
              <w:rPr>
                <w:rFonts w:ascii="Times New Roman" w:eastAsia="Times New Roman" w:hAnsi="Times New Roman" w:cs="Times New Roman"/>
                <w:bCs/>
                <w:color w:val="000000"/>
                <w:shd w:val="clear" w:color="auto" w:fill="F4F7F8"/>
              </w:rPr>
              <w:t>[3]</w:t>
            </w:r>
            <w:r w:rsidRPr="00091ABB">
              <w:rPr>
                <w:rFonts w:ascii="Times New Roman" w:eastAsia="Times New Roman" w:hAnsi="Times New Roman" w:cs="Times New Roman"/>
                <w:bCs/>
                <w:color w:val="000000"/>
                <w:shd w:val="clear" w:color="auto" w:fill="F4F7F8"/>
              </w:rPr>
              <w:fldChar w:fldCharType="end"/>
            </w:r>
          </w:p>
        </w:tc>
      </w:tr>
      <w:tr w:rsidR="00562046" w14:paraId="4892F5DD" w14:textId="77777777" w:rsidTr="00562046">
        <w:trPr>
          <w:trHeight w:val="360"/>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79DCF457"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4</w:t>
            </w:r>
          </w:p>
        </w:tc>
        <w:tc>
          <w:tcPr>
            <w:tcW w:w="2447"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2C969F93" w14:textId="77777777" w:rsidR="00562046" w:rsidRDefault="00562046" w:rsidP="00562046">
            <w:pPr>
              <w:jc w:val="center"/>
              <w:textAlignment w:val="baseline"/>
              <w:rPr>
                <w:rFonts w:ascii="Times New Roman" w:eastAsia="Times New Roman" w:hAnsi="Times New Roman" w:cs="Times New Roman"/>
              </w:rPr>
            </w:pPr>
            <w:r>
              <w:rPr>
                <w:rFonts w:ascii="Times New Roman" w:eastAsia="Times New Roman" w:hAnsi="Times New Roman" w:cs="Times New Roman"/>
                <w:color w:val="000000"/>
              </w:rPr>
              <w:t>Benzoic acid</w:t>
            </w:r>
          </w:p>
        </w:tc>
        <w:tc>
          <w:tcPr>
            <w:tcW w:w="218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29748885"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3469</w:t>
            </w:r>
          </w:p>
        </w:tc>
        <w:tc>
          <w:tcPr>
            <w:tcW w:w="2314" w:type="dxa"/>
            <w:tcBorders>
              <w:top w:val="single" w:sz="6" w:space="0" w:color="00000A"/>
              <w:left w:val="single" w:sz="6" w:space="0" w:color="00000A"/>
              <w:bottom w:val="single" w:sz="6" w:space="0" w:color="00000A"/>
              <w:right w:val="single" w:sz="6" w:space="0" w:color="00000A"/>
            </w:tcBorders>
          </w:tcPr>
          <w:p w14:paraId="5E283C02" w14:textId="432716FB" w:rsidR="00562046" w:rsidRPr="00091ABB" w:rsidRDefault="00E57206" w:rsidP="00091ABB">
            <w:pPr>
              <w:jc w:val="center"/>
              <w:rPr>
                <w:rFonts w:ascii="Times New Roman" w:eastAsia="Times New Roman" w:hAnsi="Times New Roman" w:cs="Times New Roman"/>
                <w:bCs/>
                <w:color w:val="000000"/>
                <w:shd w:val="clear" w:color="auto" w:fill="F4F7F8"/>
              </w:rPr>
            </w:pPr>
            <w:r w:rsidRPr="00091ABB">
              <w:rPr>
                <w:rFonts w:ascii="Times New Roman" w:eastAsia="Times New Roman" w:hAnsi="Times New Roman" w:cs="Times New Roman"/>
                <w:bCs/>
                <w:color w:val="000000"/>
                <w:shd w:val="clear" w:color="auto" w:fill="F4F7F8"/>
              </w:rPr>
              <w:fldChar w:fldCharType="begin"/>
            </w:r>
            <w:r w:rsidRPr="00091ABB">
              <w:rPr>
                <w:rFonts w:ascii="Times New Roman" w:eastAsia="Times New Roman" w:hAnsi="Times New Roman" w:cs="Times New Roman"/>
                <w:bCs/>
                <w:color w:val="000000"/>
                <w:shd w:val="clear" w:color="auto" w:fill="F4F7F8"/>
              </w:rPr>
              <w:instrText>ADDIN F1000_CSL_CITATION&lt;~#@#~&gt;[{"title":"2-[4,5-Difluoro-2-(2-fluorobenzoylamino)-benzoylamino]benzoic acid, an antiviral compound with activity against acyclovir-resistant isolates of herpes simplex virus types 1 and 2.","id":"7014661","ArticleId":"720192461","page":"5735-5743","type":"article-journal","volume":"56","issue":"11","author":[{"family":"Strand","given":"Mårten"},{"family":"Islam","given":"Koushikul"},{"family":"Edlund","given":"Karin"},{"family":"Oberg","given":"Christopher T"},{"family":"Allard","given":"Annika"},{"family":"Bergström","given":"Tomas"},{"family":"Mei","given":"Ya-Fang"},{"family":"Elofsson","given":"Mikael"},{"family":"Wadell","given":"Göran"}],"issued":{"date-parts":[["2012","11"]]},"container-title":"Antimicrobial Agents and Chemotherapy","container-title-short":"Antimicrob. Agents Chemother.","journalAbbreviation":"Antimicrob. Agents Chemother.","DOI":"10.1128/AAC.01072-12","PMID":"22908173","PMCID":"PMC3486576","citation-label":"7014661","Abstract":"Herpes simplex viruses 1 and 2 (HSV-1 and HSV-2) are responsible for lifelong latent infections in humans, with periods of viral reactivation associated with recurring ulcerations in the orofacial and genital tracts. In immunosuppressed patients and neonates, HSV infections are associated with severe morbidity and, in some cases, even mortality. Today, acyclovir is the standard therapy for the management of HSV infections. However, the need for novel antiviral agents is apparent, since HSV isolates resistant to acyclovir therapy are frequently isolated in immunosuppressed patients. In this study, we assessed the anti-HSV activity of the antiadenoviral compounds 2-[2-(2-benzoylamino)-benzoylamino]benzoic acid (benzavir-1) and 2-[4,5-difluoro-2-(2-fluorobenzoylamino)-benzoylamino]benzoic acid (benzavir-2) on HSV-1 and HSV-2. Both compounds were active against both viruses. Importantly, benzavir-2 had potency similar to that of acyclovir against both HSV types, and it was active against clinical acyclovir-resistant HSV isolates.","CleanAbstract":"Herpes simplex viruses 1 and 2 (HSV-1 and HSV-2) are responsible for lifelong latent infections in humans, with periods of viral reactivation associated with recurring ulcerations in the orofacial and genital tracts. In immunosuppressed patients and neonates, HSV infections are associated with severe morbidity and, in some cases, even mortality. Today, acyclovir is the standard therapy for the management of HSV infections. However, the need for novel antiviral agents is apparent, since HSV isolates resistant to acyclovir therapy are frequently isolated in immunosuppressed patients. In this study, we assessed the anti-HSV activity of the antiadenoviral compounds 2-[2-(2-benzoylamino)-benzoylamino]benzoic acid (benzavir-1) and 2-[4,5-difluoro-2-(2-fluorobenzoylamino)-benzoylamino]benzoic acid (benzavir-2) on HSV-1 and HSV-2. Both compounds were active against both viruses. Importantly, benzavir-2 had potency similar to that of acyclovir against both HSV types, and it was active against clinical acyclovir-resistant HSV isolates."}]</w:instrText>
            </w:r>
            <w:r w:rsidRPr="00091ABB">
              <w:rPr>
                <w:rFonts w:ascii="Times New Roman" w:eastAsia="Times New Roman" w:hAnsi="Times New Roman" w:cs="Times New Roman"/>
                <w:bCs/>
                <w:color w:val="000000"/>
                <w:shd w:val="clear" w:color="auto" w:fill="F4F7F8"/>
              </w:rPr>
              <w:fldChar w:fldCharType="separate"/>
            </w:r>
            <w:r w:rsidRPr="00091ABB">
              <w:rPr>
                <w:rFonts w:ascii="Times New Roman" w:eastAsia="Times New Roman" w:hAnsi="Times New Roman" w:cs="Times New Roman"/>
                <w:bCs/>
                <w:color w:val="000000"/>
                <w:shd w:val="clear" w:color="auto" w:fill="F4F7F8"/>
              </w:rPr>
              <w:t>[4]</w:t>
            </w:r>
            <w:r w:rsidRPr="00091ABB">
              <w:rPr>
                <w:rFonts w:ascii="Times New Roman" w:eastAsia="Times New Roman" w:hAnsi="Times New Roman" w:cs="Times New Roman"/>
                <w:bCs/>
                <w:color w:val="000000"/>
                <w:shd w:val="clear" w:color="auto" w:fill="F4F7F8"/>
              </w:rPr>
              <w:fldChar w:fldCharType="end"/>
            </w:r>
          </w:p>
        </w:tc>
      </w:tr>
      <w:tr w:rsidR="00562046" w14:paraId="60288F33" w14:textId="77777777" w:rsidTr="00562046">
        <w:trPr>
          <w:trHeight w:val="360"/>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48EEF0A8"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5</w:t>
            </w:r>
          </w:p>
        </w:tc>
        <w:tc>
          <w:tcPr>
            <w:tcW w:w="2447"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119340EA" w14:textId="77777777" w:rsidR="00562046" w:rsidRPr="00325443" w:rsidRDefault="00562046" w:rsidP="00562046">
            <w:pPr>
              <w:jc w:val="center"/>
              <w:textAlignment w:val="baseline"/>
              <w:rPr>
                <w:rFonts w:ascii="Times New Roman" w:hAnsi="Times New Roman"/>
                <w:color w:val="000000"/>
              </w:rPr>
            </w:pPr>
            <w:proofErr w:type="spellStart"/>
            <w:r w:rsidRPr="00325443">
              <w:rPr>
                <w:rFonts w:ascii="Times New Roman" w:eastAsia="Times New Roman" w:hAnsi="Times New Roman" w:cs="Times New Roman"/>
                <w:color w:val="000000"/>
              </w:rPr>
              <w:t>Kaempferol</w:t>
            </w:r>
            <w:proofErr w:type="spellEnd"/>
          </w:p>
        </w:tc>
        <w:tc>
          <w:tcPr>
            <w:tcW w:w="218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592E095A"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5280863</w:t>
            </w:r>
          </w:p>
        </w:tc>
        <w:tc>
          <w:tcPr>
            <w:tcW w:w="2314" w:type="dxa"/>
            <w:tcBorders>
              <w:top w:val="single" w:sz="6" w:space="0" w:color="00000A"/>
              <w:left w:val="single" w:sz="6" w:space="0" w:color="00000A"/>
              <w:bottom w:val="single" w:sz="6" w:space="0" w:color="00000A"/>
              <w:right w:val="single" w:sz="6" w:space="0" w:color="00000A"/>
            </w:tcBorders>
          </w:tcPr>
          <w:p w14:paraId="18AA8121" w14:textId="780CBA96" w:rsidR="00562046" w:rsidRPr="00091ABB" w:rsidRDefault="00E57206" w:rsidP="00091ABB">
            <w:pPr>
              <w:jc w:val="center"/>
              <w:rPr>
                <w:rFonts w:ascii="Times New Roman" w:eastAsia="Times New Roman" w:hAnsi="Times New Roman" w:cs="Times New Roman"/>
                <w:bCs/>
                <w:color w:val="000000"/>
                <w:shd w:val="clear" w:color="auto" w:fill="F4F7F8"/>
              </w:rPr>
            </w:pPr>
            <w:r w:rsidRPr="00091ABB">
              <w:rPr>
                <w:rFonts w:ascii="Times New Roman" w:eastAsia="Times New Roman" w:hAnsi="Times New Roman" w:cs="Times New Roman"/>
                <w:bCs/>
                <w:color w:val="000000"/>
                <w:shd w:val="clear" w:color="auto" w:fill="F4F7F8"/>
              </w:rPr>
              <w:fldChar w:fldCharType="begin"/>
            </w:r>
            <w:r w:rsidRPr="00091ABB">
              <w:rPr>
                <w:rFonts w:ascii="Times New Roman" w:eastAsia="Times New Roman" w:hAnsi="Times New Roman" w:cs="Times New Roman"/>
                <w:bCs/>
                <w:color w:val="000000"/>
                <w:shd w:val="clear" w:color="auto" w:fill="F4F7F8"/>
              </w:rPr>
              <w:instrText>ADDIN F1000_CSL_CITATION&lt;~#@#~&gt;[{"title":"Anti-HSV-1 and HSV-2 Flavonoids and a New Kaempferol Triglycoside from the Medicinal Plant Kalanchoe daigremontiana.","id":"12629009","ArticleId":"726597031","page":"1707-1714","type":"article-journal","volume":"13","issue":"12","author":[{"family":"Ürményi","given":"Fernanda Gouvêa Gomes"},{"family":"Saraiva","given":"Georgia do Nascimento"},{"family":"Casanova","given":"Livia Marques"},{"family":"Matos","given":"Amanda Dos Santos"},{"family":"de Magalhães Camargo","given":"Luiza Maria"},{"family":"Romanos","given":"Maria Teresa Villela"},{"family":"Costa","given":"Sônia Soares"}],"issued":{"date-parts":[["2016","12"]]},"container-title":"Chemistry &amp; Biodiversity","container-title-short":"Chem. Biodivers.","journalAbbreviation":"Chem. Biodivers.","DOI":"10.1002/cbdv.201600127","PMID":"27472283","citation-label":"12629009","Abstract":"Kalanchoe daigremontiana (Crassulaceae) is a medicinal plant native to Madagascar. The aim of this study was to investigate the flavonoid content of an aqueous leaf extract from K. daigremontiana (Kd), and assess its antiherpetic potential. The major flavonoid, kaempferol 3-O-β-d-xylopyranosyl-(1 → 2)-α-l-rhamnopyranoside (1), was isolated from the AcOEt fraction (Kd-AC). The BuOH-soluble fraction afforded quercetin 3-O-β-d-xylopyranosyl-(1 → 2)-α-l-rhamnopyranoside (2) and the new kaempferol 3-O-β-d-xylopyranosyl-(1 → 2)-α-l-rhamnopyranoside-7-O-β-d-glucopyranoside (3), named daigremontrioside. The crude extract, Kd-AC fraction, flavonoids 1 and 2 were evaluated using acyclovir-sensitive strains of HSV-1 and HSV-2. Kd-AC was highly active against HSV-1 (EC50  = 0.97 μg/ml, SI &gt; 206.1) and HSV-2 (EC50  = 0.72 μg/ml, SI &gt; 277.7). Flavonoids 1 and 2 showed anti-HSV-1 (EC50  = 7.4 μg/ml; SI &gt; 27 and EC50  = 5.8 μg/ml; SI &gt; 8.6, respectively) and anti-HSV-2 (EC50  = 9.0 μg/ml; SI &gt; 22.2 and EC50  = 36.2 μg/ml; SI &gt; 5.5, respectively) activities, suggesting the contribution of additional substances to the antiviral activity.&lt;br&gt;&lt;br&gt;© 2016 Wiley-VHCA AG, Zurich, Switzerland.","CleanAbstract":"Kalanchoe daigremontiana (Crassulaceae) is a medicinal plant native to Madagascar. The aim of this study was to investigate the flavonoid content of an aqueous leaf extract from K. daigremontiana (Kd), and assess its antiherpetic potential. The major flavonoid, kaempferol 3-O-β-d-xylopyranosyl-(1 → 2)-α-l-rhamnopyranoside (1), was isolated from the AcOEt fraction (Kd-AC). The BuOH-soluble fraction afforded quercetin 3-O-β-d-xylopyranosyl-(1 → 2)-α-l-rhamnopyranoside (2) and the new kaempferol 3-O-β-d-xylopyranosyl-(1 → 2)-α-l-rhamnopyranoside-7-O-β-d-glucopyranoside (3), named daigremontrioside. The crude extract, Kd-AC fraction, flavonoids 1 and 2 were evaluated using acyclovir-sensitive strains of HSV-1 and HSV-2. Kd-AC was highly active against HSV-1 (EC50  = 0.97 μg/ml, SI &gt; 206.1) and HSV-2 (EC50  = 0.72 μg/ml, SI &gt; 277.7). Flavonoids 1 and 2 showed anti-HSV-1 (EC50  = 7.4 μg/ml; SI &gt; 27 and EC50  = 5.8 μg/ml; SI &gt; 8.6, respectively) and anti-HSV-2 (EC50  = 9.0 μg/ml; SI &gt; 22.2 and EC50  = 36.2 μg/ml; SI &gt; 5.5, respectively) activities, suggesting the contribution of additional substances to the antiviral activity.© 2016 Wiley-VHCA AG, Zurich, Switzerland."}]</w:instrText>
            </w:r>
            <w:r w:rsidRPr="00091ABB">
              <w:rPr>
                <w:rFonts w:ascii="Times New Roman" w:eastAsia="Times New Roman" w:hAnsi="Times New Roman" w:cs="Times New Roman"/>
                <w:bCs/>
                <w:color w:val="000000"/>
                <w:shd w:val="clear" w:color="auto" w:fill="F4F7F8"/>
              </w:rPr>
              <w:fldChar w:fldCharType="separate"/>
            </w:r>
            <w:r w:rsidRPr="00091ABB">
              <w:rPr>
                <w:rFonts w:ascii="Times New Roman" w:eastAsia="Times New Roman" w:hAnsi="Times New Roman" w:cs="Times New Roman"/>
                <w:bCs/>
                <w:color w:val="000000"/>
                <w:shd w:val="clear" w:color="auto" w:fill="F4F7F8"/>
              </w:rPr>
              <w:t>[5]</w:t>
            </w:r>
            <w:r w:rsidRPr="00091ABB">
              <w:rPr>
                <w:rFonts w:ascii="Times New Roman" w:eastAsia="Times New Roman" w:hAnsi="Times New Roman" w:cs="Times New Roman"/>
                <w:bCs/>
                <w:color w:val="000000"/>
                <w:shd w:val="clear" w:color="auto" w:fill="F4F7F8"/>
              </w:rPr>
              <w:fldChar w:fldCharType="end"/>
            </w:r>
          </w:p>
        </w:tc>
      </w:tr>
      <w:tr w:rsidR="00562046" w14:paraId="51631020" w14:textId="77777777" w:rsidTr="00562046">
        <w:trPr>
          <w:trHeight w:val="360"/>
        </w:trPr>
        <w:tc>
          <w:tcPr>
            <w:tcW w:w="60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0F0A8AEC"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6</w:t>
            </w:r>
          </w:p>
        </w:tc>
        <w:tc>
          <w:tcPr>
            <w:tcW w:w="2447"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228028B9" w14:textId="77777777" w:rsidR="00562046" w:rsidRPr="00325443" w:rsidRDefault="00562046" w:rsidP="00562046">
            <w:pPr>
              <w:jc w:val="center"/>
              <w:textAlignment w:val="baseline"/>
              <w:rPr>
                <w:rFonts w:ascii="Times New Roman" w:hAnsi="Times New Roman"/>
                <w:color w:val="000000"/>
              </w:rPr>
            </w:pPr>
            <w:proofErr w:type="spellStart"/>
            <w:r w:rsidRPr="00325443">
              <w:rPr>
                <w:rFonts w:ascii="Times New Roman" w:eastAsia="Times New Roman" w:hAnsi="Times New Roman" w:cs="Times New Roman"/>
                <w:color w:val="000000"/>
              </w:rPr>
              <w:t>Isorhamnetin</w:t>
            </w:r>
            <w:proofErr w:type="spellEnd"/>
          </w:p>
        </w:tc>
        <w:tc>
          <w:tcPr>
            <w:tcW w:w="2186" w:type="dxa"/>
            <w:tcBorders>
              <w:top w:val="single" w:sz="6" w:space="0" w:color="00000A"/>
              <w:left w:val="single" w:sz="6" w:space="0" w:color="00000A"/>
              <w:bottom w:val="single" w:sz="6" w:space="0" w:color="00000A"/>
              <w:right w:val="single" w:sz="6" w:space="0" w:color="00000A"/>
            </w:tcBorders>
            <w:shd w:val="clear" w:color="auto" w:fill="auto"/>
            <w:tcMar>
              <w:left w:w="14" w:type="dxa"/>
            </w:tcMar>
            <w:vAlign w:val="center"/>
          </w:tcPr>
          <w:p w14:paraId="29A70265"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5281654</w:t>
            </w:r>
          </w:p>
        </w:tc>
        <w:tc>
          <w:tcPr>
            <w:tcW w:w="2314" w:type="dxa"/>
            <w:tcBorders>
              <w:top w:val="single" w:sz="6" w:space="0" w:color="00000A"/>
              <w:left w:val="single" w:sz="6" w:space="0" w:color="00000A"/>
              <w:bottom w:val="single" w:sz="6" w:space="0" w:color="00000A"/>
              <w:right w:val="single" w:sz="6" w:space="0" w:color="00000A"/>
            </w:tcBorders>
          </w:tcPr>
          <w:p w14:paraId="1A768F45" w14:textId="268E3066" w:rsidR="00562046" w:rsidRPr="00091ABB" w:rsidRDefault="00E57206" w:rsidP="00091ABB">
            <w:pPr>
              <w:jc w:val="center"/>
              <w:rPr>
                <w:rFonts w:ascii="Times New Roman" w:eastAsia="Times New Roman" w:hAnsi="Times New Roman" w:cs="Times New Roman"/>
                <w:bCs/>
                <w:color w:val="000000"/>
                <w:shd w:val="clear" w:color="auto" w:fill="F4F7F8"/>
              </w:rPr>
            </w:pPr>
            <w:r w:rsidRPr="00091ABB">
              <w:rPr>
                <w:rFonts w:ascii="Times New Roman" w:eastAsia="Times New Roman" w:hAnsi="Times New Roman" w:cs="Times New Roman"/>
                <w:bCs/>
                <w:color w:val="000000"/>
                <w:shd w:val="clear" w:color="auto" w:fill="F4F7F8"/>
              </w:rPr>
              <w:fldChar w:fldCharType="begin"/>
            </w:r>
            <w:r w:rsidRPr="00091ABB">
              <w:rPr>
                <w:rFonts w:ascii="Times New Roman" w:eastAsia="Times New Roman" w:hAnsi="Times New Roman" w:cs="Times New Roman"/>
                <w:bCs/>
                <w:color w:val="000000"/>
                <w:shd w:val="clear" w:color="auto" w:fill="F4F7F8"/>
              </w:rPr>
              <w:instrText>ADDIN F1000_CSL_CITATION&lt;~#@#~&gt;[{"title":"Antiviral effect of methylated flavonol isorhamnetin against influenza.","id":"12629012","ArticleId":"725403779","page":"e0121610","type":"article-journal","volume":"10","issue":"3","author":[{"family":"Abdal Dayem","given":"Ahmed"},{"family":"Choi","given":"Hye Yeon"},{"family":"Kim","given":"Young Bong"},{"family":"Cho","given":"Ssang-Goo"}],"issued":{"date-parts":[["2015","3","25"]]},"container-title":"Plos One","container-title-short":"PLoS ONE","journalAbbreviation":"PLoS ONE","DOI":"10.1371/journal.pone.0121610","PMID":"25806943","PMCID":"PMC4373826","citation-label":"12629012","Abstract":"Influenza is an infectious respiratory disease with frequent seasonal epidemics that causes a high rate of mortality and morbidity in humans, poultry, and animals. Influenza is a serious economic concern due to the costly countermeasures it necessitates. In this study, we compared the antiviral activities of several flavonols and other flavonoids with similar, but distinct, hydroxyl or methyl substitution patterns at the 3, 3', and 4' positions of the 15-carbon flavonoid skeleton, and found that the strongest antiviral effect was induced by isorhamnetin. Similar to quercetin and kaempferol, isorhamnetin possesses a hydroxyl group on the C ring, but it has a 3'-methyl group on the B ring that is absent in quercetin and kaempferol. Co-treatment and pre-treatment with isorhamnetin produced a strong antiviral effect against the influenza virus A/PR/08/34(H1N1). However, isorhamnetin showed the most potent antiviral potency when administered after viral exposure (post-treatment method) in vitro. Isorhamnetin treatment reduced virus-induced ROS generation and blocked cytoplasmic lysosome acidification and the lipidation of microtubule associated protein1 light chain 3-B (LC3B). Oral administration of isorhamnetin in mice infected with the influenza A virus significantly decreased lung virus titer by 2 folds, increased the survival rate which ranged from 70-80%, and decreased body weight loss by 25%. In addition, isorhamnetin decreased the virus titer in ovo using embryonated chicken eggs. The structure-activity relationship (SAR) of isorhamnetin could explain its strong anti-influenza virus potency; the methyl group located on the B ring of isorhamnetin may contribute to its strong antiviral potency against influenza virus in comparison with other flavonoids. ","CleanAbstract":"Influenza is an infectious respiratory disease with frequent seasonal epidemics that causes a high rate of mortality and morbidity in humans, poultry, and animals. Influenza is a serious economic concern due to the costly countermeasures it necessitates. In this study, we compared the antiviral activities of several flavonols and other flavonoids with similar, but distinct, hydroxyl or methyl substitution patterns at the 3, 3', and 4' positions of the 15-carbon flavonoid skeleton, and found that the strongest antiviral effect was induced by isorhamnetin. Similar to quercetin and kaempferol, isorhamnetin possesses a hydroxyl group on the C ring, but it has a 3'-methyl group on the B ring that is absent in quercetin and kaempferol. Co-treatment and pre-treatment with isorhamnetin produced a strong antiviral effect against the influenza virus A/PR/08/34(H1N1). However, isorhamnetin showed the most potent antiviral potency when administered after viral exposure (post-treatment method) in vitro. Isorhamnetin treatment reduced virus-induced ROS generation and blocked cytoplasmic lysosome acidification and the lipidation of microtubule associated protein1 light chain 3-B (LC3B). Oral administration of isorhamnetin in mice infected with the influenza A virus significantly decreased lung virus titer by 2 folds, increased the survival rate which ranged from 70-80%, and decreased body weight loss by 25%. In addition, isorhamnetin decreased the virus titer in ovo using embryonated chicken eggs. The structure-activity relationship (SAR) of isorhamnetin could explain its strong anti-influenza virus potency; the methyl group located on the B ring of isorhamnetin may contribute to its strong antiviral potency against influenza virus in comparison with other flavonoids. "}]</w:instrText>
            </w:r>
            <w:r w:rsidRPr="00091ABB">
              <w:rPr>
                <w:rFonts w:ascii="Times New Roman" w:eastAsia="Times New Roman" w:hAnsi="Times New Roman" w:cs="Times New Roman"/>
                <w:bCs/>
                <w:color w:val="000000"/>
                <w:shd w:val="clear" w:color="auto" w:fill="F4F7F8"/>
              </w:rPr>
              <w:fldChar w:fldCharType="separate"/>
            </w:r>
            <w:r w:rsidRPr="00091ABB">
              <w:rPr>
                <w:rFonts w:ascii="Times New Roman" w:eastAsia="Times New Roman" w:hAnsi="Times New Roman" w:cs="Times New Roman"/>
                <w:bCs/>
                <w:color w:val="000000"/>
                <w:shd w:val="clear" w:color="auto" w:fill="F4F7F8"/>
              </w:rPr>
              <w:t>[6]</w:t>
            </w:r>
            <w:r w:rsidRPr="00091ABB">
              <w:rPr>
                <w:rFonts w:ascii="Times New Roman" w:eastAsia="Times New Roman" w:hAnsi="Times New Roman" w:cs="Times New Roman"/>
                <w:bCs/>
                <w:color w:val="000000"/>
                <w:shd w:val="clear" w:color="auto" w:fill="F4F7F8"/>
              </w:rPr>
              <w:fldChar w:fldCharType="end"/>
            </w:r>
          </w:p>
        </w:tc>
      </w:tr>
      <w:tr w:rsidR="00562046" w14:paraId="2ABD9390" w14:textId="77777777" w:rsidTr="00562046">
        <w:trPr>
          <w:trHeight w:val="360"/>
        </w:trPr>
        <w:tc>
          <w:tcPr>
            <w:tcW w:w="606" w:type="dxa"/>
            <w:tcBorders>
              <w:left w:val="single" w:sz="6" w:space="0" w:color="00000A"/>
              <w:bottom w:val="single" w:sz="6" w:space="0" w:color="00000A"/>
              <w:right w:val="single" w:sz="6" w:space="0" w:color="00000A"/>
            </w:tcBorders>
            <w:shd w:val="clear" w:color="auto" w:fill="auto"/>
            <w:tcMar>
              <w:left w:w="14" w:type="dxa"/>
            </w:tcMar>
            <w:vAlign w:val="center"/>
          </w:tcPr>
          <w:p w14:paraId="606E6F18" w14:textId="77777777" w:rsidR="00562046" w:rsidRDefault="00562046" w:rsidP="00562046">
            <w:pPr>
              <w:jc w:val="center"/>
              <w:textAlignment w:val="baseline"/>
              <w:rPr>
                <w:rFonts w:ascii="Times New Roman" w:hAnsi="Times New Roman"/>
              </w:rPr>
            </w:pPr>
            <w:r>
              <w:rPr>
                <w:rFonts w:ascii="Times New Roman" w:hAnsi="Times New Roman"/>
              </w:rPr>
              <w:t>7</w:t>
            </w:r>
          </w:p>
        </w:tc>
        <w:tc>
          <w:tcPr>
            <w:tcW w:w="2447" w:type="dxa"/>
            <w:tcBorders>
              <w:left w:val="single" w:sz="6" w:space="0" w:color="00000A"/>
              <w:bottom w:val="single" w:sz="6" w:space="0" w:color="00000A"/>
              <w:right w:val="single" w:sz="6" w:space="0" w:color="00000A"/>
            </w:tcBorders>
            <w:shd w:val="clear" w:color="auto" w:fill="auto"/>
            <w:tcMar>
              <w:left w:w="14" w:type="dxa"/>
            </w:tcMar>
            <w:vAlign w:val="center"/>
          </w:tcPr>
          <w:p w14:paraId="07A8D2E6" w14:textId="77777777" w:rsidR="00562046" w:rsidRPr="00325443" w:rsidRDefault="00562046" w:rsidP="00562046">
            <w:pPr>
              <w:jc w:val="center"/>
              <w:textAlignment w:val="baseline"/>
              <w:rPr>
                <w:rFonts w:ascii="Times New Roman" w:hAnsi="Times New Roman"/>
                <w:color w:val="000000"/>
              </w:rPr>
            </w:pPr>
            <w:proofErr w:type="spellStart"/>
            <w:r w:rsidRPr="00325443">
              <w:rPr>
                <w:rFonts w:ascii="Times New Roman" w:hAnsi="Times New Roman"/>
                <w:color w:val="000000"/>
              </w:rPr>
              <w:t>Rheinanthrone</w:t>
            </w:r>
            <w:proofErr w:type="spellEnd"/>
          </w:p>
        </w:tc>
        <w:tc>
          <w:tcPr>
            <w:tcW w:w="2186" w:type="dxa"/>
            <w:tcBorders>
              <w:left w:val="single" w:sz="6" w:space="0" w:color="00000A"/>
              <w:bottom w:val="single" w:sz="6" w:space="0" w:color="00000A"/>
              <w:right w:val="single" w:sz="6" w:space="0" w:color="00000A"/>
            </w:tcBorders>
            <w:shd w:val="clear" w:color="auto" w:fill="auto"/>
            <w:tcMar>
              <w:left w:w="14" w:type="dxa"/>
            </w:tcMar>
            <w:vAlign w:val="center"/>
          </w:tcPr>
          <w:p w14:paraId="72AF7999" w14:textId="77777777" w:rsidR="00562046" w:rsidRDefault="00562046" w:rsidP="00562046">
            <w:pPr>
              <w:jc w:val="center"/>
              <w:textAlignment w:val="baseline"/>
              <w:rPr>
                <w:rFonts w:ascii="Times New Roman" w:hAnsi="Times New Roman"/>
              </w:rPr>
            </w:pPr>
            <w:r>
              <w:rPr>
                <w:rFonts w:ascii="Times New Roman" w:hAnsi="Times New Roman"/>
              </w:rPr>
              <w:t>119396</w:t>
            </w:r>
          </w:p>
        </w:tc>
        <w:tc>
          <w:tcPr>
            <w:tcW w:w="2314" w:type="dxa"/>
            <w:tcBorders>
              <w:left w:val="single" w:sz="6" w:space="0" w:color="00000A"/>
              <w:bottom w:val="single" w:sz="6" w:space="0" w:color="00000A"/>
              <w:right w:val="single" w:sz="6" w:space="0" w:color="00000A"/>
            </w:tcBorders>
          </w:tcPr>
          <w:p w14:paraId="50D8DDB0" w14:textId="77777777" w:rsidR="00562046" w:rsidRDefault="00562046" w:rsidP="00562046">
            <w:pPr>
              <w:jc w:val="center"/>
              <w:rPr>
                <w:rFonts w:ascii="Times New Roman" w:hAnsi="Times New Roman"/>
              </w:rPr>
            </w:pPr>
            <w:r w:rsidRPr="00287381">
              <w:rPr>
                <w:rFonts w:ascii="Times New Roman" w:eastAsia="Times New Roman" w:hAnsi="Times New Roman" w:cs="Times New Roman"/>
              </w:rPr>
              <w:t>N/A</w:t>
            </w:r>
          </w:p>
        </w:tc>
      </w:tr>
      <w:tr w:rsidR="00562046" w14:paraId="5E94B647" w14:textId="77777777" w:rsidTr="00562046">
        <w:trPr>
          <w:trHeight w:val="360"/>
        </w:trPr>
        <w:tc>
          <w:tcPr>
            <w:tcW w:w="606" w:type="dxa"/>
            <w:tcBorders>
              <w:left w:val="single" w:sz="6" w:space="0" w:color="00000A"/>
              <w:bottom w:val="single" w:sz="6" w:space="0" w:color="00000A"/>
              <w:right w:val="single" w:sz="6" w:space="0" w:color="00000A"/>
            </w:tcBorders>
            <w:shd w:val="clear" w:color="auto" w:fill="auto"/>
            <w:tcMar>
              <w:left w:w="14" w:type="dxa"/>
            </w:tcMar>
            <w:vAlign w:val="center"/>
          </w:tcPr>
          <w:p w14:paraId="45D2C0FF" w14:textId="77777777" w:rsidR="00562046" w:rsidRDefault="00562046" w:rsidP="00562046">
            <w:pPr>
              <w:jc w:val="center"/>
              <w:textAlignment w:val="baseline"/>
              <w:rPr>
                <w:rFonts w:ascii="Times New Roman" w:hAnsi="Times New Roman"/>
              </w:rPr>
            </w:pPr>
            <w:r>
              <w:rPr>
                <w:rFonts w:ascii="Times New Roman" w:hAnsi="Times New Roman"/>
              </w:rPr>
              <w:t>8</w:t>
            </w:r>
          </w:p>
        </w:tc>
        <w:tc>
          <w:tcPr>
            <w:tcW w:w="2447" w:type="dxa"/>
            <w:tcBorders>
              <w:left w:val="single" w:sz="6" w:space="0" w:color="00000A"/>
              <w:bottom w:val="single" w:sz="6" w:space="0" w:color="00000A"/>
              <w:right w:val="single" w:sz="6" w:space="0" w:color="00000A"/>
            </w:tcBorders>
            <w:shd w:val="clear" w:color="auto" w:fill="auto"/>
            <w:tcMar>
              <w:left w:w="14" w:type="dxa"/>
            </w:tcMar>
            <w:vAlign w:val="center"/>
          </w:tcPr>
          <w:p w14:paraId="4142CDA1" w14:textId="77777777" w:rsidR="00562046" w:rsidRPr="00325443" w:rsidRDefault="00562046" w:rsidP="00562046">
            <w:pPr>
              <w:pStyle w:val="Heading1"/>
              <w:jc w:val="center"/>
              <w:textAlignment w:val="baseline"/>
              <w:rPr>
                <w:rFonts w:ascii="Times New Roman" w:hAnsi="Times New Roman"/>
                <w:color w:val="000000"/>
                <w:sz w:val="24"/>
                <w:szCs w:val="24"/>
              </w:rPr>
            </w:pPr>
            <w:r w:rsidRPr="00325443">
              <w:rPr>
                <w:rFonts w:ascii="Times New Roman" w:hAnsi="Times New Roman"/>
                <w:color w:val="000000"/>
                <w:sz w:val="24"/>
                <w:szCs w:val="24"/>
              </w:rPr>
              <w:t>Aloe-emodin-8-O-beta-D-glucopyranoside</w:t>
            </w:r>
          </w:p>
        </w:tc>
        <w:tc>
          <w:tcPr>
            <w:tcW w:w="2186" w:type="dxa"/>
            <w:tcBorders>
              <w:left w:val="single" w:sz="6" w:space="0" w:color="00000A"/>
              <w:bottom w:val="single" w:sz="6" w:space="0" w:color="00000A"/>
              <w:right w:val="single" w:sz="6" w:space="0" w:color="00000A"/>
            </w:tcBorders>
            <w:shd w:val="clear" w:color="auto" w:fill="auto"/>
            <w:tcMar>
              <w:left w:w="14" w:type="dxa"/>
            </w:tcMar>
            <w:vAlign w:val="center"/>
          </w:tcPr>
          <w:p w14:paraId="3AD76EE8" w14:textId="77777777" w:rsidR="00562046" w:rsidRDefault="00562046" w:rsidP="00562046">
            <w:pPr>
              <w:jc w:val="center"/>
              <w:textAlignment w:val="baseline"/>
              <w:rPr>
                <w:rFonts w:ascii="Times New Roman" w:hAnsi="Times New Roman"/>
                <w:color w:val="212121"/>
              </w:rPr>
            </w:pPr>
            <w:r>
              <w:rPr>
                <w:rFonts w:ascii="Times New Roman" w:eastAsia="Times New Roman" w:hAnsi="Times New Roman" w:cs="Times New Roman"/>
                <w:color w:val="212121"/>
              </w:rPr>
              <w:t>5317644</w:t>
            </w:r>
          </w:p>
        </w:tc>
        <w:tc>
          <w:tcPr>
            <w:tcW w:w="2314" w:type="dxa"/>
            <w:tcBorders>
              <w:left w:val="single" w:sz="6" w:space="0" w:color="00000A"/>
              <w:bottom w:val="single" w:sz="6" w:space="0" w:color="00000A"/>
              <w:right w:val="single" w:sz="6" w:space="0" w:color="00000A"/>
            </w:tcBorders>
          </w:tcPr>
          <w:p w14:paraId="75C696D1" w14:textId="77777777" w:rsidR="00562046" w:rsidRDefault="00562046" w:rsidP="00562046">
            <w:pPr>
              <w:jc w:val="center"/>
              <w:textAlignment w:val="baseline"/>
              <w:rPr>
                <w:rFonts w:ascii="Times New Roman" w:eastAsia="Times New Roman" w:hAnsi="Times New Roman" w:cs="Times New Roman"/>
                <w:color w:val="212121"/>
              </w:rPr>
            </w:pPr>
            <w:r w:rsidRPr="00287381">
              <w:rPr>
                <w:rFonts w:ascii="Times New Roman" w:eastAsia="Times New Roman" w:hAnsi="Times New Roman" w:cs="Times New Roman"/>
              </w:rPr>
              <w:t>N/A</w:t>
            </w:r>
          </w:p>
        </w:tc>
      </w:tr>
      <w:tr w:rsidR="00562046" w14:paraId="08D86393" w14:textId="77777777" w:rsidTr="00562046">
        <w:trPr>
          <w:trHeight w:val="360"/>
        </w:trPr>
        <w:tc>
          <w:tcPr>
            <w:tcW w:w="606" w:type="dxa"/>
            <w:tcBorders>
              <w:left w:val="single" w:sz="6" w:space="0" w:color="00000A"/>
              <w:bottom w:val="single" w:sz="6" w:space="0" w:color="00000A"/>
              <w:right w:val="single" w:sz="6" w:space="0" w:color="00000A"/>
            </w:tcBorders>
            <w:shd w:val="clear" w:color="auto" w:fill="auto"/>
            <w:tcMar>
              <w:left w:w="14" w:type="dxa"/>
            </w:tcMar>
            <w:vAlign w:val="center"/>
          </w:tcPr>
          <w:p w14:paraId="0A21A06E" w14:textId="77777777" w:rsidR="00562046" w:rsidRDefault="00562046" w:rsidP="00562046">
            <w:pPr>
              <w:jc w:val="center"/>
              <w:textAlignment w:val="baseline"/>
              <w:rPr>
                <w:rFonts w:ascii="Times New Roman" w:hAnsi="Times New Roman"/>
              </w:rPr>
            </w:pPr>
            <w:r>
              <w:rPr>
                <w:rFonts w:ascii="Times New Roman" w:hAnsi="Times New Roman"/>
              </w:rPr>
              <w:t>9</w:t>
            </w:r>
          </w:p>
        </w:tc>
        <w:tc>
          <w:tcPr>
            <w:tcW w:w="2447" w:type="dxa"/>
            <w:tcBorders>
              <w:left w:val="single" w:sz="6" w:space="0" w:color="00000A"/>
              <w:bottom w:val="single" w:sz="6" w:space="0" w:color="00000A"/>
              <w:right w:val="single" w:sz="6" w:space="0" w:color="00000A"/>
            </w:tcBorders>
            <w:shd w:val="clear" w:color="auto" w:fill="auto"/>
            <w:tcMar>
              <w:left w:w="14" w:type="dxa"/>
            </w:tcMar>
            <w:vAlign w:val="center"/>
          </w:tcPr>
          <w:p w14:paraId="47145F3F" w14:textId="77777777" w:rsidR="00562046" w:rsidRPr="00325443" w:rsidRDefault="00562046" w:rsidP="00562046">
            <w:pPr>
              <w:jc w:val="center"/>
              <w:textAlignment w:val="baseline"/>
              <w:rPr>
                <w:rFonts w:ascii="Times New Roman" w:hAnsi="Times New Roman"/>
                <w:color w:val="000000"/>
              </w:rPr>
            </w:pPr>
            <w:r w:rsidRPr="00325443">
              <w:rPr>
                <w:rFonts w:ascii="Times New Roman" w:hAnsi="Times New Roman"/>
                <w:color w:val="000000"/>
              </w:rPr>
              <w:t>Salicylic acid</w:t>
            </w:r>
          </w:p>
        </w:tc>
        <w:tc>
          <w:tcPr>
            <w:tcW w:w="2186" w:type="dxa"/>
            <w:tcBorders>
              <w:left w:val="single" w:sz="6" w:space="0" w:color="00000A"/>
              <w:bottom w:val="single" w:sz="6" w:space="0" w:color="00000A"/>
              <w:right w:val="single" w:sz="6" w:space="0" w:color="00000A"/>
            </w:tcBorders>
            <w:shd w:val="clear" w:color="auto" w:fill="auto"/>
            <w:tcMar>
              <w:left w:w="14" w:type="dxa"/>
            </w:tcMar>
            <w:vAlign w:val="center"/>
          </w:tcPr>
          <w:p w14:paraId="7396D212"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338</w:t>
            </w:r>
          </w:p>
        </w:tc>
        <w:tc>
          <w:tcPr>
            <w:tcW w:w="2314" w:type="dxa"/>
            <w:tcBorders>
              <w:left w:val="single" w:sz="6" w:space="0" w:color="00000A"/>
              <w:bottom w:val="single" w:sz="6" w:space="0" w:color="00000A"/>
              <w:right w:val="single" w:sz="6" w:space="0" w:color="00000A"/>
            </w:tcBorders>
          </w:tcPr>
          <w:p w14:paraId="7C05E2BD" w14:textId="77777777" w:rsidR="00562046" w:rsidRDefault="00562046" w:rsidP="00562046">
            <w:pPr>
              <w:jc w:val="center"/>
              <w:textAlignment w:val="baseline"/>
              <w:rPr>
                <w:rFonts w:ascii="Times New Roman" w:eastAsia="Times New Roman" w:hAnsi="Times New Roman" w:cs="Times New Roman"/>
              </w:rPr>
            </w:pPr>
            <w:r w:rsidRPr="00287381">
              <w:rPr>
                <w:rFonts w:ascii="Times New Roman" w:eastAsia="Times New Roman" w:hAnsi="Times New Roman" w:cs="Times New Roman"/>
              </w:rPr>
              <w:t>N/A</w:t>
            </w:r>
          </w:p>
        </w:tc>
      </w:tr>
      <w:tr w:rsidR="00562046" w14:paraId="6A864C5B" w14:textId="77777777" w:rsidTr="00562046">
        <w:trPr>
          <w:trHeight w:val="360"/>
        </w:trPr>
        <w:tc>
          <w:tcPr>
            <w:tcW w:w="606" w:type="dxa"/>
            <w:tcBorders>
              <w:left w:val="single" w:sz="6" w:space="0" w:color="00000A"/>
              <w:bottom w:val="single" w:sz="6" w:space="0" w:color="00000A"/>
              <w:right w:val="single" w:sz="6" w:space="0" w:color="00000A"/>
            </w:tcBorders>
            <w:shd w:val="clear" w:color="auto" w:fill="auto"/>
            <w:tcMar>
              <w:left w:w="14" w:type="dxa"/>
            </w:tcMar>
            <w:vAlign w:val="center"/>
          </w:tcPr>
          <w:p w14:paraId="7070BC11" w14:textId="77777777" w:rsidR="00562046" w:rsidRDefault="00562046" w:rsidP="00562046">
            <w:pPr>
              <w:jc w:val="center"/>
              <w:textAlignment w:val="baseline"/>
              <w:rPr>
                <w:rFonts w:ascii="Times New Roman" w:hAnsi="Times New Roman"/>
              </w:rPr>
            </w:pPr>
            <w:r>
              <w:rPr>
                <w:rFonts w:ascii="Times New Roman" w:hAnsi="Times New Roman"/>
              </w:rPr>
              <w:t>11</w:t>
            </w:r>
          </w:p>
        </w:tc>
        <w:tc>
          <w:tcPr>
            <w:tcW w:w="2447" w:type="dxa"/>
            <w:tcBorders>
              <w:left w:val="single" w:sz="6" w:space="0" w:color="00000A"/>
              <w:bottom w:val="single" w:sz="6" w:space="0" w:color="00000A"/>
              <w:right w:val="single" w:sz="6" w:space="0" w:color="00000A"/>
            </w:tcBorders>
            <w:shd w:val="clear" w:color="auto" w:fill="auto"/>
            <w:tcMar>
              <w:left w:w="14" w:type="dxa"/>
            </w:tcMar>
            <w:vAlign w:val="center"/>
          </w:tcPr>
          <w:p w14:paraId="2FEBC4D3" w14:textId="77777777" w:rsidR="00562046" w:rsidRPr="00325443" w:rsidRDefault="00562046" w:rsidP="00562046">
            <w:pPr>
              <w:jc w:val="center"/>
              <w:textAlignment w:val="baseline"/>
              <w:rPr>
                <w:rFonts w:ascii="Times New Roman" w:hAnsi="Times New Roman"/>
                <w:color w:val="000000"/>
              </w:rPr>
            </w:pPr>
            <w:proofErr w:type="spellStart"/>
            <w:r w:rsidRPr="00325443">
              <w:rPr>
                <w:rFonts w:ascii="Times New Roman" w:eastAsia="Times New Roman" w:hAnsi="Times New Roman" w:cs="Times New Roman"/>
                <w:color w:val="000000"/>
              </w:rPr>
              <w:t>Syringic</w:t>
            </w:r>
            <w:proofErr w:type="spellEnd"/>
            <w:r w:rsidRPr="00325443">
              <w:rPr>
                <w:rFonts w:ascii="Times New Roman" w:eastAsia="Times New Roman" w:hAnsi="Times New Roman" w:cs="Times New Roman"/>
                <w:color w:val="000000"/>
              </w:rPr>
              <w:t xml:space="preserve"> acid</w:t>
            </w:r>
          </w:p>
        </w:tc>
        <w:tc>
          <w:tcPr>
            <w:tcW w:w="2186" w:type="dxa"/>
            <w:tcBorders>
              <w:left w:val="single" w:sz="6" w:space="0" w:color="00000A"/>
              <w:bottom w:val="single" w:sz="6" w:space="0" w:color="00000A"/>
              <w:right w:val="single" w:sz="6" w:space="0" w:color="00000A"/>
            </w:tcBorders>
            <w:shd w:val="clear" w:color="auto" w:fill="auto"/>
            <w:tcMar>
              <w:left w:w="14" w:type="dxa"/>
            </w:tcMar>
            <w:vAlign w:val="center"/>
          </w:tcPr>
          <w:p w14:paraId="02EA94D1" w14:textId="77777777" w:rsidR="00562046" w:rsidRDefault="00562046" w:rsidP="00562046">
            <w:pPr>
              <w:jc w:val="center"/>
              <w:textAlignment w:val="baseline"/>
              <w:rPr>
                <w:rFonts w:ascii="Times New Roman" w:hAnsi="Times New Roman"/>
              </w:rPr>
            </w:pPr>
            <w:r>
              <w:rPr>
                <w:rFonts w:ascii="Times New Roman" w:eastAsia="Times New Roman" w:hAnsi="Times New Roman" w:cs="Times New Roman"/>
              </w:rPr>
              <w:t>10742</w:t>
            </w:r>
          </w:p>
        </w:tc>
        <w:tc>
          <w:tcPr>
            <w:tcW w:w="2314" w:type="dxa"/>
            <w:tcBorders>
              <w:left w:val="single" w:sz="6" w:space="0" w:color="00000A"/>
              <w:bottom w:val="single" w:sz="6" w:space="0" w:color="00000A"/>
              <w:right w:val="single" w:sz="6" w:space="0" w:color="00000A"/>
            </w:tcBorders>
          </w:tcPr>
          <w:p w14:paraId="7C5BD84F" w14:textId="77777777" w:rsidR="00562046" w:rsidRDefault="00562046" w:rsidP="00562046">
            <w:pPr>
              <w:jc w:val="center"/>
              <w:textAlignment w:val="baseline"/>
              <w:rPr>
                <w:rFonts w:ascii="Times New Roman" w:eastAsia="Times New Roman" w:hAnsi="Times New Roman" w:cs="Times New Roman"/>
              </w:rPr>
            </w:pPr>
            <w:r w:rsidRPr="00287381">
              <w:rPr>
                <w:rFonts w:ascii="Times New Roman" w:eastAsia="Times New Roman" w:hAnsi="Times New Roman" w:cs="Times New Roman"/>
              </w:rPr>
              <w:t>N/A</w:t>
            </w:r>
          </w:p>
        </w:tc>
      </w:tr>
      <w:tr w:rsidR="00562046" w14:paraId="3AF40853" w14:textId="77777777" w:rsidTr="00562046">
        <w:trPr>
          <w:trHeight w:val="360"/>
        </w:trPr>
        <w:tc>
          <w:tcPr>
            <w:tcW w:w="606" w:type="dxa"/>
            <w:tcBorders>
              <w:left w:val="single" w:sz="6" w:space="0" w:color="00000A"/>
              <w:bottom w:val="single" w:sz="6" w:space="0" w:color="00000A"/>
              <w:right w:val="single" w:sz="6" w:space="0" w:color="00000A"/>
            </w:tcBorders>
            <w:shd w:val="clear" w:color="auto" w:fill="auto"/>
            <w:tcMar>
              <w:left w:w="14" w:type="dxa"/>
            </w:tcMar>
            <w:vAlign w:val="center"/>
          </w:tcPr>
          <w:p w14:paraId="3D2C20FE" w14:textId="77777777" w:rsidR="00562046" w:rsidRDefault="00562046" w:rsidP="00562046">
            <w:pPr>
              <w:jc w:val="center"/>
              <w:textAlignment w:val="baseline"/>
              <w:rPr>
                <w:rFonts w:ascii="Times New Roman" w:hAnsi="Times New Roman"/>
              </w:rPr>
            </w:pPr>
            <w:r>
              <w:rPr>
                <w:rFonts w:ascii="Times New Roman" w:hAnsi="Times New Roman"/>
              </w:rPr>
              <w:t>12</w:t>
            </w:r>
          </w:p>
        </w:tc>
        <w:tc>
          <w:tcPr>
            <w:tcW w:w="2447" w:type="dxa"/>
            <w:tcBorders>
              <w:left w:val="single" w:sz="6" w:space="0" w:color="00000A"/>
              <w:bottom w:val="single" w:sz="6" w:space="0" w:color="00000A"/>
              <w:right w:val="single" w:sz="6" w:space="0" w:color="00000A"/>
            </w:tcBorders>
            <w:shd w:val="clear" w:color="auto" w:fill="auto"/>
            <w:tcMar>
              <w:left w:w="14" w:type="dxa"/>
            </w:tcMar>
            <w:vAlign w:val="center"/>
          </w:tcPr>
          <w:p w14:paraId="60FA7342" w14:textId="77777777" w:rsidR="00562046" w:rsidRPr="00325443" w:rsidRDefault="00562046" w:rsidP="00562046">
            <w:pPr>
              <w:jc w:val="center"/>
              <w:textAlignment w:val="baseline"/>
              <w:rPr>
                <w:rFonts w:ascii="Times New Roman" w:hAnsi="Times New Roman"/>
                <w:color w:val="000000"/>
              </w:rPr>
            </w:pPr>
            <w:proofErr w:type="spellStart"/>
            <w:r w:rsidRPr="00325443">
              <w:rPr>
                <w:rFonts w:ascii="Times New Roman" w:hAnsi="Times New Roman"/>
                <w:color w:val="000000"/>
              </w:rPr>
              <w:t>Sennoside</w:t>
            </w:r>
            <w:proofErr w:type="spellEnd"/>
            <w:r w:rsidRPr="00325443">
              <w:rPr>
                <w:rFonts w:ascii="Times New Roman" w:hAnsi="Times New Roman"/>
                <w:color w:val="000000"/>
              </w:rPr>
              <w:t xml:space="preserve"> A</w:t>
            </w:r>
          </w:p>
        </w:tc>
        <w:tc>
          <w:tcPr>
            <w:tcW w:w="2186" w:type="dxa"/>
            <w:tcBorders>
              <w:left w:val="single" w:sz="6" w:space="0" w:color="00000A"/>
              <w:bottom w:val="single" w:sz="6" w:space="0" w:color="00000A"/>
              <w:right w:val="single" w:sz="6" w:space="0" w:color="00000A"/>
            </w:tcBorders>
            <w:shd w:val="clear" w:color="auto" w:fill="auto"/>
            <w:tcMar>
              <w:left w:w="14" w:type="dxa"/>
            </w:tcMar>
            <w:vAlign w:val="center"/>
          </w:tcPr>
          <w:p w14:paraId="032493A8" w14:textId="77777777" w:rsidR="00562046" w:rsidRDefault="00562046" w:rsidP="00562046">
            <w:pPr>
              <w:jc w:val="center"/>
              <w:textAlignment w:val="baseline"/>
              <w:rPr>
                <w:rFonts w:ascii="Times New Roman" w:hAnsi="Times New Roman"/>
              </w:rPr>
            </w:pPr>
            <w:r>
              <w:rPr>
                <w:rFonts w:ascii="Times New Roman" w:hAnsi="Times New Roman"/>
              </w:rPr>
              <w:t>73111</w:t>
            </w:r>
          </w:p>
        </w:tc>
        <w:tc>
          <w:tcPr>
            <w:tcW w:w="2314" w:type="dxa"/>
            <w:tcBorders>
              <w:left w:val="single" w:sz="6" w:space="0" w:color="00000A"/>
              <w:bottom w:val="single" w:sz="6" w:space="0" w:color="00000A"/>
              <w:right w:val="single" w:sz="6" w:space="0" w:color="00000A"/>
            </w:tcBorders>
          </w:tcPr>
          <w:p w14:paraId="2D413DFE" w14:textId="77777777" w:rsidR="00562046" w:rsidRDefault="00562046" w:rsidP="00562046">
            <w:pPr>
              <w:jc w:val="center"/>
              <w:textAlignment w:val="baseline"/>
              <w:rPr>
                <w:rFonts w:ascii="Times New Roman" w:hAnsi="Times New Roman"/>
              </w:rPr>
            </w:pPr>
            <w:r w:rsidRPr="00287381">
              <w:rPr>
                <w:rFonts w:ascii="Times New Roman" w:eastAsia="Times New Roman" w:hAnsi="Times New Roman" w:cs="Times New Roman"/>
              </w:rPr>
              <w:t>N/A</w:t>
            </w:r>
          </w:p>
        </w:tc>
      </w:tr>
      <w:tr w:rsidR="00562046" w14:paraId="436D969B" w14:textId="77777777" w:rsidTr="00562046">
        <w:trPr>
          <w:trHeight w:val="360"/>
        </w:trPr>
        <w:tc>
          <w:tcPr>
            <w:tcW w:w="606" w:type="dxa"/>
            <w:tcBorders>
              <w:left w:val="single" w:sz="6" w:space="0" w:color="00000A"/>
              <w:bottom w:val="single" w:sz="6" w:space="0" w:color="00000A"/>
              <w:right w:val="single" w:sz="6" w:space="0" w:color="00000A"/>
            </w:tcBorders>
            <w:shd w:val="clear" w:color="auto" w:fill="auto"/>
            <w:tcMar>
              <w:left w:w="14" w:type="dxa"/>
            </w:tcMar>
            <w:vAlign w:val="center"/>
          </w:tcPr>
          <w:p w14:paraId="3EF03AD5" w14:textId="77777777" w:rsidR="00562046" w:rsidRDefault="00562046" w:rsidP="00562046">
            <w:pPr>
              <w:jc w:val="center"/>
              <w:textAlignment w:val="baseline"/>
              <w:rPr>
                <w:rFonts w:ascii="Times New Roman" w:hAnsi="Times New Roman"/>
              </w:rPr>
            </w:pPr>
            <w:r>
              <w:rPr>
                <w:rFonts w:ascii="Times New Roman" w:hAnsi="Times New Roman"/>
              </w:rPr>
              <w:t>13</w:t>
            </w:r>
          </w:p>
        </w:tc>
        <w:tc>
          <w:tcPr>
            <w:tcW w:w="2447" w:type="dxa"/>
            <w:tcBorders>
              <w:left w:val="single" w:sz="6" w:space="0" w:color="00000A"/>
              <w:bottom w:val="single" w:sz="6" w:space="0" w:color="00000A"/>
              <w:right w:val="single" w:sz="6" w:space="0" w:color="00000A"/>
            </w:tcBorders>
            <w:shd w:val="clear" w:color="auto" w:fill="auto"/>
            <w:tcMar>
              <w:left w:w="14" w:type="dxa"/>
            </w:tcMar>
            <w:vAlign w:val="center"/>
          </w:tcPr>
          <w:p w14:paraId="210DDFB0" w14:textId="77777777" w:rsidR="00562046" w:rsidRPr="00325443" w:rsidRDefault="00562046" w:rsidP="00562046">
            <w:pPr>
              <w:jc w:val="center"/>
              <w:textAlignment w:val="baseline"/>
              <w:rPr>
                <w:rFonts w:ascii="Times New Roman" w:hAnsi="Times New Roman"/>
                <w:color w:val="000000"/>
              </w:rPr>
            </w:pPr>
            <w:proofErr w:type="spellStart"/>
            <w:r w:rsidRPr="00325443">
              <w:rPr>
                <w:rFonts w:ascii="Times New Roman" w:hAnsi="Times New Roman"/>
                <w:color w:val="000000"/>
              </w:rPr>
              <w:t>Sennoside</w:t>
            </w:r>
            <w:proofErr w:type="spellEnd"/>
            <w:r w:rsidRPr="00325443">
              <w:rPr>
                <w:rFonts w:ascii="Times New Roman" w:hAnsi="Times New Roman"/>
                <w:color w:val="000000"/>
              </w:rPr>
              <w:t xml:space="preserve"> B</w:t>
            </w:r>
          </w:p>
        </w:tc>
        <w:tc>
          <w:tcPr>
            <w:tcW w:w="2186" w:type="dxa"/>
            <w:tcBorders>
              <w:left w:val="single" w:sz="6" w:space="0" w:color="00000A"/>
              <w:bottom w:val="single" w:sz="6" w:space="0" w:color="00000A"/>
              <w:right w:val="single" w:sz="6" w:space="0" w:color="00000A"/>
            </w:tcBorders>
            <w:shd w:val="clear" w:color="auto" w:fill="auto"/>
            <w:tcMar>
              <w:left w:w="14" w:type="dxa"/>
            </w:tcMar>
            <w:vAlign w:val="center"/>
          </w:tcPr>
          <w:p w14:paraId="2C4B2267" w14:textId="77777777" w:rsidR="00562046" w:rsidRDefault="00562046" w:rsidP="00562046">
            <w:pPr>
              <w:jc w:val="center"/>
              <w:textAlignment w:val="baseline"/>
              <w:rPr>
                <w:rFonts w:ascii="Times New Roman" w:hAnsi="Times New Roman"/>
              </w:rPr>
            </w:pPr>
            <w:r>
              <w:rPr>
                <w:rFonts w:ascii="Times New Roman" w:hAnsi="Times New Roman"/>
              </w:rPr>
              <w:t>91440</w:t>
            </w:r>
          </w:p>
        </w:tc>
        <w:tc>
          <w:tcPr>
            <w:tcW w:w="2314" w:type="dxa"/>
            <w:tcBorders>
              <w:left w:val="single" w:sz="6" w:space="0" w:color="00000A"/>
              <w:bottom w:val="single" w:sz="6" w:space="0" w:color="00000A"/>
              <w:right w:val="single" w:sz="6" w:space="0" w:color="00000A"/>
            </w:tcBorders>
          </w:tcPr>
          <w:p w14:paraId="59739D7C" w14:textId="77777777" w:rsidR="00562046" w:rsidRDefault="00562046" w:rsidP="00562046">
            <w:pPr>
              <w:jc w:val="center"/>
              <w:textAlignment w:val="baseline"/>
              <w:rPr>
                <w:rFonts w:ascii="Times New Roman" w:hAnsi="Times New Roman"/>
              </w:rPr>
            </w:pPr>
            <w:r w:rsidRPr="00287381">
              <w:rPr>
                <w:rFonts w:ascii="Times New Roman" w:eastAsia="Times New Roman" w:hAnsi="Times New Roman" w:cs="Times New Roman"/>
              </w:rPr>
              <w:t>N/A</w:t>
            </w:r>
          </w:p>
        </w:tc>
      </w:tr>
      <w:tr w:rsidR="00562046" w14:paraId="40CFCDCC" w14:textId="77777777" w:rsidTr="00562046">
        <w:trPr>
          <w:trHeight w:val="360"/>
        </w:trPr>
        <w:tc>
          <w:tcPr>
            <w:tcW w:w="606" w:type="dxa"/>
            <w:tcBorders>
              <w:left w:val="single" w:sz="6" w:space="0" w:color="00000A"/>
              <w:bottom w:val="single" w:sz="6" w:space="0" w:color="00000A"/>
              <w:right w:val="single" w:sz="6" w:space="0" w:color="00000A"/>
            </w:tcBorders>
            <w:shd w:val="clear" w:color="auto" w:fill="auto"/>
            <w:tcMar>
              <w:left w:w="14" w:type="dxa"/>
            </w:tcMar>
            <w:vAlign w:val="center"/>
          </w:tcPr>
          <w:p w14:paraId="5E379C1D" w14:textId="77777777" w:rsidR="00562046" w:rsidRDefault="00562046" w:rsidP="00562046">
            <w:pPr>
              <w:jc w:val="center"/>
              <w:textAlignment w:val="baseline"/>
              <w:rPr>
                <w:rFonts w:ascii="Times New Roman" w:hAnsi="Times New Roman"/>
              </w:rPr>
            </w:pPr>
            <w:r>
              <w:rPr>
                <w:rFonts w:ascii="Times New Roman" w:hAnsi="Times New Roman"/>
              </w:rPr>
              <w:t>14</w:t>
            </w:r>
          </w:p>
        </w:tc>
        <w:tc>
          <w:tcPr>
            <w:tcW w:w="2447" w:type="dxa"/>
            <w:tcBorders>
              <w:left w:val="single" w:sz="6" w:space="0" w:color="00000A"/>
              <w:bottom w:val="single" w:sz="6" w:space="0" w:color="00000A"/>
              <w:right w:val="single" w:sz="6" w:space="0" w:color="00000A"/>
            </w:tcBorders>
            <w:shd w:val="clear" w:color="auto" w:fill="auto"/>
            <w:tcMar>
              <w:left w:w="14" w:type="dxa"/>
            </w:tcMar>
            <w:vAlign w:val="center"/>
          </w:tcPr>
          <w:p w14:paraId="166CDC47" w14:textId="77777777" w:rsidR="00562046" w:rsidRPr="00325443" w:rsidRDefault="00562046" w:rsidP="00562046">
            <w:pPr>
              <w:jc w:val="center"/>
              <w:textAlignment w:val="baseline"/>
              <w:rPr>
                <w:rFonts w:ascii="Times New Roman" w:hAnsi="Times New Roman"/>
                <w:color w:val="000000"/>
              </w:rPr>
            </w:pPr>
            <w:proofErr w:type="spellStart"/>
            <w:r w:rsidRPr="00325443">
              <w:rPr>
                <w:rFonts w:ascii="Times New Roman" w:hAnsi="Times New Roman"/>
                <w:color w:val="000000"/>
              </w:rPr>
              <w:t>Sennoside</w:t>
            </w:r>
            <w:proofErr w:type="spellEnd"/>
            <w:r w:rsidRPr="00325443">
              <w:rPr>
                <w:rFonts w:ascii="Times New Roman" w:hAnsi="Times New Roman"/>
                <w:color w:val="000000"/>
              </w:rPr>
              <w:t xml:space="preserve"> C</w:t>
            </w:r>
          </w:p>
        </w:tc>
        <w:tc>
          <w:tcPr>
            <w:tcW w:w="2186" w:type="dxa"/>
            <w:tcBorders>
              <w:left w:val="single" w:sz="6" w:space="0" w:color="00000A"/>
              <w:bottom w:val="single" w:sz="6" w:space="0" w:color="00000A"/>
              <w:right w:val="single" w:sz="6" w:space="0" w:color="00000A"/>
            </w:tcBorders>
            <w:shd w:val="clear" w:color="auto" w:fill="auto"/>
            <w:tcMar>
              <w:left w:w="14" w:type="dxa"/>
            </w:tcMar>
            <w:vAlign w:val="center"/>
          </w:tcPr>
          <w:p w14:paraId="694B5E2A" w14:textId="77777777" w:rsidR="00562046" w:rsidRDefault="00562046" w:rsidP="00562046">
            <w:pPr>
              <w:jc w:val="center"/>
              <w:textAlignment w:val="baseline"/>
              <w:rPr>
                <w:rFonts w:ascii="Times New Roman" w:hAnsi="Times New Roman"/>
                <w:color w:val="212121"/>
              </w:rPr>
            </w:pPr>
            <w:r>
              <w:rPr>
                <w:rFonts w:ascii="Times New Roman" w:hAnsi="Times New Roman"/>
                <w:color w:val="212121"/>
              </w:rPr>
              <w:t>46173829</w:t>
            </w:r>
          </w:p>
        </w:tc>
        <w:tc>
          <w:tcPr>
            <w:tcW w:w="2314" w:type="dxa"/>
            <w:tcBorders>
              <w:left w:val="single" w:sz="6" w:space="0" w:color="00000A"/>
              <w:bottom w:val="single" w:sz="6" w:space="0" w:color="00000A"/>
              <w:right w:val="single" w:sz="6" w:space="0" w:color="00000A"/>
            </w:tcBorders>
          </w:tcPr>
          <w:p w14:paraId="0B687150" w14:textId="77777777" w:rsidR="00562046" w:rsidRDefault="00562046" w:rsidP="00562046">
            <w:pPr>
              <w:jc w:val="center"/>
              <w:textAlignment w:val="baseline"/>
              <w:rPr>
                <w:rFonts w:ascii="Times New Roman" w:hAnsi="Times New Roman"/>
                <w:color w:val="212121"/>
              </w:rPr>
            </w:pPr>
            <w:r w:rsidRPr="00287381">
              <w:rPr>
                <w:rFonts w:ascii="Times New Roman" w:eastAsia="Times New Roman" w:hAnsi="Times New Roman" w:cs="Times New Roman"/>
              </w:rPr>
              <w:t>N/A</w:t>
            </w:r>
          </w:p>
        </w:tc>
      </w:tr>
      <w:tr w:rsidR="00562046" w14:paraId="05E7503F" w14:textId="77777777" w:rsidTr="00562046">
        <w:trPr>
          <w:trHeight w:val="360"/>
        </w:trPr>
        <w:tc>
          <w:tcPr>
            <w:tcW w:w="606" w:type="dxa"/>
            <w:tcBorders>
              <w:left w:val="single" w:sz="6" w:space="0" w:color="00000A"/>
              <w:bottom w:val="single" w:sz="6" w:space="0" w:color="00000A"/>
              <w:right w:val="single" w:sz="6" w:space="0" w:color="00000A"/>
            </w:tcBorders>
            <w:shd w:val="clear" w:color="auto" w:fill="auto"/>
            <w:tcMar>
              <w:left w:w="14" w:type="dxa"/>
            </w:tcMar>
            <w:vAlign w:val="center"/>
          </w:tcPr>
          <w:p w14:paraId="7F16ECBD" w14:textId="77777777" w:rsidR="00562046" w:rsidRDefault="00562046" w:rsidP="00562046">
            <w:pPr>
              <w:jc w:val="center"/>
              <w:textAlignment w:val="baseline"/>
              <w:rPr>
                <w:rFonts w:ascii="Times New Roman" w:hAnsi="Times New Roman"/>
              </w:rPr>
            </w:pPr>
            <w:r>
              <w:rPr>
                <w:rFonts w:ascii="Times New Roman" w:hAnsi="Times New Roman"/>
              </w:rPr>
              <w:t>15</w:t>
            </w:r>
          </w:p>
        </w:tc>
        <w:tc>
          <w:tcPr>
            <w:tcW w:w="2447" w:type="dxa"/>
            <w:tcBorders>
              <w:left w:val="single" w:sz="6" w:space="0" w:color="00000A"/>
              <w:bottom w:val="single" w:sz="6" w:space="0" w:color="00000A"/>
              <w:right w:val="single" w:sz="6" w:space="0" w:color="00000A"/>
            </w:tcBorders>
            <w:shd w:val="clear" w:color="auto" w:fill="auto"/>
            <w:tcMar>
              <w:left w:w="14" w:type="dxa"/>
            </w:tcMar>
            <w:vAlign w:val="center"/>
          </w:tcPr>
          <w:p w14:paraId="2D850280" w14:textId="77777777" w:rsidR="00562046" w:rsidRPr="00325443" w:rsidRDefault="00562046" w:rsidP="00562046">
            <w:pPr>
              <w:jc w:val="center"/>
              <w:textAlignment w:val="baseline"/>
              <w:rPr>
                <w:rFonts w:ascii="Times New Roman" w:hAnsi="Times New Roman"/>
                <w:color w:val="000000"/>
              </w:rPr>
            </w:pPr>
            <w:proofErr w:type="spellStart"/>
            <w:r w:rsidRPr="00325443">
              <w:rPr>
                <w:rFonts w:ascii="Times New Roman" w:hAnsi="Times New Roman"/>
                <w:color w:val="000000"/>
              </w:rPr>
              <w:t>Sennoside</w:t>
            </w:r>
            <w:proofErr w:type="spellEnd"/>
            <w:r w:rsidRPr="00325443">
              <w:rPr>
                <w:rFonts w:ascii="Times New Roman" w:hAnsi="Times New Roman"/>
                <w:color w:val="000000"/>
              </w:rPr>
              <w:t xml:space="preserve"> D</w:t>
            </w:r>
          </w:p>
        </w:tc>
        <w:tc>
          <w:tcPr>
            <w:tcW w:w="2186" w:type="dxa"/>
            <w:tcBorders>
              <w:left w:val="single" w:sz="6" w:space="0" w:color="00000A"/>
              <w:bottom w:val="single" w:sz="6" w:space="0" w:color="00000A"/>
              <w:right w:val="single" w:sz="6" w:space="0" w:color="00000A"/>
            </w:tcBorders>
            <w:shd w:val="clear" w:color="auto" w:fill="auto"/>
            <w:tcMar>
              <w:left w:w="14" w:type="dxa"/>
            </w:tcMar>
            <w:vAlign w:val="center"/>
          </w:tcPr>
          <w:p w14:paraId="62BDBB72" w14:textId="77777777" w:rsidR="00562046" w:rsidRDefault="00562046" w:rsidP="00562046">
            <w:pPr>
              <w:jc w:val="center"/>
              <w:textAlignment w:val="baseline"/>
              <w:rPr>
                <w:rFonts w:ascii="Times New Roman" w:hAnsi="Times New Roman"/>
              </w:rPr>
            </w:pPr>
            <w:r>
              <w:rPr>
                <w:rFonts w:ascii="Times New Roman" w:hAnsi="Times New Roman"/>
              </w:rPr>
              <w:t>46173830</w:t>
            </w:r>
          </w:p>
        </w:tc>
        <w:tc>
          <w:tcPr>
            <w:tcW w:w="2314" w:type="dxa"/>
            <w:tcBorders>
              <w:left w:val="single" w:sz="6" w:space="0" w:color="00000A"/>
              <w:bottom w:val="single" w:sz="6" w:space="0" w:color="00000A"/>
              <w:right w:val="single" w:sz="6" w:space="0" w:color="00000A"/>
            </w:tcBorders>
          </w:tcPr>
          <w:p w14:paraId="23CCE12D" w14:textId="77777777" w:rsidR="00562046" w:rsidRDefault="00562046" w:rsidP="00562046">
            <w:pPr>
              <w:jc w:val="center"/>
              <w:textAlignment w:val="baseline"/>
              <w:rPr>
                <w:rFonts w:ascii="Times New Roman" w:hAnsi="Times New Roman"/>
              </w:rPr>
            </w:pPr>
            <w:r w:rsidRPr="00287381">
              <w:rPr>
                <w:rFonts w:ascii="Times New Roman" w:eastAsia="Times New Roman" w:hAnsi="Times New Roman" w:cs="Times New Roman"/>
              </w:rPr>
              <w:t>N/A</w:t>
            </w:r>
          </w:p>
        </w:tc>
      </w:tr>
      <w:tr w:rsidR="00562046" w14:paraId="2357D29E" w14:textId="77777777" w:rsidTr="00562046">
        <w:trPr>
          <w:trHeight w:val="360"/>
        </w:trPr>
        <w:tc>
          <w:tcPr>
            <w:tcW w:w="606" w:type="dxa"/>
            <w:tcBorders>
              <w:left w:val="single" w:sz="6" w:space="0" w:color="00000A"/>
              <w:bottom w:val="single" w:sz="6" w:space="0" w:color="00000A"/>
              <w:right w:val="single" w:sz="6" w:space="0" w:color="00000A"/>
            </w:tcBorders>
            <w:shd w:val="clear" w:color="auto" w:fill="auto"/>
            <w:tcMar>
              <w:left w:w="14" w:type="dxa"/>
            </w:tcMar>
            <w:vAlign w:val="center"/>
          </w:tcPr>
          <w:p w14:paraId="15FE2CA6" w14:textId="77777777" w:rsidR="00562046" w:rsidRDefault="00562046" w:rsidP="00562046">
            <w:pPr>
              <w:jc w:val="center"/>
              <w:textAlignment w:val="baseline"/>
              <w:rPr>
                <w:rFonts w:ascii="Times New Roman" w:hAnsi="Times New Roman"/>
              </w:rPr>
            </w:pPr>
            <w:r>
              <w:rPr>
                <w:rFonts w:ascii="Times New Roman" w:hAnsi="Times New Roman"/>
              </w:rPr>
              <w:t>16</w:t>
            </w:r>
          </w:p>
        </w:tc>
        <w:tc>
          <w:tcPr>
            <w:tcW w:w="2447" w:type="dxa"/>
            <w:tcBorders>
              <w:left w:val="single" w:sz="6" w:space="0" w:color="00000A"/>
              <w:bottom w:val="single" w:sz="6" w:space="0" w:color="00000A"/>
              <w:right w:val="single" w:sz="6" w:space="0" w:color="00000A"/>
            </w:tcBorders>
            <w:shd w:val="clear" w:color="auto" w:fill="auto"/>
            <w:tcMar>
              <w:left w:w="14" w:type="dxa"/>
            </w:tcMar>
            <w:vAlign w:val="center"/>
          </w:tcPr>
          <w:p w14:paraId="530392C7" w14:textId="77777777" w:rsidR="00562046" w:rsidRPr="00325443" w:rsidRDefault="00562046" w:rsidP="00562046">
            <w:pPr>
              <w:pStyle w:val="Heading1"/>
              <w:jc w:val="center"/>
              <w:textAlignment w:val="baseline"/>
              <w:rPr>
                <w:rFonts w:ascii="Times New Roman" w:hAnsi="Times New Roman"/>
                <w:color w:val="000000"/>
                <w:sz w:val="24"/>
                <w:szCs w:val="24"/>
              </w:rPr>
            </w:pPr>
            <w:proofErr w:type="spellStart"/>
            <w:r w:rsidRPr="00325443">
              <w:rPr>
                <w:rFonts w:ascii="Times New Roman" w:eastAsiaTheme="minorEastAsia" w:hAnsi="Times New Roman"/>
                <w:color w:val="000000"/>
                <w:sz w:val="24"/>
                <w:szCs w:val="24"/>
              </w:rPr>
              <w:t>Tinnevellin</w:t>
            </w:r>
            <w:proofErr w:type="spellEnd"/>
            <w:r w:rsidRPr="00325443">
              <w:rPr>
                <w:rFonts w:ascii="Times New Roman" w:eastAsiaTheme="minorEastAsia" w:hAnsi="Times New Roman"/>
                <w:color w:val="000000"/>
                <w:sz w:val="24"/>
                <w:szCs w:val="24"/>
              </w:rPr>
              <w:t xml:space="preserve"> </w:t>
            </w:r>
            <w:bookmarkStart w:id="0" w:name="__DdeLink__6847_2055141542"/>
            <w:bookmarkEnd w:id="0"/>
            <w:r w:rsidRPr="00325443">
              <w:rPr>
                <w:rFonts w:ascii="Times New Roman" w:eastAsiaTheme="minorEastAsia" w:hAnsi="Times New Roman"/>
                <w:color w:val="000000"/>
                <w:sz w:val="24"/>
                <w:szCs w:val="24"/>
              </w:rPr>
              <w:t>glucoside</w:t>
            </w:r>
          </w:p>
        </w:tc>
        <w:tc>
          <w:tcPr>
            <w:tcW w:w="2186" w:type="dxa"/>
            <w:tcBorders>
              <w:left w:val="single" w:sz="6" w:space="0" w:color="00000A"/>
              <w:bottom w:val="single" w:sz="6" w:space="0" w:color="00000A"/>
              <w:right w:val="single" w:sz="6" w:space="0" w:color="00000A"/>
            </w:tcBorders>
            <w:shd w:val="clear" w:color="auto" w:fill="auto"/>
            <w:tcMar>
              <w:left w:w="14" w:type="dxa"/>
            </w:tcMar>
            <w:vAlign w:val="center"/>
          </w:tcPr>
          <w:p w14:paraId="4B22B828" w14:textId="77777777" w:rsidR="00562046" w:rsidRDefault="00562046" w:rsidP="00562046">
            <w:pPr>
              <w:jc w:val="center"/>
              <w:textAlignment w:val="baseline"/>
              <w:rPr>
                <w:rFonts w:ascii="Times New Roman" w:hAnsi="Times New Roman"/>
              </w:rPr>
            </w:pPr>
            <w:r>
              <w:rPr>
                <w:rFonts w:ascii="Times New Roman" w:hAnsi="Times New Roman"/>
              </w:rPr>
              <w:t>157631</w:t>
            </w:r>
          </w:p>
        </w:tc>
        <w:tc>
          <w:tcPr>
            <w:tcW w:w="2314" w:type="dxa"/>
            <w:tcBorders>
              <w:left w:val="single" w:sz="6" w:space="0" w:color="00000A"/>
              <w:bottom w:val="single" w:sz="6" w:space="0" w:color="00000A"/>
              <w:right w:val="single" w:sz="6" w:space="0" w:color="00000A"/>
            </w:tcBorders>
          </w:tcPr>
          <w:p w14:paraId="0DFFA489" w14:textId="77777777" w:rsidR="00562046" w:rsidRDefault="00562046" w:rsidP="00562046">
            <w:pPr>
              <w:jc w:val="center"/>
              <w:textAlignment w:val="baseline"/>
              <w:rPr>
                <w:rFonts w:ascii="Times New Roman" w:hAnsi="Times New Roman"/>
              </w:rPr>
            </w:pPr>
            <w:r w:rsidRPr="00287381">
              <w:rPr>
                <w:rFonts w:ascii="Times New Roman" w:eastAsia="Times New Roman" w:hAnsi="Times New Roman" w:cs="Times New Roman"/>
              </w:rPr>
              <w:t>N/A</w:t>
            </w:r>
          </w:p>
        </w:tc>
      </w:tr>
      <w:tr w:rsidR="00562046" w14:paraId="0431AD0E" w14:textId="77777777" w:rsidTr="00562046">
        <w:trPr>
          <w:trHeight w:val="360"/>
        </w:trPr>
        <w:tc>
          <w:tcPr>
            <w:tcW w:w="606" w:type="dxa"/>
            <w:tcBorders>
              <w:left w:val="single" w:sz="6" w:space="0" w:color="00000A"/>
              <w:bottom w:val="single" w:sz="6" w:space="0" w:color="00000A"/>
              <w:right w:val="single" w:sz="6" w:space="0" w:color="00000A"/>
            </w:tcBorders>
            <w:shd w:val="clear" w:color="auto" w:fill="auto"/>
            <w:tcMar>
              <w:left w:w="14" w:type="dxa"/>
            </w:tcMar>
            <w:vAlign w:val="center"/>
          </w:tcPr>
          <w:p w14:paraId="7B37CFBC" w14:textId="77777777" w:rsidR="00562046" w:rsidRDefault="00562046" w:rsidP="00562046">
            <w:pPr>
              <w:jc w:val="center"/>
              <w:textAlignment w:val="baseline"/>
              <w:rPr>
                <w:rFonts w:ascii="Times New Roman" w:hAnsi="Times New Roman"/>
              </w:rPr>
            </w:pPr>
            <w:r>
              <w:rPr>
                <w:rFonts w:ascii="Times New Roman" w:hAnsi="Times New Roman"/>
              </w:rPr>
              <w:t>17</w:t>
            </w:r>
          </w:p>
        </w:tc>
        <w:tc>
          <w:tcPr>
            <w:tcW w:w="2447" w:type="dxa"/>
            <w:tcBorders>
              <w:left w:val="single" w:sz="6" w:space="0" w:color="00000A"/>
              <w:bottom w:val="single" w:sz="6" w:space="0" w:color="00000A"/>
              <w:right w:val="single" w:sz="6" w:space="0" w:color="00000A"/>
            </w:tcBorders>
            <w:shd w:val="clear" w:color="auto" w:fill="auto"/>
            <w:tcMar>
              <w:left w:w="14" w:type="dxa"/>
            </w:tcMar>
            <w:vAlign w:val="center"/>
          </w:tcPr>
          <w:p w14:paraId="2729656C" w14:textId="77777777" w:rsidR="00562046" w:rsidRPr="00325443" w:rsidRDefault="00562046" w:rsidP="00562046">
            <w:pPr>
              <w:pStyle w:val="Heading1"/>
              <w:jc w:val="center"/>
              <w:textAlignment w:val="baseline"/>
              <w:rPr>
                <w:rFonts w:ascii="Times New Roman" w:hAnsi="Times New Roman"/>
                <w:color w:val="000000"/>
                <w:sz w:val="24"/>
                <w:szCs w:val="24"/>
              </w:rPr>
            </w:pPr>
            <w:r w:rsidRPr="00325443">
              <w:rPr>
                <w:rFonts w:ascii="Times New Roman" w:eastAsiaTheme="minorEastAsia" w:hAnsi="Times New Roman"/>
                <w:color w:val="000000"/>
                <w:sz w:val="24"/>
                <w:szCs w:val="24"/>
              </w:rPr>
              <w:t>6-Hydroxymusicin glucoside</w:t>
            </w:r>
          </w:p>
        </w:tc>
        <w:tc>
          <w:tcPr>
            <w:tcW w:w="2186" w:type="dxa"/>
            <w:tcBorders>
              <w:left w:val="single" w:sz="6" w:space="0" w:color="00000A"/>
              <w:bottom w:val="single" w:sz="6" w:space="0" w:color="00000A"/>
              <w:right w:val="single" w:sz="6" w:space="0" w:color="00000A"/>
            </w:tcBorders>
            <w:shd w:val="clear" w:color="auto" w:fill="auto"/>
            <w:tcMar>
              <w:left w:w="14" w:type="dxa"/>
            </w:tcMar>
            <w:vAlign w:val="center"/>
          </w:tcPr>
          <w:p w14:paraId="7A24991A" w14:textId="77777777" w:rsidR="00562046" w:rsidRDefault="00562046" w:rsidP="00562046">
            <w:pPr>
              <w:jc w:val="center"/>
              <w:textAlignment w:val="baseline"/>
              <w:rPr>
                <w:rFonts w:ascii="Times New Roman" w:hAnsi="Times New Roman"/>
              </w:rPr>
            </w:pPr>
            <w:r>
              <w:rPr>
                <w:rFonts w:ascii="Times New Roman" w:hAnsi="Times New Roman"/>
              </w:rPr>
              <w:t>101656110</w:t>
            </w:r>
            <w:r>
              <w:rPr>
                <w:rFonts w:ascii="Times New Roman" w:hAnsi="Times New Roman"/>
              </w:rPr>
              <w:br/>
            </w:r>
          </w:p>
        </w:tc>
        <w:tc>
          <w:tcPr>
            <w:tcW w:w="2314" w:type="dxa"/>
            <w:tcBorders>
              <w:left w:val="single" w:sz="6" w:space="0" w:color="00000A"/>
              <w:bottom w:val="single" w:sz="6" w:space="0" w:color="00000A"/>
              <w:right w:val="single" w:sz="6" w:space="0" w:color="00000A"/>
            </w:tcBorders>
          </w:tcPr>
          <w:p w14:paraId="6912757A" w14:textId="77777777" w:rsidR="00562046" w:rsidRDefault="00562046" w:rsidP="00562046">
            <w:pPr>
              <w:jc w:val="center"/>
              <w:textAlignment w:val="baseline"/>
              <w:rPr>
                <w:rFonts w:ascii="Times New Roman" w:hAnsi="Times New Roman"/>
              </w:rPr>
            </w:pPr>
            <w:r w:rsidRPr="00287381">
              <w:rPr>
                <w:rFonts w:ascii="Times New Roman" w:eastAsia="Times New Roman" w:hAnsi="Times New Roman" w:cs="Times New Roman"/>
              </w:rPr>
              <w:t>N/A</w:t>
            </w:r>
          </w:p>
        </w:tc>
      </w:tr>
    </w:tbl>
    <w:p w14:paraId="7588CA3A" w14:textId="77777777" w:rsidR="00C867F2" w:rsidRDefault="00C867F2" w:rsidP="00562046">
      <w:pPr>
        <w:jc w:val="both"/>
        <w:textAlignment w:val="baseline"/>
        <w:rPr>
          <w:rFonts w:ascii="Times New Roman" w:eastAsia="Times New Roman" w:hAnsi="Times New Roman" w:cs="Times New Roman"/>
          <w:sz w:val="16"/>
          <w:szCs w:val="16"/>
        </w:rPr>
      </w:pPr>
    </w:p>
    <w:p w14:paraId="4230D401" w14:textId="77777777" w:rsidR="00C867F2" w:rsidRDefault="00C867F2" w:rsidP="00562046">
      <w:pPr>
        <w:rPr>
          <w:rFonts w:ascii="Times New Roman" w:hAnsi="Times New Roman" w:cs="Times New Roman"/>
        </w:rPr>
      </w:pPr>
    </w:p>
    <w:p w14:paraId="6641F823" w14:textId="77777777" w:rsidR="00C867F2" w:rsidRDefault="00C867F2" w:rsidP="00562046">
      <w:pPr>
        <w:jc w:val="both"/>
        <w:textAlignment w:val="baseline"/>
        <w:rPr>
          <w:rFonts w:ascii="Times New Roman" w:eastAsia="Times New Roman" w:hAnsi="Times New Roman" w:cs="Times New Roman"/>
          <w:b/>
          <w:bCs/>
        </w:rPr>
      </w:pPr>
    </w:p>
    <w:p w14:paraId="0BD94563" w14:textId="77777777" w:rsidR="00C867F2" w:rsidRDefault="00C867F2" w:rsidP="00562046">
      <w:pPr>
        <w:jc w:val="both"/>
        <w:textAlignment w:val="baseline"/>
        <w:rPr>
          <w:rFonts w:ascii="Times New Roman" w:eastAsia="Times New Roman" w:hAnsi="Times New Roman" w:cs="Times New Roman"/>
          <w:b/>
          <w:bCs/>
        </w:rPr>
      </w:pPr>
    </w:p>
    <w:p w14:paraId="2947A54F" w14:textId="77777777" w:rsidR="00C867F2" w:rsidRDefault="00C867F2" w:rsidP="00562046">
      <w:pPr>
        <w:jc w:val="both"/>
        <w:textAlignment w:val="baseline"/>
        <w:rPr>
          <w:rFonts w:ascii="Times New Roman" w:eastAsia="Times New Roman" w:hAnsi="Times New Roman" w:cs="Times New Roman"/>
          <w:b/>
          <w:bCs/>
        </w:rPr>
      </w:pPr>
    </w:p>
    <w:p w14:paraId="3C9D7FF9" w14:textId="77777777" w:rsidR="00C867F2" w:rsidRDefault="00C867F2" w:rsidP="00562046">
      <w:pPr>
        <w:jc w:val="both"/>
        <w:textAlignment w:val="baseline"/>
        <w:rPr>
          <w:rFonts w:ascii="Times New Roman" w:eastAsia="Times New Roman" w:hAnsi="Times New Roman" w:cs="Times New Roman"/>
          <w:b/>
          <w:bCs/>
        </w:rPr>
      </w:pPr>
    </w:p>
    <w:p w14:paraId="014336BF" w14:textId="77777777" w:rsidR="00C867F2" w:rsidRDefault="00C867F2" w:rsidP="00562046">
      <w:pPr>
        <w:jc w:val="both"/>
        <w:textAlignment w:val="baseline"/>
        <w:rPr>
          <w:rFonts w:ascii="Times New Roman" w:eastAsia="Times New Roman" w:hAnsi="Times New Roman" w:cs="Times New Roman"/>
          <w:b/>
          <w:bCs/>
        </w:rPr>
      </w:pPr>
    </w:p>
    <w:p w14:paraId="0A97F536" w14:textId="77777777" w:rsidR="00C867F2" w:rsidRDefault="00C867F2" w:rsidP="00562046">
      <w:pPr>
        <w:jc w:val="both"/>
        <w:textAlignment w:val="baseline"/>
        <w:rPr>
          <w:rFonts w:ascii="Times New Roman" w:eastAsia="Times New Roman" w:hAnsi="Times New Roman" w:cs="Times New Roman"/>
          <w:b/>
          <w:bCs/>
        </w:rPr>
      </w:pPr>
    </w:p>
    <w:p w14:paraId="6AA59DDF" w14:textId="77777777" w:rsidR="00562046" w:rsidRDefault="00562046" w:rsidP="00562046">
      <w:pPr>
        <w:jc w:val="both"/>
        <w:textAlignment w:val="baseline"/>
        <w:rPr>
          <w:rFonts w:ascii="Times New Roman" w:eastAsia="Times New Roman" w:hAnsi="Times New Roman" w:cs="Times New Roman"/>
        </w:rPr>
      </w:pPr>
    </w:p>
    <w:p w14:paraId="6EA66A9F" w14:textId="77777777" w:rsidR="00562046" w:rsidRDefault="00562046" w:rsidP="00562046">
      <w:pPr>
        <w:jc w:val="both"/>
        <w:textAlignment w:val="baseline"/>
        <w:rPr>
          <w:rFonts w:ascii="Times New Roman" w:eastAsia="Times New Roman" w:hAnsi="Times New Roman" w:cs="Times New Roman"/>
        </w:rPr>
      </w:pPr>
    </w:p>
    <w:p w14:paraId="01554436" w14:textId="77777777" w:rsidR="00562046" w:rsidRDefault="00562046" w:rsidP="00562046">
      <w:pPr>
        <w:jc w:val="both"/>
        <w:textAlignment w:val="baseline"/>
        <w:rPr>
          <w:rFonts w:ascii="Times New Roman" w:eastAsia="Times New Roman" w:hAnsi="Times New Roman" w:cs="Times New Roman"/>
        </w:rPr>
      </w:pPr>
    </w:p>
    <w:p w14:paraId="3F267534" w14:textId="77777777" w:rsidR="00562046" w:rsidRDefault="00562046" w:rsidP="00562046">
      <w:pPr>
        <w:jc w:val="both"/>
        <w:textAlignment w:val="baseline"/>
        <w:rPr>
          <w:rFonts w:ascii="Times New Roman" w:eastAsia="Times New Roman" w:hAnsi="Times New Roman" w:cs="Times New Roman"/>
        </w:rPr>
      </w:pPr>
    </w:p>
    <w:p w14:paraId="416B1E77" w14:textId="77777777" w:rsidR="00562046" w:rsidRDefault="00562046" w:rsidP="00562046">
      <w:pPr>
        <w:jc w:val="both"/>
        <w:textAlignment w:val="baseline"/>
        <w:rPr>
          <w:rFonts w:ascii="Times New Roman" w:eastAsia="Times New Roman" w:hAnsi="Times New Roman" w:cs="Times New Roman"/>
        </w:rPr>
      </w:pPr>
    </w:p>
    <w:p w14:paraId="388598E7" w14:textId="77777777" w:rsidR="00562046" w:rsidRDefault="00562046" w:rsidP="00562046">
      <w:pPr>
        <w:jc w:val="both"/>
        <w:textAlignment w:val="baseline"/>
        <w:rPr>
          <w:rFonts w:ascii="Times New Roman" w:eastAsia="Times New Roman" w:hAnsi="Times New Roman" w:cs="Times New Roman"/>
        </w:rPr>
      </w:pPr>
    </w:p>
    <w:p w14:paraId="7847B12D" w14:textId="77777777" w:rsidR="00562046" w:rsidRDefault="00562046" w:rsidP="00562046">
      <w:pPr>
        <w:jc w:val="both"/>
        <w:textAlignment w:val="baseline"/>
        <w:rPr>
          <w:rFonts w:ascii="Times New Roman" w:eastAsia="Times New Roman" w:hAnsi="Times New Roman" w:cs="Times New Roman"/>
          <w:sz w:val="20"/>
        </w:rPr>
      </w:pPr>
    </w:p>
    <w:p w14:paraId="716514B0" w14:textId="77777777" w:rsidR="00562046" w:rsidRDefault="00562046" w:rsidP="00562046">
      <w:pPr>
        <w:jc w:val="both"/>
        <w:textAlignment w:val="baseline"/>
        <w:rPr>
          <w:rFonts w:ascii="Times New Roman" w:eastAsia="Times New Roman" w:hAnsi="Times New Roman" w:cs="Times New Roman"/>
          <w:sz w:val="20"/>
        </w:rPr>
      </w:pPr>
    </w:p>
    <w:p w14:paraId="4DD7A231" w14:textId="77777777" w:rsidR="00562046" w:rsidRDefault="00562046" w:rsidP="00562046">
      <w:pPr>
        <w:jc w:val="both"/>
        <w:textAlignment w:val="baseline"/>
        <w:rPr>
          <w:rFonts w:ascii="Times New Roman" w:eastAsia="Times New Roman" w:hAnsi="Times New Roman" w:cs="Times New Roman"/>
          <w:sz w:val="20"/>
        </w:rPr>
      </w:pPr>
    </w:p>
    <w:p w14:paraId="64760E2F" w14:textId="77777777" w:rsidR="00562046" w:rsidRDefault="00562046" w:rsidP="00562046">
      <w:pPr>
        <w:jc w:val="both"/>
        <w:textAlignment w:val="baseline"/>
        <w:rPr>
          <w:rFonts w:ascii="Times New Roman" w:eastAsia="Times New Roman" w:hAnsi="Times New Roman" w:cs="Times New Roman"/>
          <w:sz w:val="20"/>
        </w:rPr>
      </w:pPr>
    </w:p>
    <w:p w14:paraId="200B1FDB" w14:textId="77777777" w:rsidR="00562046" w:rsidRDefault="00562046" w:rsidP="00562046">
      <w:pPr>
        <w:jc w:val="both"/>
        <w:textAlignment w:val="baseline"/>
        <w:rPr>
          <w:rFonts w:ascii="Times New Roman" w:eastAsia="Times New Roman" w:hAnsi="Times New Roman" w:cs="Times New Roman"/>
          <w:sz w:val="20"/>
        </w:rPr>
      </w:pPr>
    </w:p>
    <w:p w14:paraId="2B3F6623" w14:textId="77777777" w:rsidR="00562046" w:rsidRDefault="00562046" w:rsidP="00562046">
      <w:pPr>
        <w:jc w:val="both"/>
        <w:textAlignment w:val="baseline"/>
        <w:rPr>
          <w:rFonts w:ascii="Times New Roman" w:eastAsia="Times New Roman" w:hAnsi="Times New Roman" w:cs="Times New Roman"/>
          <w:sz w:val="20"/>
        </w:rPr>
      </w:pPr>
    </w:p>
    <w:p w14:paraId="06B0F2D4" w14:textId="77777777" w:rsidR="00562046" w:rsidRDefault="00562046" w:rsidP="00562046">
      <w:pPr>
        <w:jc w:val="both"/>
        <w:textAlignment w:val="baseline"/>
        <w:rPr>
          <w:rFonts w:ascii="Times New Roman" w:eastAsia="Times New Roman" w:hAnsi="Times New Roman" w:cs="Times New Roman"/>
          <w:sz w:val="20"/>
        </w:rPr>
      </w:pPr>
      <w:proofErr w:type="spellStart"/>
      <w:r>
        <w:rPr>
          <w:rFonts w:eastAsia="Times New Roman" w:cs="Times New Roman"/>
          <w:sz w:val="20"/>
        </w:rPr>
        <w:t>P</w:t>
      </w:r>
      <w:r w:rsidRPr="00562046">
        <w:rPr>
          <w:rFonts w:eastAsia="Times New Roman" w:cs="Times New Roman"/>
          <w:sz w:val="20"/>
        </w:rPr>
        <w:t>hytoconstituents</w:t>
      </w:r>
      <w:proofErr w:type="spellEnd"/>
      <w:r w:rsidRPr="00562046">
        <w:rPr>
          <w:rFonts w:eastAsia="Times New Roman" w:cs="Times New Roman"/>
          <w:sz w:val="20"/>
        </w:rPr>
        <w:t xml:space="preserve"> </w:t>
      </w:r>
      <w:r w:rsidRPr="00562046">
        <w:rPr>
          <w:rFonts w:ascii="Times New Roman" w:eastAsia="Times New Roman" w:hAnsi="Times New Roman" w:cs="Times New Roman"/>
          <w:sz w:val="20"/>
        </w:rPr>
        <w:t>having potential against</w:t>
      </w:r>
      <w:r>
        <w:rPr>
          <w:rFonts w:ascii="Times New Roman" w:eastAsia="Times New Roman" w:hAnsi="Times New Roman" w:cs="Times New Roman"/>
          <w:sz w:val="20"/>
        </w:rPr>
        <w:t xml:space="preserve"> different types of infections are referred in the table. </w:t>
      </w:r>
    </w:p>
    <w:p w14:paraId="02A6D876" w14:textId="5456AE6E" w:rsidR="00C867F2" w:rsidRDefault="00562046" w:rsidP="00562046">
      <w:pPr>
        <w:jc w:val="both"/>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N/A </w:t>
      </w:r>
      <w:r w:rsidRPr="00562046">
        <w:rPr>
          <w:rFonts w:ascii="Times New Roman" w:eastAsia="Times New Roman" w:hAnsi="Times New Roman" w:cs="Times New Roman"/>
          <w:sz w:val="20"/>
        </w:rPr>
        <w:t>signifies</w:t>
      </w:r>
      <w:r>
        <w:rPr>
          <w:rFonts w:ascii="Times New Roman" w:eastAsia="Times New Roman" w:hAnsi="Times New Roman" w:cs="Times New Roman"/>
          <w:sz w:val="20"/>
        </w:rPr>
        <w:t xml:space="preserve"> no data available</w:t>
      </w:r>
    </w:p>
    <w:p w14:paraId="5FE76260" w14:textId="77777777" w:rsidR="00943966" w:rsidRDefault="00943966" w:rsidP="00562046">
      <w:pPr>
        <w:jc w:val="both"/>
        <w:textAlignment w:val="baseline"/>
        <w:rPr>
          <w:rFonts w:ascii="Times New Roman" w:eastAsia="Times New Roman" w:hAnsi="Times New Roman" w:cs="Times New Roman"/>
          <w:sz w:val="20"/>
        </w:rPr>
      </w:pPr>
    </w:p>
    <w:p w14:paraId="4AB5E553" w14:textId="77777777" w:rsidR="00943966" w:rsidRDefault="00943966" w:rsidP="00562046">
      <w:pPr>
        <w:jc w:val="both"/>
        <w:textAlignment w:val="baseline"/>
        <w:rPr>
          <w:rFonts w:ascii="Times New Roman" w:eastAsia="Times New Roman" w:hAnsi="Times New Roman" w:cs="Times New Roman"/>
          <w:sz w:val="20"/>
        </w:rPr>
      </w:pPr>
    </w:p>
    <w:p w14:paraId="3F2B82EF" w14:textId="77777777" w:rsidR="00943966" w:rsidRDefault="00943966" w:rsidP="00562046">
      <w:pPr>
        <w:jc w:val="both"/>
        <w:textAlignment w:val="baseline"/>
        <w:rPr>
          <w:rFonts w:ascii="Times New Roman" w:eastAsia="Times New Roman" w:hAnsi="Times New Roman" w:cs="Times New Roman"/>
          <w:sz w:val="20"/>
        </w:rPr>
      </w:pPr>
    </w:p>
    <w:p w14:paraId="553BFE67" w14:textId="77777777" w:rsidR="002C2356" w:rsidRDefault="002C2356" w:rsidP="00562046">
      <w:pPr>
        <w:jc w:val="both"/>
        <w:textAlignment w:val="baseline"/>
        <w:rPr>
          <w:rFonts w:ascii="Times New Roman" w:eastAsia="Times New Roman" w:hAnsi="Times New Roman" w:cs="Times New Roman"/>
          <w:sz w:val="20"/>
        </w:rPr>
      </w:pPr>
      <w:bookmarkStart w:id="1" w:name="_GoBack"/>
      <w:bookmarkEnd w:id="1"/>
    </w:p>
    <w:p w14:paraId="034AE63E" w14:textId="77777777" w:rsidR="00943966" w:rsidRDefault="00943966" w:rsidP="00562046">
      <w:pPr>
        <w:jc w:val="both"/>
        <w:textAlignment w:val="baseline"/>
        <w:rPr>
          <w:rFonts w:ascii="Times New Roman" w:eastAsia="Times New Roman" w:hAnsi="Times New Roman" w:cs="Times New Roman"/>
          <w:sz w:val="20"/>
        </w:rPr>
      </w:pPr>
    </w:p>
    <w:p w14:paraId="6B6F7CB6" w14:textId="77777777" w:rsidR="00943966" w:rsidRDefault="00943966" w:rsidP="00562046">
      <w:pPr>
        <w:jc w:val="both"/>
        <w:textAlignment w:val="baseline"/>
        <w:rPr>
          <w:rFonts w:ascii="Times New Roman" w:eastAsia="Times New Roman" w:hAnsi="Times New Roman" w:cs="Times New Roman"/>
          <w:sz w:val="20"/>
        </w:rPr>
      </w:pPr>
    </w:p>
    <w:p w14:paraId="2F10480F" w14:textId="77777777" w:rsidR="00943966" w:rsidRDefault="00943966" w:rsidP="00562046">
      <w:pPr>
        <w:jc w:val="both"/>
        <w:textAlignment w:val="baseline"/>
        <w:rPr>
          <w:rFonts w:ascii="Times New Roman" w:eastAsia="Times New Roman" w:hAnsi="Times New Roman" w:cs="Times New Roman"/>
          <w:sz w:val="20"/>
        </w:rPr>
      </w:pPr>
    </w:p>
    <w:p w14:paraId="272500F8" w14:textId="77777777" w:rsidR="00D40207" w:rsidRDefault="00D40207" w:rsidP="00E31BA2">
      <w:pPr>
        <w:rPr>
          <w:rFonts w:ascii="Times New Roman" w:eastAsia="Times New Roman" w:hAnsi="Times New Roman" w:cs="Times New Roman"/>
          <w:sz w:val="20"/>
        </w:rPr>
      </w:pPr>
    </w:p>
    <w:p w14:paraId="27916F06" w14:textId="30B01D24" w:rsidR="00E57206" w:rsidRPr="00EF43EE" w:rsidRDefault="00EF43EE" w:rsidP="00E31BA2">
      <w:pPr>
        <w:rPr>
          <w:rFonts w:ascii="Times New Roman" w:hAnsi="Times New Roman" w:cs="Times New Roman"/>
          <w:b/>
          <w:sz w:val="28"/>
        </w:rPr>
      </w:pPr>
      <w:r w:rsidRPr="00EF43EE">
        <w:rPr>
          <w:rFonts w:ascii="Times New Roman" w:hAnsi="Times New Roman" w:cs="Times New Roman"/>
          <w:b/>
          <w:sz w:val="28"/>
        </w:rPr>
        <w:lastRenderedPageBreak/>
        <w:t>References</w:t>
      </w:r>
    </w:p>
    <w:p w14:paraId="43AEDDA4" w14:textId="77777777" w:rsidR="00EF43EE" w:rsidRPr="00EF43EE" w:rsidRDefault="00EF43EE" w:rsidP="00EF43EE">
      <w:pPr>
        <w:spacing w:line="360" w:lineRule="auto"/>
        <w:rPr>
          <w:rFonts w:ascii="Times New Roman" w:hAnsi="Times New Roman" w:cs="Times New Roman"/>
        </w:rPr>
      </w:pPr>
    </w:p>
    <w:p w14:paraId="310687B5" w14:textId="77777777" w:rsidR="00E57206" w:rsidRPr="00EF43EE" w:rsidRDefault="00E57206" w:rsidP="00EF43EE">
      <w:pPr>
        <w:spacing w:line="360" w:lineRule="auto"/>
        <w:ind w:left="440" w:hanging="440"/>
        <w:rPr>
          <w:rFonts w:ascii="Times New Roman" w:hAnsi="Times New Roman" w:cs="Times New Roman"/>
        </w:rPr>
      </w:pPr>
      <w:r w:rsidRPr="00EF43EE">
        <w:rPr>
          <w:rFonts w:ascii="Times New Roman" w:hAnsi="Times New Roman" w:cs="Times New Roman"/>
        </w:rPr>
        <w:fldChar w:fldCharType="begin"/>
      </w:r>
      <w:r w:rsidRPr="00EF43EE">
        <w:rPr>
          <w:rFonts w:ascii="Times New Roman" w:hAnsi="Times New Roman" w:cs="Times New Roman"/>
        </w:rPr>
        <w:instrText>ADDIN F1000_CSL_BIBLIOGRAPHY</w:instrText>
      </w:r>
      <w:r w:rsidRPr="00EF43EE">
        <w:rPr>
          <w:rFonts w:ascii="Times New Roman" w:hAnsi="Times New Roman" w:cs="Times New Roman"/>
        </w:rPr>
        <w:fldChar w:fldCharType="separate"/>
      </w:r>
      <w:r w:rsidRPr="00EF43EE">
        <w:rPr>
          <w:rFonts w:ascii="Times New Roman" w:hAnsi="Times New Roman" w:cs="Times New Roman"/>
        </w:rPr>
        <w:t xml:space="preserve">1. </w:t>
      </w:r>
      <w:r w:rsidRPr="00EF43EE">
        <w:rPr>
          <w:rFonts w:ascii="Times New Roman" w:hAnsi="Times New Roman" w:cs="Times New Roman"/>
        </w:rPr>
        <w:tab/>
        <w:t>Ikeda K, Tsujimoto K, Uozaki M, Nishide M, Suzuki Y, Koyama AH, et al. Inhibition of multiplication of herpes simplex virus by caffeic acid. Int J Mol Med. 2011;28: 595–598. doi:10.3892/ijmm.2011.739</w:t>
      </w:r>
    </w:p>
    <w:p w14:paraId="76E02D14" w14:textId="77777777" w:rsidR="00E57206" w:rsidRPr="00EF43EE" w:rsidRDefault="00E57206" w:rsidP="00EF43EE">
      <w:pPr>
        <w:spacing w:line="360" w:lineRule="auto"/>
        <w:ind w:left="440" w:hanging="440"/>
        <w:rPr>
          <w:rFonts w:ascii="Times New Roman" w:hAnsi="Times New Roman" w:cs="Times New Roman"/>
        </w:rPr>
      </w:pPr>
      <w:r w:rsidRPr="00EF43EE">
        <w:rPr>
          <w:rFonts w:ascii="Times New Roman" w:hAnsi="Times New Roman" w:cs="Times New Roman"/>
        </w:rPr>
        <w:t xml:space="preserve">2. </w:t>
      </w:r>
      <w:r w:rsidRPr="00EF43EE">
        <w:rPr>
          <w:rFonts w:ascii="Times New Roman" w:hAnsi="Times New Roman" w:cs="Times New Roman"/>
        </w:rPr>
        <w:tab/>
        <w:t>Tabrez S, Rahman F, Ali R, Alouffi AS, Akand SK, Alshehri BM, et al. Cynaroside inhibits Leishmania donovani UDP-galactopyranose mutase and induces reactive oxygen species to exert antileishmanial response. Biosci Rep. 2021;41. doi:10.1042/BSR20203857</w:t>
      </w:r>
    </w:p>
    <w:p w14:paraId="3AB6FD53" w14:textId="77777777" w:rsidR="00E57206" w:rsidRPr="00EF43EE" w:rsidRDefault="00E57206" w:rsidP="00EF43EE">
      <w:pPr>
        <w:spacing w:line="360" w:lineRule="auto"/>
        <w:ind w:left="440" w:hanging="440"/>
        <w:rPr>
          <w:rFonts w:ascii="Times New Roman" w:hAnsi="Times New Roman" w:cs="Times New Roman"/>
        </w:rPr>
      </w:pPr>
      <w:r w:rsidRPr="00EF43EE">
        <w:rPr>
          <w:rFonts w:ascii="Times New Roman" w:hAnsi="Times New Roman" w:cs="Times New Roman"/>
        </w:rPr>
        <w:t xml:space="preserve">3. </w:t>
      </w:r>
      <w:r w:rsidRPr="00EF43EE">
        <w:rPr>
          <w:rFonts w:ascii="Times New Roman" w:hAnsi="Times New Roman" w:cs="Times New Roman"/>
        </w:rPr>
        <w:tab/>
        <w:t>Choi HJ, Song JH, Bhatt LR, Baek SH. Anti-human rhinovirus activity of gallic acid possessing antioxidant capacity. Phytother Res. 2010;24: 1292–1296. doi:10.1002/ptr.3101</w:t>
      </w:r>
    </w:p>
    <w:p w14:paraId="760349BE" w14:textId="77777777" w:rsidR="00E57206" w:rsidRPr="00EF43EE" w:rsidRDefault="00E57206" w:rsidP="00EF43EE">
      <w:pPr>
        <w:spacing w:line="360" w:lineRule="auto"/>
        <w:ind w:left="440" w:hanging="440"/>
        <w:rPr>
          <w:rFonts w:ascii="Times New Roman" w:hAnsi="Times New Roman" w:cs="Times New Roman"/>
        </w:rPr>
      </w:pPr>
      <w:r w:rsidRPr="00EF43EE">
        <w:rPr>
          <w:rFonts w:ascii="Times New Roman" w:hAnsi="Times New Roman" w:cs="Times New Roman"/>
        </w:rPr>
        <w:t xml:space="preserve">4. </w:t>
      </w:r>
      <w:r w:rsidRPr="00EF43EE">
        <w:rPr>
          <w:rFonts w:ascii="Times New Roman" w:hAnsi="Times New Roman" w:cs="Times New Roman"/>
        </w:rPr>
        <w:tab/>
        <w:t>Strand M, Islam K, Edlund K, Oberg CT, Allard A, Bergström T, et al. 2-[4,5-Difluoro-2-(2-fluorobenzoylamino)-benzoylamino]benzoic acid, an antiviral compound with activity against acyclovir-resistant isolates of herpes simplex virus types 1 and 2. Antimicrob Agents Chemother. 2012;56: 5735–5743. doi:10.1128/AAC.01072-12</w:t>
      </w:r>
    </w:p>
    <w:p w14:paraId="2CEDF895" w14:textId="77777777" w:rsidR="00E57206" w:rsidRPr="00EF43EE" w:rsidRDefault="00E57206" w:rsidP="00EF43EE">
      <w:pPr>
        <w:spacing w:line="360" w:lineRule="auto"/>
        <w:ind w:left="440" w:hanging="440"/>
        <w:rPr>
          <w:rFonts w:ascii="Times New Roman" w:hAnsi="Times New Roman" w:cs="Times New Roman"/>
        </w:rPr>
      </w:pPr>
      <w:r w:rsidRPr="00EF43EE">
        <w:rPr>
          <w:rFonts w:ascii="Times New Roman" w:hAnsi="Times New Roman" w:cs="Times New Roman"/>
        </w:rPr>
        <w:t xml:space="preserve">5. </w:t>
      </w:r>
      <w:r w:rsidRPr="00EF43EE">
        <w:rPr>
          <w:rFonts w:ascii="Times New Roman" w:hAnsi="Times New Roman" w:cs="Times New Roman"/>
        </w:rPr>
        <w:tab/>
        <w:t>Ürményi FGG, Saraiva G do N, Casanova LM, Matos ADS, de Magalhães Camargo LM, Romanos MTV, et al. Anti-HSV-1 and HSV-2 Flavonoids and a New Kaempferol Triglycoside from the Medicinal Plant Kalanchoe daigremontiana. Chem Biodivers. 2016;13: 1707–1714. doi:10.1002/cbdv.201600127</w:t>
      </w:r>
    </w:p>
    <w:p w14:paraId="2E99ECA3" w14:textId="77777777" w:rsidR="00E57206" w:rsidRPr="00EF43EE" w:rsidRDefault="00E57206" w:rsidP="00EF43EE">
      <w:pPr>
        <w:spacing w:line="360" w:lineRule="auto"/>
        <w:ind w:left="440" w:hanging="440"/>
        <w:rPr>
          <w:rFonts w:ascii="Times New Roman" w:hAnsi="Times New Roman" w:cs="Times New Roman"/>
        </w:rPr>
      </w:pPr>
      <w:r w:rsidRPr="00EF43EE">
        <w:rPr>
          <w:rFonts w:ascii="Times New Roman" w:hAnsi="Times New Roman" w:cs="Times New Roman"/>
        </w:rPr>
        <w:t xml:space="preserve">6. </w:t>
      </w:r>
      <w:r w:rsidRPr="00EF43EE">
        <w:rPr>
          <w:rFonts w:ascii="Times New Roman" w:hAnsi="Times New Roman" w:cs="Times New Roman"/>
        </w:rPr>
        <w:tab/>
        <w:t>Abdal Dayem A, Choi HY, Kim YB, Cho S-G. Antiviral effect of methylated flavonol isorhamnetin against influenza. PLoS One. 2015;10: e0121610. doi:10.1371/journal.pone.0121610</w:t>
      </w:r>
    </w:p>
    <w:p w14:paraId="7A0FEB83" w14:textId="4066460B" w:rsidR="00C867F2" w:rsidRPr="00A314B6" w:rsidRDefault="00E57206" w:rsidP="00EF43EE">
      <w:pPr>
        <w:spacing w:line="360" w:lineRule="auto"/>
        <w:ind w:left="440" w:hanging="440"/>
        <w:rPr>
          <w:rFonts w:ascii="Times New Roman" w:hAnsi="Times New Roman" w:cs="Times New Roman"/>
          <w:b/>
        </w:rPr>
      </w:pPr>
      <w:r w:rsidRPr="00EF43EE">
        <w:rPr>
          <w:rFonts w:ascii="Times New Roman" w:hAnsi="Times New Roman" w:cs="Times New Roman"/>
        </w:rPr>
        <w:fldChar w:fldCharType="end"/>
      </w:r>
    </w:p>
    <w:sectPr w:rsidR="00C867F2" w:rsidRPr="00A314B6">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wNjC1MDE1NzE0tbBU0lEKTi0uzszPAykwrgUAusGS9ywAAAA="/>
  </w:docVars>
  <w:rsids>
    <w:rsidRoot w:val="00C867F2"/>
    <w:rsid w:val="00091ABB"/>
    <w:rsid w:val="000A2768"/>
    <w:rsid w:val="00145F7E"/>
    <w:rsid w:val="001E5868"/>
    <w:rsid w:val="002C2356"/>
    <w:rsid w:val="002E6A0A"/>
    <w:rsid w:val="00325443"/>
    <w:rsid w:val="003B6EA8"/>
    <w:rsid w:val="00415916"/>
    <w:rsid w:val="004A047B"/>
    <w:rsid w:val="00562046"/>
    <w:rsid w:val="005A7741"/>
    <w:rsid w:val="006B1AC2"/>
    <w:rsid w:val="00763F64"/>
    <w:rsid w:val="007C2019"/>
    <w:rsid w:val="00886FB2"/>
    <w:rsid w:val="00943966"/>
    <w:rsid w:val="0095334C"/>
    <w:rsid w:val="00970848"/>
    <w:rsid w:val="00A314B6"/>
    <w:rsid w:val="00BF49BA"/>
    <w:rsid w:val="00C74F0D"/>
    <w:rsid w:val="00C867F2"/>
    <w:rsid w:val="00D40207"/>
    <w:rsid w:val="00E31BA2"/>
    <w:rsid w:val="00E57206"/>
    <w:rsid w:val="00EB5B83"/>
    <w:rsid w:val="00ED210E"/>
    <w:rsid w:val="00EF43EE"/>
    <w:rsid w:val="00F56334"/>
    <w:rsid w:val="00FC2959"/>
    <w:rsid w:val="00FF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FBFC3"/>
  <w15:docId w15:val="{6D68A066-E0A0-41A1-9261-1DD2188E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74"/>
    <w:rPr>
      <w:rFonts w:ascii="Calibri" w:eastAsiaTheme="minorEastAsia" w:hAnsi="Calibri"/>
      <w:sz w:val="24"/>
      <w:szCs w:val="24"/>
    </w:rPr>
  </w:style>
  <w:style w:type="paragraph" w:styleId="Heading1">
    <w:name w:val="heading 1"/>
    <w:basedOn w:val="Heading"/>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02171"/>
    <w:rPr>
      <w:rFonts w:ascii="Tahoma" w:eastAsiaTheme="minorEastAsia" w:hAnsi="Tahoma" w:cs="Tahoma"/>
      <w:sz w:val="16"/>
      <w:szCs w:val="16"/>
    </w:rPr>
  </w:style>
  <w:style w:type="character" w:customStyle="1" w:styleId="breakword">
    <w:name w:val="breakword"/>
    <w:basedOn w:val="DefaultParagraphFont"/>
    <w:qFormat/>
    <w:rsid w:val="00A0148A"/>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B02171"/>
    <w:rPr>
      <w:rFonts w:ascii="Tahoma" w:hAnsi="Tahoma" w:cs="Tahoma"/>
      <w:sz w:val="16"/>
      <w:szCs w:val="16"/>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59"/>
    <w:rsid w:val="00802D74"/>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5731">
      <w:bodyDiv w:val="1"/>
      <w:marLeft w:val="0"/>
      <w:marRight w:val="0"/>
      <w:marTop w:val="0"/>
      <w:marBottom w:val="0"/>
      <w:divBdr>
        <w:top w:val="none" w:sz="0" w:space="0" w:color="auto"/>
        <w:left w:val="none" w:sz="0" w:space="0" w:color="auto"/>
        <w:bottom w:val="none" w:sz="0" w:space="0" w:color="auto"/>
        <w:right w:val="none" w:sz="0" w:space="0" w:color="auto"/>
      </w:divBdr>
    </w:div>
    <w:div w:id="241834123">
      <w:bodyDiv w:val="1"/>
      <w:marLeft w:val="0"/>
      <w:marRight w:val="0"/>
      <w:marTop w:val="0"/>
      <w:marBottom w:val="0"/>
      <w:divBdr>
        <w:top w:val="none" w:sz="0" w:space="0" w:color="auto"/>
        <w:left w:val="none" w:sz="0" w:space="0" w:color="auto"/>
        <w:bottom w:val="none" w:sz="0" w:space="0" w:color="auto"/>
        <w:right w:val="none" w:sz="0" w:space="0" w:color="auto"/>
      </w:divBdr>
    </w:div>
    <w:div w:id="344523220">
      <w:bodyDiv w:val="1"/>
      <w:marLeft w:val="0"/>
      <w:marRight w:val="0"/>
      <w:marTop w:val="0"/>
      <w:marBottom w:val="0"/>
      <w:divBdr>
        <w:top w:val="none" w:sz="0" w:space="0" w:color="auto"/>
        <w:left w:val="none" w:sz="0" w:space="0" w:color="auto"/>
        <w:bottom w:val="none" w:sz="0" w:space="0" w:color="auto"/>
        <w:right w:val="none" w:sz="0" w:space="0" w:color="auto"/>
      </w:divBdr>
    </w:div>
    <w:div w:id="630744132">
      <w:bodyDiv w:val="1"/>
      <w:marLeft w:val="0"/>
      <w:marRight w:val="0"/>
      <w:marTop w:val="0"/>
      <w:marBottom w:val="0"/>
      <w:divBdr>
        <w:top w:val="none" w:sz="0" w:space="0" w:color="auto"/>
        <w:left w:val="none" w:sz="0" w:space="0" w:color="auto"/>
        <w:bottom w:val="none" w:sz="0" w:space="0" w:color="auto"/>
        <w:right w:val="none" w:sz="0" w:space="0" w:color="auto"/>
      </w:divBdr>
    </w:div>
    <w:div w:id="665207430">
      <w:bodyDiv w:val="1"/>
      <w:marLeft w:val="0"/>
      <w:marRight w:val="0"/>
      <w:marTop w:val="0"/>
      <w:marBottom w:val="0"/>
      <w:divBdr>
        <w:top w:val="none" w:sz="0" w:space="0" w:color="auto"/>
        <w:left w:val="none" w:sz="0" w:space="0" w:color="auto"/>
        <w:bottom w:val="none" w:sz="0" w:space="0" w:color="auto"/>
        <w:right w:val="none" w:sz="0" w:space="0" w:color="auto"/>
      </w:divBdr>
    </w:div>
    <w:div w:id="957375923">
      <w:bodyDiv w:val="1"/>
      <w:marLeft w:val="0"/>
      <w:marRight w:val="0"/>
      <w:marTop w:val="0"/>
      <w:marBottom w:val="0"/>
      <w:divBdr>
        <w:top w:val="none" w:sz="0" w:space="0" w:color="auto"/>
        <w:left w:val="none" w:sz="0" w:space="0" w:color="auto"/>
        <w:bottom w:val="none" w:sz="0" w:space="0" w:color="auto"/>
        <w:right w:val="none" w:sz="0" w:space="0" w:color="auto"/>
      </w:divBdr>
    </w:div>
    <w:div w:id="1983459491">
      <w:bodyDiv w:val="1"/>
      <w:marLeft w:val="0"/>
      <w:marRight w:val="0"/>
      <w:marTop w:val="0"/>
      <w:marBottom w:val="0"/>
      <w:divBdr>
        <w:top w:val="none" w:sz="0" w:space="0" w:color="auto"/>
        <w:left w:val="none" w:sz="0" w:space="0" w:color="auto"/>
        <w:bottom w:val="none" w:sz="0" w:space="0" w:color="auto"/>
        <w:right w:val="none" w:sz="0" w:space="0" w:color="auto"/>
      </w:divBdr>
    </w:div>
    <w:div w:id="1986200409">
      <w:bodyDiv w:val="1"/>
      <w:marLeft w:val="0"/>
      <w:marRight w:val="0"/>
      <w:marTop w:val="0"/>
      <w:marBottom w:val="0"/>
      <w:divBdr>
        <w:top w:val="none" w:sz="0" w:space="0" w:color="auto"/>
        <w:left w:val="none" w:sz="0" w:space="0" w:color="auto"/>
        <w:bottom w:val="none" w:sz="0" w:space="0" w:color="auto"/>
        <w:right w:val="none" w:sz="0" w:space="0" w:color="auto"/>
      </w:divBdr>
    </w:div>
    <w:div w:id="2098793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24FE-5732-4D90-940E-B0BA6F95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najum</dc:creator>
  <dc:description/>
  <cp:lastModifiedBy>najum</cp:lastModifiedBy>
  <cp:revision>3</cp:revision>
  <dcterms:created xsi:type="dcterms:W3CDTF">2022-06-03T05:06:00Z</dcterms:created>
  <dcterms:modified xsi:type="dcterms:W3CDTF">2022-06-03T05:07:00Z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FileId">
    <vt:lpwstr>1563696</vt:lpwstr>
  </property>
  <property fmtid="{D5CDD505-2E9C-101B-9397-08002B2CF9AE}" pid="5" name="HyperlinksChanged">
    <vt:bool>false</vt:bool>
  </property>
  <property fmtid="{D5CDD505-2E9C-101B-9397-08002B2CF9AE}" pid="6" name="LinksUpToDate">
    <vt:bool>false</vt:bool>
  </property>
  <property fmtid="{D5CDD505-2E9C-101B-9397-08002B2CF9AE}" pid="7" name="ProjectId">
    <vt:lpwstr>-1</vt:lpwstr>
  </property>
  <property fmtid="{D5CDD505-2E9C-101B-9397-08002B2CF9AE}" pid="8" name="ScaleCrop">
    <vt:bool>false</vt:bool>
  </property>
  <property fmtid="{D5CDD505-2E9C-101B-9397-08002B2CF9AE}" pid="9" name="ShareDoc">
    <vt:bool>false</vt:bool>
  </property>
  <property fmtid="{D5CDD505-2E9C-101B-9397-08002B2CF9AE}" pid="10" name="InsertAsFootnote">
    <vt:lpwstr>False</vt:lpwstr>
  </property>
  <property fmtid="{D5CDD505-2E9C-101B-9397-08002B2CF9AE}" pid="11" name="StyleId">
    <vt:lpwstr>http://www.zotero.org/styles/plos-one</vt:lpwstr>
  </property>
</Properties>
</file>