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F5" w:rsidRPr="005753CA" w:rsidRDefault="008400F5" w:rsidP="008400F5">
      <w:pPr>
        <w:pStyle w:val="Normalny1"/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7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7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Table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366"/>
        <w:gridCol w:w="1806"/>
        <w:gridCol w:w="1806"/>
        <w:gridCol w:w="1807"/>
        <w:gridCol w:w="1807"/>
        <w:gridCol w:w="1807"/>
        <w:gridCol w:w="1807"/>
      </w:tblGrid>
      <w:tr w:rsidR="008400F5" w:rsidRPr="005753CA" w:rsidTr="008400F5">
        <w:trPr>
          <w:trHeight w:val="740"/>
        </w:trPr>
        <w:tc>
          <w:tcPr>
            <w:tcW w:w="89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Energy component</w:t>
            </w:r>
          </w:p>
        </w:tc>
        <w:tc>
          <w:tcPr>
            <w:tcW w:w="2052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DiCDD</w:t>
            </w:r>
          </w:p>
        </w:tc>
        <w:tc>
          <w:tcPr>
            <w:tcW w:w="2052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TCDD</w:t>
            </w:r>
          </w:p>
        </w:tc>
      </w:tr>
      <w:tr w:rsidR="008400F5" w:rsidRPr="005753CA" w:rsidTr="008400F5">
        <w:trPr>
          <w:trHeight w:val="440"/>
        </w:trPr>
        <w:tc>
          <w:tcPr>
            <w:tcW w:w="89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pCYP1A1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pCYP1A2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pCYP1B1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pCYP1A1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pCYP1A2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pCYP1B1</w:t>
            </w:r>
          </w:p>
        </w:tc>
      </w:tr>
      <w:tr w:rsidR="008400F5" w:rsidRPr="005753CA" w:rsidTr="008400F5"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elec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vdw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rest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prot</m:t>
                    </m:r>
                  </m:sup>
                </m:sSubSup>
              </m:oMath>
            </m:oMathPara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-16.300±0.073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-22.369±0.022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-19.325±0.082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-21.809±0.063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-23.335±0.013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-20.141±0.071</w:t>
            </w:r>
          </w:p>
        </w:tc>
      </w:tr>
      <w:tr w:rsidR="008400F5" w:rsidRPr="005753CA" w:rsidTr="008400F5"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elec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vdw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solv</m:t>
                    </m:r>
                  </m:sup>
                </m:sSubSup>
              </m:oMath>
            </m:oMathPara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2.611±0.014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2.611±0.014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2.611±0.014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2.497±0.016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2.497±0.016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2.497±0.016</w:t>
            </w:r>
          </w:p>
        </w:tc>
      </w:tr>
      <w:tr w:rsidR="008400F5" w:rsidRPr="005753CA" w:rsidTr="008400F5"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rest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solv</m:t>
                    </m:r>
                  </m:sup>
                </m:sSubSup>
              </m:oMath>
            </m:oMathPara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6.906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6.980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7.092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7.055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6.894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7.167</w:t>
            </w:r>
          </w:p>
        </w:tc>
      </w:tr>
      <w:tr w:rsidR="008400F5" w:rsidRPr="005753CA" w:rsidTr="008400F5"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binding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-6.783±0.074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-12.778±0.026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-9.622±0.083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-12.145±0.065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-13.671±0.02</w:t>
            </w:r>
          </w:p>
        </w:tc>
        <w:tc>
          <w:tcPr>
            <w:tcW w:w="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0F5" w:rsidRPr="005753CA" w:rsidRDefault="008400F5" w:rsidP="001650D9">
            <w:pPr>
              <w:pStyle w:val="Normalny1"/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3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-10.477±0.073</w:t>
            </w:r>
          </w:p>
        </w:tc>
      </w:tr>
    </w:tbl>
    <w:p w:rsidR="008400F5" w:rsidRPr="005753CA" w:rsidRDefault="008400F5" w:rsidP="008400F5">
      <w:pPr>
        <w:pStyle w:val="Normalny1"/>
        <w:spacing w:line="48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m:t>Δ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m:t>elec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m:t>vdw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m:t>rest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m:t>prot</m:t>
            </m:r>
          </m:sup>
        </m:sSubSup>
      </m:oMath>
      <w:r w:rsidRPr="005753C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– ligand decoupling from complex;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m:t>Δ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elec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vdw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solv</m:t>
            </m:r>
          </m:sup>
        </m:sSubSup>
      </m:oMath>
      <w:r w:rsidRPr="005753C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– ligand decoupling from solution;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m:t>Δ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rest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solv</m:t>
            </m:r>
          </m:sup>
        </m:sSubSup>
      </m:oMath>
      <w:r w:rsidRPr="005753C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– ligand restraints added to decoupled ligand;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m:t>Δ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US"/>
              </w:rPr>
              <m:t>binding</m:t>
            </m:r>
          </m:sub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m:t>0</m:t>
            </m:r>
          </m:sup>
        </m:sSubSup>
      </m:oMath>
      <w:r w:rsidRPr="005753C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– absolute binding free energy,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lang w:val="en-US"/>
              </w:rPr>
              <m:t>Δ</m:t>
            </m:r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binding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o</m:t>
            </m:r>
          </m:sup>
        </m:sSubSup>
        <m:r>
          <w:rPr>
            <w:rFonts w:ascii="Cambria Math" w:eastAsia="Times New Roman" w:hAnsi="Times New Roman" w:cs="Times New Roman"/>
            <w:color w:val="000000" w:themeColor="text1"/>
            <w:lang w:val="en-US"/>
          </w:rPr>
          <m:t>=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lang w:val="en-US"/>
              </w:rPr>
              <m:t>Δ</m:t>
            </m:r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elec</m:t>
            </m:r>
            <m:r>
              <w:rPr>
                <w:rFonts w:ascii="Cambria Math" w:eastAsia="Times New Roman" w:hAnsi="Times New Roman" w:cs="Times New Roman"/>
                <w:color w:val="000000" w:themeColor="text1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vdw</m:t>
            </m:r>
            <m:r>
              <w:rPr>
                <w:rFonts w:ascii="Cambria Math" w:eastAsia="Times New Roman" w:hAnsi="Times New Roman" w:cs="Times New Roman"/>
                <w:color w:val="000000" w:themeColor="text1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rest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prot</m:t>
            </m:r>
          </m:sup>
        </m:sSubSup>
        <m:r>
          <w:rPr>
            <w:rFonts w:ascii="Cambria Math" w:eastAsia="Times New Roman" w:hAnsi="Times New Roman" w:cs="Times New Roman"/>
            <w:color w:val="000000" w:themeColor="text1"/>
            <w:lang w:val="en-US"/>
          </w:rPr>
          <m:t>+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lang w:val="en-US"/>
              </w:rPr>
              <m:t>Δ</m:t>
            </m:r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elec</m:t>
            </m:r>
            <m:r>
              <w:rPr>
                <w:rFonts w:ascii="Cambria Math" w:eastAsia="Times New Roman" w:hAnsi="Times New Roman" w:cs="Times New Roman"/>
                <w:color w:val="000000" w:themeColor="text1"/>
                <w:lang w:val="en-US"/>
              </w:rPr>
              <m:t>+</m:t>
            </m:r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vdw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solv</m:t>
            </m:r>
          </m:sup>
        </m:sSubSup>
        <m:r>
          <w:rPr>
            <w:rFonts w:ascii="Cambria Math" w:eastAsia="Times New Roman" w:hAnsi="Times New Roman" w:cs="Times New Roman"/>
            <w:color w:val="000000" w:themeColor="text1"/>
            <w:lang w:val="en-US"/>
          </w:rPr>
          <m:t>+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lang w:val="en-US"/>
              </w:rPr>
              <m:t>Δ</m:t>
            </m:r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rest</m:t>
            </m:r>
          </m:sub>
          <m:sup>
            <m:r>
              <w:rPr>
                <w:rFonts w:ascii="Cambria Math" w:eastAsia="Times New Roman" w:hAnsi="Cambria Math" w:cs="Times New Roman"/>
                <w:color w:val="000000" w:themeColor="text1"/>
                <w:lang w:val="en-US"/>
              </w:rPr>
              <m:t>solv</m:t>
            </m:r>
          </m:sup>
        </m:sSubSup>
      </m:oMath>
    </w:p>
    <w:p w:rsidR="00654B8F" w:rsidRPr="008400F5" w:rsidRDefault="008400F5" w:rsidP="008400F5">
      <w:pPr>
        <w:rPr>
          <w:lang w:val="en-US"/>
        </w:rPr>
      </w:pPr>
      <w:r w:rsidRPr="005753CA">
        <w:rPr>
          <w:rFonts w:ascii="Times New Roman" w:eastAsia="Times New Roman" w:hAnsi="Times New Roman" w:cs="Times New Roman"/>
          <w:color w:val="000000" w:themeColor="text1"/>
          <w:lang w:val="en-US"/>
        </w:rPr>
        <w:t>DiCDD – 2,7-dichlorodibenzo-</w:t>
      </w:r>
      <w:r w:rsidRPr="005753CA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p</w:t>
      </w:r>
      <w:r w:rsidRPr="005753CA">
        <w:rPr>
          <w:rFonts w:ascii="Times New Roman" w:eastAsia="Times New Roman" w:hAnsi="Times New Roman" w:cs="Times New Roman"/>
          <w:color w:val="000000" w:themeColor="text1"/>
          <w:lang w:val="en-US"/>
        </w:rPr>
        <w:t>-dioxin, TCDD – 2,3,7,8-tetrachlorodibenzo-</w:t>
      </w:r>
      <w:r w:rsidRPr="005753CA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p</w:t>
      </w:r>
      <w:r w:rsidRPr="005753CA">
        <w:rPr>
          <w:rFonts w:ascii="Times New Roman" w:eastAsia="Times New Roman" w:hAnsi="Times New Roman" w:cs="Times New Roman"/>
          <w:color w:val="000000" w:themeColor="text1"/>
          <w:lang w:val="en-US"/>
        </w:rPr>
        <w:t>-dioxin</w:t>
      </w:r>
    </w:p>
    <w:sectPr w:rsidR="00654B8F" w:rsidRPr="008400F5" w:rsidSect="008400F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00F5"/>
    <w:rsid w:val="00654B8F"/>
    <w:rsid w:val="0084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0F5"/>
    <w:pPr>
      <w:spacing w:line="360" w:lineRule="auto"/>
      <w:jc w:val="both"/>
    </w:pPr>
    <w:rPr>
      <w:rFonts w:ascii="Arial" w:eastAsia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400F5"/>
    <w:pPr>
      <w:spacing w:line="360" w:lineRule="auto"/>
      <w:jc w:val="both"/>
    </w:pPr>
    <w:rPr>
      <w:rFonts w:ascii="Arial" w:eastAsia="Arial" w:hAnsi="Arial" w:cs="Aria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F5"/>
    <w:rPr>
      <w:rFonts w:ascii="Tahoma" w:eastAsia="Arial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2022-04-08T08:20:00Z</dcterms:created>
  <dcterms:modified xsi:type="dcterms:W3CDTF">2022-04-08T08:21:00Z</dcterms:modified>
</cp:coreProperties>
</file>