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3BF" w:rsidRPr="00D349AE" w:rsidRDefault="00D349AE" w:rsidP="00D349AE">
      <w:pPr>
        <w:pStyle w:val="EndNoteBibliography"/>
        <w:spacing w:after="0"/>
        <w:jc w:val="center"/>
        <w:rPr>
          <w:rFonts w:ascii="Times New Roman" w:hAnsi="Times New Roman" w:cs="Times New Roman"/>
          <w:b/>
          <w:sz w:val="24"/>
          <w:szCs w:val="24"/>
        </w:rPr>
      </w:pPr>
      <w:r w:rsidRPr="00D349AE">
        <w:rPr>
          <w:rFonts w:ascii="Times New Roman" w:hAnsi="Times New Roman" w:cs="Times New Roman"/>
          <w:b/>
          <w:sz w:val="24"/>
          <w:szCs w:val="24"/>
        </w:rPr>
        <w:t>Appendix to the article What contributes to the assessment of Self-Rated Health?</w:t>
      </w:r>
    </w:p>
    <w:p w:rsidR="00D349AE" w:rsidRDefault="00D349AE" w:rsidP="007D381A">
      <w:pPr>
        <w:pStyle w:val="EndNoteBibliography"/>
        <w:spacing w:after="0"/>
        <w:rPr>
          <w:rFonts w:ascii="Times New Roman" w:hAnsi="Times New Roman" w:cs="Times New Roman"/>
          <w:sz w:val="24"/>
          <w:szCs w:val="24"/>
        </w:rPr>
      </w:pPr>
    </w:p>
    <w:p w:rsidR="007D381A" w:rsidRPr="00232D84" w:rsidRDefault="003353BF" w:rsidP="007D381A">
      <w:pPr>
        <w:pStyle w:val="EndNoteBibliography"/>
        <w:spacing w:after="0"/>
        <w:rPr>
          <w:rFonts w:ascii="Times New Roman" w:hAnsi="Times New Roman" w:cs="Times New Roman"/>
          <w:sz w:val="24"/>
          <w:szCs w:val="24"/>
        </w:rPr>
      </w:pPr>
      <w:r>
        <w:rPr>
          <w:rFonts w:ascii="Times New Roman" w:hAnsi="Times New Roman" w:cs="Times New Roman"/>
          <w:sz w:val="24"/>
          <w:szCs w:val="24"/>
        </w:rPr>
        <w:t>Figure</w:t>
      </w:r>
      <w:r w:rsidR="007D381A" w:rsidRPr="00232D84">
        <w:rPr>
          <w:rFonts w:ascii="Times New Roman" w:hAnsi="Times New Roman" w:cs="Times New Roman"/>
          <w:sz w:val="24"/>
          <w:szCs w:val="24"/>
        </w:rPr>
        <w:t xml:space="preserve"> </w:t>
      </w:r>
      <w:r w:rsidR="007F343E">
        <w:rPr>
          <w:rFonts w:ascii="Times New Roman" w:hAnsi="Times New Roman" w:cs="Times New Roman"/>
          <w:sz w:val="24"/>
          <w:szCs w:val="24"/>
        </w:rPr>
        <w:t>A</w:t>
      </w:r>
      <w:r w:rsidR="007D381A" w:rsidRPr="00232D84">
        <w:rPr>
          <w:rFonts w:ascii="Times New Roman" w:hAnsi="Times New Roman" w:cs="Times New Roman"/>
          <w:sz w:val="24"/>
          <w:szCs w:val="24"/>
        </w:rPr>
        <w:t>1: Distribution of biomarkers (CRP, Glucose, TG, HDL, LDL/HDL ratio), Qualitas 2016/2017 survey, N = 1 030</w:t>
      </w:r>
    </w:p>
    <w:p w:rsidR="007D381A" w:rsidRDefault="007D381A" w:rsidP="007D381A">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lang w:val="cs-CZ" w:eastAsia="cs-CZ"/>
        </w:rPr>
        <w:drawing>
          <wp:inline distT="0" distB="0" distL="0" distR="0" wp14:anchorId="0715DBC0" wp14:editId="6C9BFB30">
            <wp:extent cx="5760720" cy="19202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rsidR="007D381A" w:rsidRPr="008529BA" w:rsidRDefault="007D381A" w:rsidP="007D381A">
      <w:pPr>
        <w:pStyle w:val="EndNoteBibliography"/>
        <w:spacing w:after="0" w:line="480" w:lineRule="auto"/>
        <w:rPr>
          <w:rFonts w:ascii="Times New Roman" w:hAnsi="Times New Roman" w:cs="Times New Roman"/>
        </w:rPr>
      </w:pPr>
    </w:p>
    <w:p w:rsidR="007D381A" w:rsidRDefault="007D381A" w:rsidP="007D381A">
      <w:pPr>
        <w:pStyle w:val="EndNoteBibliography"/>
        <w:spacing w:after="0" w:line="480" w:lineRule="auto"/>
        <w:rPr>
          <w:rFonts w:ascii="Times New Roman" w:hAnsi="Times New Roman" w:cs="Times New Roman"/>
          <w:sz w:val="24"/>
          <w:szCs w:val="24"/>
        </w:rPr>
      </w:pPr>
      <w:r>
        <w:rPr>
          <w:rFonts w:ascii="Times New Roman" w:hAnsi="Times New Roman" w:cs="Times New Roman"/>
          <w:sz w:val="24"/>
          <w:szCs w:val="24"/>
          <w:lang w:val="cs-CZ" w:eastAsia="cs-CZ"/>
        </w:rPr>
        <w:drawing>
          <wp:inline distT="0" distB="0" distL="0" distR="0" wp14:anchorId="3700413F" wp14:editId="1FD3DB71">
            <wp:extent cx="5760720" cy="38404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D381A" w:rsidRDefault="007D381A" w:rsidP="007D381A">
      <w:pPr>
        <w:pStyle w:val="EndNoteBibliography"/>
        <w:spacing w:after="0" w:line="480" w:lineRule="auto"/>
        <w:rPr>
          <w:rFonts w:ascii="Times New Roman" w:hAnsi="Times New Roman" w:cs="Times New Roman"/>
          <w:sz w:val="24"/>
          <w:szCs w:val="24"/>
        </w:rPr>
      </w:pPr>
    </w:p>
    <w:p w:rsidR="007D381A" w:rsidRDefault="007D381A" w:rsidP="007D381A">
      <w:pPr>
        <w:pStyle w:val="EndNoteBibliography"/>
        <w:spacing w:after="0" w:line="480" w:lineRule="auto"/>
        <w:rPr>
          <w:rFonts w:ascii="Times New Roman" w:hAnsi="Times New Roman" w:cs="Times New Roman"/>
          <w:sz w:val="24"/>
          <w:szCs w:val="24"/>
        </w:rPr>
      </w:pPr>
    </w:p>
    <w:p w:rsidR="007D381A" w:rsidRDefault="007D381A" w:rsidP="007D381A">
      <w:pPr>
        <w:rPr>
          <w:rFonts w:ascii="Times New Roman" w:hAnsi="Times New Roman" w:cs="Times New Roman"/>
          <w:sz w:val="24"/>
          <w:szCs w:val="24"/>
        </w:rPr>
      </w:pPr>
      <w:r>
        <w:rPr>
          <w:rFonts w:ascii="Times New Roman" w:hAnsi="Times New Roman" w:cs="Times New Roman"/>
          <w:sz w:val="24"/>
          <w:szCs w:val="24"/>
        </w:rPr>
        <w:br w:type="page"/>
      </w:r>
      <w:r w:rsidR="00D349AE">
        <w:rPr>
          <w:rFonts w:ascii="Times New Roman" w:hAnsi="Times New Roman" w:cs="Times New Roman"/>
          <w:sz w:val="24"/>
          <w:szCs w:val="24"/>
        </w:rPr>
        <w:lastRenderedPageBreak/>
        <w:t xml:space="preserve">Table </w:t>
      </w:r>
      <w:r w:rsidR="00C833CE">
        <w:rPr>
          <w:rFonts w:ascii="Times New Roman" w:hAnsi="Times New Roman" w:cs="Times New Roman"/>
          <w:sz w:val="24"/>
          <w:szCs w:val="24"/>
        </w:rPr>
        <w:t>A</w:t>
      </w:r>
      <w:r w:rsidR="00D349AE">
        <w:rPr>
          <w:rFonts w:ascii="Times New Roman" w:hAnsi="Times New Roman" w:cs="Times New Roman"/>
          <w:sz w:val="24"/>
          <w:szCs w:val="24"/>
        </w:rPr>
        <w:t>1: Measurement model for mental health</w:t>
      </w:r>
      <w:r w:rsidR="00D67CDD">
        <w:rPr>
          <w:rFonts w:ascii="Times New Roman" w:hAnsi="Times New Roman" w:cs="Times New Roman"/>
          <w:sz w:val="24"/>
          <w:szCs w:val="24"/>
        </w:rPr>
        <w:t xml:space="preserve">, </w:t>
      </w:r>
      <w:r w:rsidR="00D67CDD" w:rsidRPr="00D67CDD">
        <w:rPr>
          <w:rFonts w:ascii="Times New Roman" w:hAnsi="Times New Roman" w:cs="Times New Roman"/>
          <w:sz w:val="24"/>
          <w:szCs w:val="24"/>
        </w:rPr>
        <w:t>Qualitas 2016/2017 survey</w:t>
      </w:r>
      <w:r w:rsidR="00D67CDD">
        <w:rPr>
          <w:rFonts w:ascii="Times New Roman" w:hAnsi="Times New Roman" w:cs="Times New Roman"/>
          <w:sz w:val="24"/>
          <w:szCs w:val="24"/>
        </w:rPr>
        <w:t>, N=1</w:t>
      </w:r>
      <w:r w:rsidR="00CE2BAD">
        <w:rPr>
          <w:rFonts w:ascii="Times New Roman" w:hAnsi="Times New Roman" w:cs="Times New Roman"/>
          <w:sz w:val="24"/>
          <w:szCs w:val="24"/>
        </w:rPr>
        <w:t xml:space="preserve"> </w:t>
      </w:r>
      <w:r w:rsidR="00D67CDD">
        <w:rPr>
          <w:rFonts w:ascii="Times New Roman" w:hAnsi="Times New Roman" w:cs="Times New Roman"/>
          <w:sz w:val="24"/>
          <w:szCs w:val="24"/>
        </w:rPr>
        <w:t>053</w:t>
      </w:r>
    </w:p>
    <w:tbl>
      <w:tblPr>
        <w:tblW w:w="0" w:type="auto"/>
        <w:tblCellMar>
          <w:left w:w="70" w:type="dxa"/>
          <w:right w:w="70" w:type="dxa"/>
        </w:tblCellMar>
        <w:tblLook w:val="04A0" w:firstRow="1" w:lastRow="0" w:firstColumn="1" w:lastColumn="0" w:noHBand="0" w:noVBand="1"/>
      </w:tblPr>
      <w:tblGrid>
        <w:gridCol w:w="4536"/>
        <w:gridCol w:w="940"/>
        <w:gridCol w:w="860"/>
        <w:gridCol w:w="920"/>
        <w:gridCol w:w="960"/>
      </w:tblGrid>
      <w:tr w:rsidR="00D67CDD" w:rsidRPr="00D67CDD" w:rsidTr="00310A92">
        <w:trPr>
          <w:trHeight w:val="260"/>
        </w:trPr>
        <w:tc>
          <w:tcPr>
            <w:tcW w:w="4536"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4"/>
                <w:szCs w:val="24"/>
                <w:lang w:eastAsia="cs-CZ"/>
              </w:rPr>
            </w:pPr>
          </w:p>
        </w:tc>
        <w:tc>
          <w:tcPr>
            <w:tcW w:w="1800" w:type="dxa"/>
            <w:gridSpan w:val="2"/>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Model 1</w:t>
            </w:r>
          </w:p>
        </w:tc>
        <w:tc>
          <w:tcPr>
            <w:tcW w:w="1880" w:type="dxa"/>
            <w:gridSpan w:val="2"/>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Model 2</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4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Coef</w:t>
            </w:r>
          </w:p>
        </w:tc>
        <w:tc>
          <w:tcPr>
            <w:tcW w:w="8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S.E.</w:t>
            </w:r>
          </w:p>
        </w:tc>
        <w:tc>
          <w:tcPr>
            <w:tcW w:w="92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Coef</w:t>
            </w:r>
          </w:p>
        </w:tc>
        <w:tc>
          <w:tcPr>
            <w:tcW w:w="9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S.E.</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It1: You felt depress</w:t>
            </w:r>
          </w:p>
        </w:tc>
        <w:tc>
          <w:tcPr>
            <w:tcW w:w="94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 xml:space="preserve">              </w:t>
            </w:r>
          </w:p>
        </w:tc>
        <w:tc>
          <w:tcPr>
            <w:tcW w:w="86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6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Depress</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Constant</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1.866**</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-0.023</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1.866**</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-0.023</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It2: You felt that everything you did was an effort</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 xml:space="preserve">              </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Depress</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0.990**</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-0.058</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1.006**</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-0.058</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Constant</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1.809**</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-0.023</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1.809**</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-0.023</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It3: You felt sad</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 xml:space="preserve">              </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Depress</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0.814**</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-0.043</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0.830**</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-0.043</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Constant</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1.712**</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-0.022</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1.712**</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-0.022</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It4: You felt that you could not get going</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 xml:space="preserve">              </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Depress</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1.037**</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-0.062</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1.070**</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-0.062</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Constant</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1.996**</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-0.023</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1.996**</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-0.023</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Sleep quality</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r>
      <w:tr w:rsidR="00D67CDD" w:rsidRPr="00D67CDD" w:rsidTr="00D67CDD">
        <w:trPr>
          <w:trHeight w:val="260"/>
        </w:trPr>
        <w:tc>
          <w:tcPr>
            <w:tcW w:w="4536" w:type="dxa"/>
            <w:tcBorders>
              <w:top w:val="nil"/>
              <w:left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Depress</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0.576**</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-0.055</w:t>
            </w:r>
          </w:p>
        </w:tc>
      </w:tr>
      <w:tr w:rsidR="00D67CDD" w:rsidRPr="00D67CDD" w:rsidTr="00D67CDD">
        <w:trPr>
          <w:trHeight w:val="260"/>
        </w:trPr>
        <w:tc>
          <w:tcPr>
            <w:tcW w:w="4536" w:type="dxa"/>
            <w:tcBorders>
              <w:top w:val="nil"/>
              <w:left w:val="nil"/>
              <w:right w:val="nil"/>
            </w:tcBorders>
            <w:shd w:val="clear" w:color="auto" w:fill="auto"/>
            <w:noWrap/>
            <w:vAlign w:val="bottom"/>
            <w:hideMark/>
          </w:tcPr>
          <w:p w:rsidR="00D67CDD" w:rsidRPr="00D67CDD" w:rsidRDefault="00D67CDD" w:rsidP="00D67CDD">
            <w:pPr>
              <w:spacing w:after="0" w:line="240" w:lineRule="auto"/>
              <w:jc w:val="right"/>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Constant</w:t>
            </w:r>
          </w:p>
        </w:tc>
        <w:tc>
          <w:tcPr>
            <w:tcW w:w="94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8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2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1.996**</w:t>
            </w:r>
          </w:p>
        </w:tc>
        <w:tc>
          <w:tcPr>
            <w:tcW w:w="9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-0.024</w:t>
            </w:r>
          </w:p>
        </w:tc>
      </w:tr>
      <w:tr w:rsidR="00D67CDD" w:rsidRPr="00D67CDD" w:rsidTr="00D67CDD">
        <w:trPr>
          <w:trHeight w:val="260"/>
        </w:trPr>
        <w:tc>
          <w:tcPr>
            <w:tcW w:w="4536" w:type="dxa"/>
            <w:tcBorders>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var(e.It1)</w:t>
            </w:r>
          </w:p>
        </w:tc>
        <w:tc>
          <w:tcPr>
            <w:tcW w:w="94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0.283**</w:t>
            </w:r>
          </w:p>
        </w:tc>
        <w:tc>
          <w:tcPr>
            <w:tcW w:w="86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-0.019</w:t>
            </w:r>
          </w:p>
        </w:tc>
        <w:tc>
          <w:tcPr>
            <w:tcW w:w="92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0.293**</w:t>
            </w:r>
          </w:p>
        </w:tc>
        <w:tc>
          <w:tcPr>
            <w:tcW w:w="96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-0.018</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var(e.It2)</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0.289**</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-0.018</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0.290**</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-0.018</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var(e.It3)</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0.339**</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-0.019</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0.338**</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-0.018</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var(e.It4)</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0.248**</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-0.018</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0.240**</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-0.017</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var(e.sleep)</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0.511**</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-0.023</w:t>
            </w: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var(Depress)</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0.280**</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-0.026</w:t>
            </w: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0.270**</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-0.025</w:t>
            </w:r>
          </w:p>
        </w:tc>
      </w:tr>
      <w:tr w:rsidR="00D67CDD" w:rsidRPr="00D67CDD" w:rsidTr="00D67CDD">
        <w:trPr>
          <w:trHeight w:val="260"/>
        </w:trPr>
        <w:tc>
          <w:tcPr>
            <w:tcW w:w="4536"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cov(e.It1,e.It3)</w:t>
            </w:r>
          </w:p>
        </w:tc>
        <w:tc>
          <w:tcPr>
            <w:tcW w:w="94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0.095**</w:t>
            </w:r>
          </w:p>
        </w:tc>
        <w:tc>
          <w:tcPr>
            <w:tcW w:w="8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-0.015</w:t>
            </w:r>
          </w:p>
        </w:tc>
        <w:tc>
          <w:tcPr>
            <w:tcW w:w="92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0.099**</w:t>
            </w:r>
          </w:p>
        </w:tc>
        <w:tc>
          <w:tcPr>
            <w:tcW w:w="9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-0.014</w:t>
            </w:r>
          </w:p>
        </w:tc>
      </w:tr>
      <w:tr w:rsidR="00D67CDD" w:rsidRPr="00D67CDD" w:rsidTr="00D67CDD">
        <w:trPr>
          <w:trHeight w:val="260"/>
        </w:trPr>
        <w:tc>
          <w:tcPr>
            <w:tcW w:w="4536"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b/>
                <w:color w:val="000000"/>
                <w:sz w:val="20"/>
                <w:szCs w:val="20"/>
                <w:lang w:eastAsia="cs-CZ"/>
              </w:rPr>
            </w:pPr>
            <w:r w:rsidRPr="00D67CDD">
              <w:rPr>
                <w:rFonts w:ascii="Times New Roman" w:eastAsia="Times New Roman" w:hAnsi="Times New Roman" w:cs="Times New Roman"/>
                <w:b/>
                <w:color w:val="000000"/>
                <w:sz w:val="20"/>
                <w:szCs w:val="20"/>
                <w:lang w:eastAsia="cs-CZ"/>
              </w:rPr>
              <w:t xml:space="preserve">FIT STATISTICS </w:t>
            </w:r>
          </w:p>
        </w:tc>
        <w:tc>
          <w:tcPr>
            <w:tcW w:w="94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86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2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c>
          <w:tcPr>
            <w:tcW w:w="960" w:type="dxa"/>
            <w:tcBorders>
              <w:top w:val="single" w:sz="4" w:space="0" w:color="auto"/>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sz w:val="20"/>
                <w:szCs w:val="20"/>
                <w:lang w:eastAsia="cs-CZ"/>
              </w:rPr>
            </w:pP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RMSEA</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0.039</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0.038</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r>
      <w:tr w:rsidR="00D67CDD" w:rsidRPr="00D67CDD" w:rsidTr="00D67CDD">
        <w:trPr>
          <w:trHeight w:val="260"/>
        </w:trPr>
        <w:tc>
          <w:tcPr>
            <w:tcW w:w="4536"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Probability RMSEA &lt;= 0.05</w:t>
            </w:r>
          </w:p>
        </w:tc>
        <w:tc>
          <w:tcPr>
            <w:tcW w:w="94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0.506</w:t>
            </w:r>
          </w:p>
        </w:tc>
        <w:tc>
          <w:tcPr>
            <w:tcW w:w="8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0.709</w:t>
            </w:r>
          </w:p>
        </w:tc>
        <w:tc>
          <w:tcPr>
            <w:tcW w:w="960" w:type="dxa"/>
            <w:tcBorders>
              <w:top w:val="nil"/>
              <w:left w:val="nil"/>
              <w:bottom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r>
      <w:tr w:rsidR="00D67CDD" w:rsidRPr="00D67CDD" w:rsidTr="00D67CDD">
        <w:trPr>
          <w:trHeight w:val="260"/>
        </w:trPr>
        <w:tc>
          <w:tcPr>
            <w:tcW w:w="4536" w:type="dxa"/>
            <w:tcBorders>
              <w:top w:val="nil"/>
              <w:left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CFI</w:t>
            </w:r>
          </w:p>
        </w:tc>
        <w:tc>
          <w:tcPr>
            <w:tcW w:w="940" w:type="dxa"/>
            <w:tcBorders>
              <w:top w:val="nil"/>
              <w:left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0.999</w:t>
            </w:r>
          </w:p>
        </w:tc>
        <w:tc>
          <w:tcPr>
            <w:tcW w:w="860" w:type="dxa"/>
            <w:tcBorders>
              <w:top w:val="nil"/>
              <w:left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0.996</w:t>
            </w:r>
          </w:p>
        </w:tc>
        <w:tc>
          <w:tcPr>
            <w:tcW w:w="960" w:type="dxa"/>
            <w:tcBorders>
              <w:top w:val="nil"/>
              <w:left w:val="nil"/>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r>
      <w:tr w:rsidR="00D67CDD" w:rsidRPr="00D67CDD" w:rsidTr="00D67CDD">
        <w:trPr>
          <w:trHeight w:val="260"/>
        </w:trPr>
        <w:tc>
          <w:tcPr>
            <w:tcW w:w="4536"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TLI</w:t>
            </w:r>
          </w:p>
        </w:tc>
        <w:tc>
          <w:tcPr>
            <w:tcW w:w="94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0.993</w:t>
            </w:r>
          </w:p>
        </w:tc>
        <w:tc>
          <w:tcPr>
            <w:tcW w:w="8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c>
          <w:tcPr>
            <w:tcW w:w="92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r w:rsidRPr="00D67CDD">
              <w:rPr>
                <w:rFonts w:ascii="Times New Roman" w:eastAsia="Times New Roman" w:hAnsi="Times New Roman" w:cs="Times New Roman"/>
                <w:color w:val="000000"/>
                <w:sz w:val="20"/>
                <w:szCs w:val="20"/>
                <w:lang w:eastAsia="cs-CZ"/>
              </w:rPr>
              <w:t>0.989</w:t>
            </w:r>
          </w:p>
        </w:tc>
        <w:tc>
          <w:tcPr>
            <w:tcW w:w="960" w:type="dxa"/>
            <w:tcBorders>
              <w:top w:val="nil"/>
              <w:left w:val="nil"/>
              <w:bottom w:val="single" w:sz="4" w:space="0" w:color="auto"/>
              <w:right w:val="nil"/>
            </w:tcBorders>
            <w:shd w:val="clear" w:color="auto" w:fill="auto"/>
            <w:noWrap/>
            <w:vAlign w:val="bottom"/>
            <w:hideMark/>
          </w:tcPr>
          <w:p w:rsidR="00D67CDD" w:rsidRPr="00D67CDD" w:rsidRDefault="00D67CDD" w:rsidP="00D67CDD">
            <w:pPr>
              <w:spacing w:after="0" w:line="240" w:lineRule="auto"/>
              <w:rPr>
                <w:rFonts w:ascii="Times New Roman" w:eastAsia="Times New Roman" w:hAnsi="Times New Roman" w:cs="Times New Roman"/>
                <w:color w:val="000000"/>
                <w:sz w:val="20"/>
                <w:szCs w:val="20"/>
                <w:lang w:eastAsia="cs-CZ"/>
              </w:rPr>
            </w:pPr>
          </w:p>
        </w:tc>
      </w:tr>
    </w:tbl>
    <w:p w:rsidR="00A3723F" w:rsidRDefault="00A3723F" w:rsidP="007D381A">
      <w:pPr>
        <w:rPr>
          <w:rFonts w:ascii="Times New Roman" w:hAnsi="Times New Roman" w:cs="Times New Roman"/>
          <w:noProof/>
          <w:sz w:val="24"/>
          <w:szCs w:val="24"/>
          <w:lang w:val="en-US"/>
        </w:rPr>
      </w:pPr>
    </w:p>
    <w:p w:rsidR="00A3723F" w:rsidRDefault="00A3723F">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rsidR="00A3723F" w:rsidRDefault="007F343E" w:rsidP="007D381A">
      <w:pP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Figure A2: Diagnostics for the regression analysis with dependent variable SRH and independent variables: age, sex, location, biomarkers</w:t>
      </w:r>
    </w:p>
    <w:p w:rsidR="007F343E" w:rsidRDefault="005C5831" w:rsidP="007D381A">
      <w:pPr>
        <w:rPr>
          <w:rFonts w:ascii="Times New Roman" w:hAnsi="Times New Roman" w:cs="Times New Roman"/>
          <w:noProof/>
          <w:sz w:val="24"/>
          <w:szCs w:val="24"/>
          <w:lang w:val="en-US"/>
        </w:rPr>
      </w:pPr>
      <w:r w:rsidRPr="005C5831">
        <w:rPr>
          <w:rFonts w:ascii="Times New Roman" w:hAnsi="Times New Roman" w:cs="Times New Roman"/>
          <w:noProof/>
          <w:sz w:val="24"/>
          <w:szCs w:val="24"/>
          <w:lang w:eastAsia="cs-CZ"/>
        </w:rPr>
        <w:drawing>
          <wp:inline distT="0" distB="0" distL="0" distR="0">
            <wp:extent cx="5029200" cy="3657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7F343E" w:rsidRDefault="007F343E" w:rsidP="007D381A">
      <w:pPr>
        <w:rPr>
          <w:rFonts w:ascii="Times New Roman" w:hAnsi="Times New Roman" w:cs="Times New Roman"/>
          <w:noProof/>
          <w:sz w:val="24"/>
          <w:szCs w:val="24"/>
          <w:lang w:val="en-US"/>
        </w:rPr>
      </w:pPr>
      <w:r>
        <w:rPr>
          <w:rFonts w:ascii="Times New Roman" w:hAnsi="Times New Roman" w:cs="Times New Roman"/>
          <w:noProof/>
          <w:sz w:val="24"/>
          <w:szCs w:val="24"/>
          <w:lang w:val="en-US"/>
        </w:rPr>
        <w:t>Figure A3: Diagnostics for the regression analysis with dependent variable SRH and independent variables: age, sex, location, marital status, education, economic activity, and income</w:t>
      </w:r>
    </w:p>
    <w:p w:rsidR="00082EC6" w:rsidRDefault="002A75FF" w:rsidP="007D381A">
      <w:pPr>
        <w:rPr>
          <w:rFonts w:ascii="Times New Roman" w:hAnsi="Times New Roman" w:cs="Times New Roman"/>
          <w:noProof/>
          <w:sz w:val="24"/>
          <w:szCs w:val="24"/>
          <w:lang w:val="en-US"/>
        </w:rPr>
      </w:pPr>
      <w:r w:rsidRPr="002A75FF">
        <w:rPr>
          <w:rFonts w:ascii="Times New Roman" w:hAnsi="Times New Roman" w:cs="Times New Roman"/>
          <w:noProof/>
          <w:sz w:val="24"/>
          <w:szCs w:val="24"/>
          <w:lang w:eastAsia="cs-CZ"/>
        </w:rPr>
        <w:drawing>
          <wp:inline distT="0" distB="0" distL="0" distR="0">
            <wp:extent cx="5029200" cy="3657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082EC6" w:rsidRDefault="00082EC6" w:rsidP="007D381A">
      <w:pP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Figure A3: Diagnostics for the regression analysis with dependent variable SRH and independent variables: age, sex, location, medication, number of health conditions, depressive symptoms, BMI, alcohol consumtpion, and smoking</w:t>
      </w:r>
    </w:p>
    <w:p w:rsidR="0087163F" w:rsidRDefault="0087163F" w:rsidP="007D381A">
      <w:pPr>
        <w:rPr>
          <w:rFonts w:ascii="Times New Roman" w:hAnsi="Times New Roman" w:cs="Times New Roman"/>
          <w:noProof/>
          <w:sz w:val="24"/>
          <w:szCs w:val="24"/>
          <w:lang w:val="en-US"/>
        </w:rPr>
      </w:pPr>
      <w:r w:rsidRPr="0087163F">
        <w:rPr>
          <w:rFonts w:ascii="Times New Roman" w:hAnsi="Times New Roman" w:cs="Times New Roman"/>
          <w:noProof/>
          <w:sz w:val="24"/>
          <w:szCs w:val="24"/>
          <w:lang w:eastAsia="cs-CZ"/>
        </w:rPr>
        <w:drawing>
          <wp:inline distT="0" distB="0" distL="0" distR="0">
            <wp:extent cx="5029200" cy="36576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F952B6" w:rsidRDefault="00F952B6" w:rsidP="007D381A">
      <w:pPr>
        <w:rPr>
          <w:rFonts w:ascii="Times New Roman" w:hAnsi="Times New Roman" w:cs="Times New Roman"/>
          <w:noProof/>
          <w:sz w:val="24"/>
          <w:szCs w:val="24"/>
          <w:lang w:val="en-US"/>
        </w:rPr>
      </w:pPr>
    </w:p>
    <w:p w:rsidR="00310A92" w:rsidRDefault="00310A9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10A92" w:rsidRPr="00310A92" w:rsidRDefault="00310A92" w:rsidP="00310A92">
      <w:pPr>
        <w:spacing w:after="0" w:line="480" w:lineRule="auto"/>
        <w:contextualSpacing/>
        <w:rPr>
          <w:rFonts w:ascii="Times New Roman" w:hAnsi="Times New Roman" w:cs="Times New Roman"/>
          <w:b/>
          <w:sz w:val="24"/>
          <w:szCs w:val="24"/>
          <w:lang w:val="en-US"/>
        </w:rPr>
      </w:pPr>
      <w:r w:rsidRPr="00310A92">
        <w:rPr>
          <w:rFonts w:ascii="Times New Roman" w:hAnsi="Times New Roman" w:cs="Times New Roman"/>
          <w:b/>
          <w:sz w:val="24"/>
          <w:szCs w:val="24"/>
          <w:lang w:val="en-US"/>
        </w:rPr>
        <w:lastRenderedPageBreak/>
        <w:t>Self-rated health, socioeconomic characteristics, biomarkers, medication, self-reported health measures, mental health indicators, and health behavior</w:t>
      </w:r>
    </w:p>
    <w:p w:rsidR="00310A92" w:rsidRDefault="00310A92" w:rsidP="00310A92">
      <w:pPr>
        <w:spacing w:after="0" w:line="480" w:lineRule="auto"/>
        <w:contextualSpacing/>
        <w:rPr>
          <w:rFonts w:ascii="Times New Roman" w:hAnsi="Times New Roman" w:cs="Times New Roman"/>
          <w:sz w:val="24"/>
          <w:szCs w:val="24"/>
          <w:lang w:val="en-US"/>
        </w:rPr>
      </w:pPr>
    </w:p>
    <w:p w:rsidR="00F952B6" w:rsidRDefault="00310A92" w:rsidP="00310A92">
      <w:pPr>
        <w:spacing w:after="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Table A2</w:t>
      </w:r>
      <w:r w:rsidR="00F952B6" w:rsidRPr="00B655ED">
        <w:rPr>
          <w:rFonts w:ascii="Times New Roman" w:hAnsi="Times New Roman" w:cs="Times New Roman"/>
          <w:sz w:val="24"/>
          <w:szCs w:val="24"/>
          <w:lang w:val="en-US"/>
        </w:rPr>
        <w:t xml:space="preserve"> zooms in on socioeconomic characteristics. Model 1, serving as a baseline model, controlled for age, sex, and location. Age was the only variable that was significantly linked to SRH, and an age difference of 10 years was associated with a 0.2 shift in SRH. Sex and location (Prague vs. South Bohemia) were not significantly associated with SRH at the 0.05 significance level. However, importantly, these controls explained 16% of the total SRH variance.</w:t>
      </w:r>
    </w:p>
    <w:p w:rsidR="00310A92" w:rsidRPr="00B655ED" w:rsidRDefault="00310A92" w:rsidP="00310A92">
      <w:pPr>
        <w:spacing w:after="0" w:line="480" w:lineRule="auto"/>
        <w:contextualSpacing/>
        <w:rPr>
          <w:rFonts w:ascii="Times New Roman" w:hAnsi="Times New Roman" w:cs="Times New Roman"/>
          <w:sz w:val="24"/>
          <w:szCs w:val="24"/>
          <w:lang w:val="en-US"/>
        </w:rPr>
      </w:pPr>
    </w:p>
    <w:p w:rsidR="00F952B6" w:rsidRPr="00B655ED" w:rsidRDefault="00F952B6" w:rsidP="00F952B6">
      <w:pPr>
        <w:spacing w:after="0" w:line="480" w:lineRule="auto"/>
        <w:contextualSpacing/>
        <w:rPr>
          <w:rFonts w:ascii="Times New Roman" w:hAnsi="Times New Roman" w:cs="Times New Roman"/>
          <w:sz w:val="24"/>
          <w:szCs w:val="24"/>
          <w:lang w:val="en-US"/>
        </w:rPr>
      </w:pPr>
      <w:r w:rsidRPr="00B655ED">
        <w:rPr>
          <w:rFonts w:ascii="Times New Roman" w:hAnsi="Times New Roman" w:cs="Times New Roman"/>
          <w:b/>
          <w:bCs/>
          <w:sz w:val="24"/>
          <w:szCs w:val="24"/>
          <w:lang w:val="en-US"/>
        </w:rPr>
        <w:t xml:space="preserve">Table </w:t>
      </w:r>
      <w:r w:rsidR="00310A92">
        <w:rPr>
          <w:rFonts w:ascii="Times New Roman" w:hAnsi="Times New Roman" w:cs="Times New Roman"/>
          <w:b/>
          <w:bCs/>
          <w:sz w:val="24"/>
          <w:szCs w:val="24"/>
          <w:lang w:val="en-US"/>
        </w:rPr>
        <w:t>A2</w:t>
      </w:r>
      <w:r w:rsidRPr="00B655ED">
        <w:rPr>
          <w:rFonts w:ascii="Times New Roman" w:hAnsi="Times New Roman" w:cs="Times New Roman"/>
          <w:b/>
          <w:bCs/>
          <w:sz w:val="24"/>
          <w:szCs w:val="24"/>
          <w:lang w:val="en-US"/>
        </w:rPr>
        <w:t xml:space="preserve">: </w:t>
      </w:r>
      <w:r w:rsidRPr="00B655ED">
        <w:rPr>
          <w:rFonts w:ascii="Times New Roman" w:hAnsi="Times New Roman" w:cs="Times New Roman"/>
          <w:sz w:val="24"/>
          <w:szCs w:val="24"/>
          <w:lang w:val="en-US"/>
        </w:rPr>
        <w:t xml:space="preserve">Results of the ordinary least squares (OLS) regression models with dependent variable SRH, displaying regression coefficients, standardized coefficients (beta), standard errors (in parentheses), and significance level. Source: QUALITAS 2016/2017 survey (N = 1021). </w:t>
      </w:r>
    </w:p>
    <w:tbl>
      <w:tblPr>
        <w:tblW w:w="9372" w:type="dxa"/>
        <w:tblCellMar>
          <w:left w:w="70" w:type="dxa"/>
          <w:right w:w="70" w:type="dxa"/>
        </w:tblCellMar>
        <w:tblLook w:val="04A0" w:firstRow="1" w:lastRow="0" w:firstColumn="1" w:lastColumn="0" w:noHBand="0" w:noVBand="1"/>
      </w:tblPr>
      <w:tblGrid>
        <w:gridCol w:w="2260"/>
        <w:gridCol w:w="880"/>
        <w:gridCol w:w="880"/>
        <w:gridCol w:w="880"/>
        <w:gridCol w:w="880"/>
        <w:gridCol w:w="880"/>
        <w:gridCol w:w="946"/>
        <w:gridCol w:w="880"/>
        <w:gridCol w:w="886"/>
      </w:tblGrid>
      <w:tr w:rsidR="00F952B6" w:rsidRPr="00B655ED" w:rsidTr="00310A92">
        <w:trPr>
          <w:trHeight w:val="264"/>
        </w:trPr>
        <w:tc>
          <w:tcPr>
            <w:tcW w:w="2260" w:type="dxa"/>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 </w:t>
            </w:r>
          </w:p>
        </w:tc>
        <w:tc>
          <w:tcPr>
            <w:tcW w:w="1760"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M1</w:t>
            </w:r>
          </w:p>
        </w:tc>
        <w:tc>
          <w:tcPr>
            <w:tcW w:w="1760"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M2</w:t>
            </w:r>
          </w:p>
        </w:tc>
        <w:tc>
          <w:tcPr>
            <w:tcW w:w="1826"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M3</w:t>
            </w:r>
          </w:p>
        </w:tc>
        <w:tc>
          <w:tcPr>
            <w:tcW w:w="1766"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M4</w:t>
            </w:r>
          </w:p>
        </w:tc>
      </w:tr>
      <w:tr w:rsidR="00F952B6" w:rsidRPr="00B655ED" w:rsidTr="00310A92">
        <w:trPr>
          <w:trHeight w:val="264"/>
        </w:trPr>
        <w:tc>
          <w:tcPr>
            <w:tcW w:w="226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946"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6"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r>
      <w:tr w:rsidR="00F952B6" w:rsidRPr="00B655ED" w:rsidTr="00310A92">
        <w:trPr>
          <w:trHeight w:val="264"/>
        </w:trPr>
        <w:tc>
          <w:tcPr>
            <w:tcW w:w="2260" w:type="dxa"/>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Age</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-0.020**</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-0.395**</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-0.019**</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-0.379**</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-0.021**</w:t>
            </w:r>
          </w:p>
        </w:tc>
        <w:tc>
          <w:tcPr>
            <w:tcW w:w="946"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-0.414**</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-0.024**</w:t>
            </w:r>
          </w:p>
        </w:tc>
        <w:tc>
          <w:tcPr>
            <w:tcW w:w="886" w:type="dxa"/>
            <w:tcBorders>
              <w:top w:val="single" w:sz="4" w:space="0" w:color="auto"/>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-0.475**</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-0.001</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-0.002</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-0.002</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-0.002</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Male</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0.019</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0.011</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0.047</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0.029</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0.000</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0.000</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-0.081</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-0.048</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-0.047</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-0.047</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-0.048</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-0.054</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Location</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0.031</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0.019</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-0.013</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-0.047</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-0.029</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-0.043</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-0.026</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-0.047</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-0.047</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-0.047</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-0.052</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Marital status (ref. single)</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sz w:val="20"/>
                <w:szCs w:val="20"/>
                <w:lang w:eastAsia="cs-CZ"/>
              </w:rPr>
            </w:pP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sz w:val="20"/>
                <w:szCs w:val="20"/>
                <w:lang w:eastAsia="cs-CZ"/>
              </w:rPr>
            </w:pP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Married</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0.046</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0.028</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0.033</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0.066</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w:t>
            </w: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-0.055</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-0.055</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-0.061</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Cohabiting</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-0.014</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-0.007</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-0.027</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-0.014</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-0.026</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-0.014</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-0.063</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-0.062</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-0.07</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Education (ref. primary)</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sz w:val="20"/>
                <w:szCs w:val="20"/>
                <w:lang w:eastAsia="cs-CZ"/>
              </w:rPr>
            </w:pP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sz w:val="20"/>
                <w:szCs w:val="20"/>
                <w:lang w:eastAsia="cs-CZ"/>
              </w:rPr>
            </w:pP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Occupational secondary</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-0.021</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-0.072</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-0.038</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-0.084</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-0.044</w:t>
            </w: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-0.099</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-0.098</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-0.108</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General secondary</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0.198*</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
                <w:iCs/>
                <w:color w:val="000000"/>
                <w:sz w:val="20"/>
                <w:szCs w:val="20"/>
              </w:rPr>
              <w:t>0.121*</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0.147</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
                <w:iCs/>
                <w:color w:val="000000"/>
                <w:sz w:val="20"/>
                <w:szCs w:val="20"/>
              </w:rPr>
              <w:t>0.09</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0.124</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
                <w:iCs/>
                <w:color w:val="000000"/>
                <w:sz w:val="20"/>
                <w:szCs w:val="20"/>
              </w:rPr>
              <w:t>0.075</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-0.094</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-0.094</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-0.103</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center"/>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Tertiary</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0.294**</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0.163**</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0.212*</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0.118*</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0.178</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0.098</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-0.098</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-0.099</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-0.109</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Economically active</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0.107*</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0.064*</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-0.037</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-0.022</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 xml:space="preserve">-0.144* </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 xml:space="preserve">-0.086* </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-0.05</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-0.06</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-0.07</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Income (imputed)</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0.042**</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0.161**</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 xml:space="preserve">              </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-0.01</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Income</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sz w:val="20"/>
                <w:szCs w:val="20"/>
                <w:lang w:eastAsia="cs-CZ"/>
              </w:rPr>
            </w:pP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0.055**</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0.238**</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sz w:val="20"/>
                <w:szCs w:val="20"/>
                <w:lang w:eastAsia="cs-CZ"/>
              </w:rPr>
            </w:pP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-0.01</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Constant</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3.728**</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3.471**</w:t>
            </w: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3.419**</w:t>
            </w:r>
          </w:p>
        </w:tc>
        <w:tc>
          <w:tcPr>
            <w:tcW w:w="946" w:type="dxa"/>
            <w:tcBorders>
              <w:top w:val="nil"/>
              <w:left w:val="nil"/>
              <w:bottom w:val="nil"/>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3.559**</w:t>
            </w:r>
          </w:p>
        </w:tc>
        <w:tc>
          <w:tcPr>
            <w:tcW w:w="886" w:type="dxa"/>
            <w:tcBorders>
              <w:top w:val="nil"/>
              <w:left w:val="nil"/>
              <w:bottom w:val="nil"/>
              <w:right w:val="nil"/>
            </w:tcBorders>
            <w:shd w:val="clear" w:color="auto" w:fill="auto"/>
            <w:noWrap/>
            <w:vAlign w:val="bottom"/>
          </w:tcPr>
          <w:p w:rsidR="00F952B6" w:rsidRPr="00B655ED" w:rsidRDefault="00F952B6" w:rsidP="00310A92">
            <w:pPr>
              <w:tabs>
                <w:tab w:val="decimal" w:pos="192"/>
              </w:tabs>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-0.074</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tabs>
                <w:tab w:val="decimal" w:pos="168"/>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-0.106</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-0.106</w:t>
            </w:r>
          </w:p>
        </w:tc>
        <w:tc>
          <w:tcPr>
            <w:tcW w:w="946" w:type="dxa"/>
            <w:tcBorders>
              <w:top w:val="nil"/>
              <w:left w:val="nil"/>
              <w:bottom w:val="single" w:sz="4" w:space="0" w:color="auto"/>
              <w:right w:val="nil"/>
            </w:tcBorders>
            <w:shd w:val="clear" w:color="auto" w:fill="auto"/>
            <w:noWrap/>
            <w:vAlign w:val="bottom"/>
          </w:tcPr>
          <w:p w:rsidR="00F952B6" w:rsidRPr="00B655ED" w:rsidRDefault="00F952B6" w:rsidP="00310A92">
            <w:pPr>
              <w:tabs>
                <w:tab w:val="decimal" w:pos="252"/>
              </w:tabs>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tabs>
                <w:tab w:val="decimal" w:pos="180"/>
              </w:tabs>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-0.114</w:t>
            </w:r>
          </w:p>
        </w:tc>
        <w:tc>
          <w:tcPr>
            <w:tcW w:w="886"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N</w:t>
            </w:r>
          </w:p>
        </w:tc>
        <w:tc>
          <w:tcPr>
            <w:tcW w:w="5346" w:type="dxa"/>
            <w:gridSpan w:val="6"/>
            <w:tcBorders>
              <w:top w:val="nil"/>
              <w:left w:val="nil"/>
              <w:bottom w:val="nil"/>
              <w:right w:val="nil"/>
            </w:tcBorders>
            <w:shd w:val="clear" w:color="auto" w:fill="auto"/>
            <w:noWrap/>
            <w:vAlign w:val="bottom"/>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1021</w:t>
            </w:r>
          </w:p>
        </w:tc>
        <w:tc>
          <w:tcPr>
            <w:tcW w:w="1766"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809</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R2</w:t>
            </w:r>
          </w:p>
        </w:tc>
        <w:tc>
          <w:tcPr>
            <w:tcW w:w="1760"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0.16</w:t>
            </w:r>
          </w:p>
        </w:tc>
        <w:tc>
          <w:tcPr>
            <w:tcW w:w="1760"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0.19</w:t>
            </w:r>
          </w:p>
        </w:tc>
        <w:tc>
          <w:tcPr>
            <w:tcW w:w="1826"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0.20</w:t>
            </w:r>
          </w:p>
        </w:tc>
        <w:tc>
          <w:tcPr>
            <w:tcW w:w="1766"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0.24</w:t>
            </w:r>
          </w:p>
        </w:tc>
      </w:tr>
      <w:tr w:rsidR="00F952B6" w:rsidRPr="00B655ED" w:rsidTr="00310A92">
        <w:trPr>
          <w:trHeight w:val="264"/>
        </w:trPr>
        <w:tc>
          <w:tcPr>
            <w:tcW w:w="226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Adj. R2</w:t>
            </w:r>
          </w:p>
        </w:tc>
        <w:tc>
          <w:tcPr>
            <w:tcW w:w="1760"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0.15</w:t>
            </w:r>
          </w:p>
        </w:tc>
        <w:tc>
          <w:tcPr>
            <w:tcW w:w="1760"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0.18</w:t>
            </w:r>
          </w:p>
        </w:tc>
        <w:tc>
          <w:tcPr>
            <w:tcW w:w="1826"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0.19</w:t>
            </w:r>
          </w:p>
        </w:tc>
        <w:tc>
          <w:tcPr>
            <w:tcW w:w="1766" w:type="dxa"/>
            <w:gridSpan w:val="2"/>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0.23</w:t>
            </w:r>
          </w:p>
        </w:tc>
      </w:tr>
      <w:tr w:rsidR="00F952B6" w:rsidRPr="00B655ED" w:rsidTr="00310A92">
        <w:trPr>
          <w:trHeight w:val="264"/>
        </w:trPr>
        <w:tc>
          <w:tcPr>
            <w:tcW w:w="226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BIC</w:t>
            </w:r>
          </w:p>
        </w:tc>
        <w:tc>
          <w:tcPr>
            <w:tcW w:w="1760" w:type="dxa"/>
            <w:gridSpan w:val="2"/>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2316.1</w:t>
            </w:r>
          </w:p>
        </w:tc>
        <w:tc>
          <w:tcPr>
            <w:tcW w:w="1760" w:type="dxa"/>
            <w:gridSpan w:val="2"/>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2319.4</w:t>
            </w:r>
          </w:p>
        </w:tc>
        <w:tc>
          <w:tcPr>
            <w:tcW w:w="1826" w:type="dxa"/>
            <w:gridSpan w:val="2"/>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2307.2</w:t>
            </w:r>
          </w:p>
        </w:tc>
        <w:tc>
          <w:tcPr>
            <w:tcW w:w="1766" w:type="dxa"/>
            <w:gridSpan w:val="2"/>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1813.1</w:t>
            </w:r>
          </w:p>
        </w:tc>
      </w:tr>
    </w:tbl>
    <w:p w:rsidR="00F952B6" w:rsidRPr="00B655ED" w:rsidRDefault="00F952B6" w:rsidP="00F952B6">
      <w:pPr>
        <w:spacing w:after="0" w:line="240" w:lineRule="auto"/>
        <w:contextualSpacing/>
        <w:rPr>
          <w:rFonts w:ascii="Times New Roman" w:hAnsi="Times New Roman" w:cs="Times New Roman"/>
          <w:sz w:val="20"/>
          <w:szCs w:val="20"/>
          <w:lang w:val="en-US"/>
        </w:rPr>
      </w:pPr>
      <w:r w:rsidRPr="00B655ED">
        <w:rPr>
          <w:rFonts w:ascii="Times New Roman" w:hAnsi="Times New Roman" w:cs="Times New Roman"/>
          <w:sz w:val="24"/>
          <w:szCs w:val="24"/>
          <w:lang w:val="en-US"/>
        </w:rPr>
        <w:t xml:space="preserve">Standardized (beta) and unstandardized coefficients, standard errors, significance tests (t-test: * </w:t>
      </w:r>
      <w:r w:rsidRPr="00B655ED">
        <w:rPr>
          <w:rFonts w:ascii="Times New Roman" w:hAnsi="Times New Roman" w:cs="Times New Roman"/>
          <w:i/>
          <w:iCs/>
          <w:sz w:val="24"/>
          <w:szCs w:val="24"/>
          <w:lang w:val="en-US"/>
        </w:rPr>
        <w:t>p</w:t>
      </w:r>
      <w:r w:rsidRPr="00B655ED">
        <w:rPr>
          <w:rFonts w:ascii="Times New Roman" w:hAnsi="Times New Roman" w:cs="Times New Roman"/>
          <w:sz w:val="24"/>
          <w:szCs w:val="24"/>
          <w:lang w:val="en-US"/>
        </w:rPr>
        <w:t xml:space="preserve"> &lt; 0.05; ** </w:t>
      </w:r>
      <w:r w:rsidRPr="00B655ED">
        <w:rPr>
          <w:rFonts w:ascii="Times New Roman" w:hAnsi="Times New Roman" w:cs="Times New Roman"/>
          <w:i/>
          <w:iCs/>
          <w:sz w:val="24"/>
          <w:szCs w:val="24"/>
          <w:lang w:val="en-US"/>
        </w:rPr>
        <w:t>p</w:t>
      </w:r>
      <w:r w:rsidRPr="00B655ED">
        <w:rPr>
          <w:rFonts w:ascii="Times New Roman" w:hAnsi="Times New Roman" w:cs="Times New Roman"/>
          <w:sz w:val="24"/>
          <w:szCs w:val="24"/>
          <w:lang w:val="en-US"/>
        </w:rPr>
        <w:t xml:space="preserve"> &lt; 0.01), Bayesian information criterion (BIC), the proportion of explained variance (R</w:t>
      </w:r>
      <w:r w:rsidRPr="00B655ED">
        <w:rPr>
          <w:rFonts w:ascii="Times New Roman" w:hAnsi="Times New Roman" w:cs="Times New Roman"/>
          <w:sz w:val="24"/>
          <w:szCs w:val="24"/>
          <w:vertAlign w:val="superscript"/>
          <w:lang w:val="en-US"/>
        </w:rPr>
        <w:t>2</w:t>
      </w:r>
      <w:r w:rsidRPr="00B655ED">
        <w:rPr>
          <w:rFonts w:ascii="Times New Roman" w:hAnsi="Times New Roman" w:cs="Times New Roman"/>
          <w:sz w:val="24"/>
          <w:szCs w:val="24"/>
          <w:lang w:val="en-US"/>
        </w:rPr>
        <w:t>), and R</w:t>
      </w:r>
      <w:r w:rsidRPr="00B655ED">
        <w:rPr>
          <w:rFonts w:ascii="Times New Roman" w:hAnsi="Times New Roman" w:cs="Times New Roman"/>
          <w:sz w:val="24"/>
          <w:szCs w:val="24"/>
          <w:vertAlign w:val="superscript"/>
          <w:lang w:val="en-US"/>
        </w:rPr>
        <w:t>2</w:t>
      </w:r>
      <w:r w:rsidRPr="00B655ED">
        <w:rPr>
          <w:rFonts w:ascii="Times New Roman" w:hAnsi="Times New Roman" w:cs="Times New Roman"/>
          <w:sz w:val="24"/>
          <w:szCs w:val="24"/>
          <w:lang w:val="en-US"/>
        </w:rPr>
        <w:t xml:space="preserve"> adjusted for degrees of freedom.</w:t>
      </w:r>
    </w:p>
    <w:p w:rsidR="00F952B6" w:rsidRPr="00B655ED" w:rsidRDefault="00F952B6" w:rsidP="00F952B6">
      <w:pPr>
        <w:spacing w:after="0" w:line="480" w:lineRule="auto"/>
        <w:ind w:firstLine="708"/>
        <w:contextualSpacing/>
        <w:rPr>
          <w:rFonts w:ascii="Times New Roman" w:hAnsi="Times New Roman" w:cs="Times New Roman"/>
          <w:sz w:val="24"/>
          <w:szCs w:val="24"/>
          <w:lang w:val="en-US"/>
        </w:rPr>
      </w:pPr>
    </w:p>
    <w:p w:rsidR="00F952B6" w:rsidRPr="00B655ED" w:rsidRDefault="00F952B6" w:rsidP="00F952B6">
      <w:pPr>
        <w:spacing w:after="0" w:line="480" w:lineRule="auto"/>
        <w:ind w:firstLine="708"/>
        <w:contextualSpacing/>
        <w:rPr>
          <w:rFonts w:ascii="Times New Roman" w:hAnsi="Times New Roman" w:cs="Times New Roman"/>
          <w:sz w:val="24"/>
          <w:szCs w:val="24"/>
          <w:lang w:val="en-US"/>
        </w:rPr>
      </w:pPr>
      <w:r w:rsidRPr="00B655ED">
        <w:rPr>
          <w:rFonts w:ascii="Times New Roman" w:hAnsi="Times New Roman" w:cs="Times New Roman"/>
          <w:sz w:val="24"/>
          <w:szCs w:val="24"/>
          <w:lang w:val="en-US"/>
        </w:rPr>
        <w:t>Model 2 entered marital status, education, and economic activity. Marital status did not predict SRH at the 0.05 significance level. In contrast, education and economic activity were positively associated with SRH. Specifically, tertiary education was on average associated with a 0.3 shift in SRH compared to those with primary education. Economic activity was also positively linked to SRH, but its role was weaker than education (see the beta coefficients in Table 4). Importantly, education, economic activity, and marital status added only 3% of the explained variance to the model.</w:t>
      </w:r>
    </w:p>
    <w:p w:rsidR="00F952B6" w:rsidRPr="00B655ED" w:rsidRDefault="00F952B6" w:rsidP="00F952B6">
      <w:pPr>
        <w:spacing w:after="0" w:line="480" w:lineRule="auto"/>
        <w:ind w:firstLine="709"/>
        <w:contextualSpacing/>
        <w:rPr>
          <w:rFonts w:ascii="Times New Roman" w:hAnsi="Times New Roman" w:cs="Times New Roman"/>
          <w:sz w:val="24"/>
          <w:szCs w:val="24"/>
          <w:lang w:val="en-US"/>
        </w:rPr>
      </w:pPr>
      <w:r w:rsidRPr="00B655ED">
        <w:rPr>
          <w:rFonts w:ascii="Times New Roman" w:hAnsi="Times New Roman" w:cs="Times New Roman"/>
          <w:sz w:val="24"/>
          <w:szCs w:val="24"/>
          <w:lang w:val="en-US"/>
        </w:rPr>
        <w:t>Models 3 and 4 integrated income into the equation. Model 3 used the full sample, and missing values in the income variable were replaced by the mean produced by the multiple imputations. The association between income and SRH was significant and positive. Importantly, once income was included in the model, the coefficient for economic activity ceased to be significant at the 0.05 level. Inspection of the beta coefficients also showed that income was the most important variable among the socioeconomic characteristics. However, the proportion of explained variance increased only moderately (2 percentage points). This might be explained by the decline in the importance of education and economic activity once income was incorporated into the model. Model 3 suggested that all socioeconomic characteristics contributed to around 5% of the explained variance.</w:t>
      </w:r>
    </w:p>
    <w:p w:rsidR="00F952B6" w:rsidRPr="00733E9E" w:rsidRDefault="00F952B6" w:rsidP="00F952B6">
      <w:pPr>
        <w:spacing w:after="0" w:line="480" w:lineRule="auto"/>
        <w:ind w:firstLine="709"/>
        <w:contextualSpacing/>
        <w:rPr>
          <w:rFonts w:ascii="Times New Roman" w:hAnsi="Times New Roman" w:cs="Times New Roman"/>
          <w:sz w:val="24"/>
          <w:szCs w:val="24"/>
          <w:lang w:val="en-US"/>
        </w:rPr>
      </w:pPr>
      <w:r w:rsidRPr="00B655ED">
        <w:rPr>
          <w:rFonts w:ascii="Times New Roman" w:hAnsi="Times New Roman" w:cs="Times New Roman"/>
          <w:sz w:val="24"/>
          <w:szCs w:val="24"/>
          <w:lang w:val="en-US"/>
        </w:rPr>
        <w:t xml:space="preserve">Model 4 re-ran the analysis only for the subsample with non-missing income values (N = 809). In this subsample, the role of income seemed to be stronger and contributed to </w:t>
      </w:r>
      <w:r w:rsidRPr="00B655ED">
        <w:rPr>
          <w:rFonts w:ascii="Times New Roman" w:hAnsi="Times New Roman" w:cs="Times New Roman"/>
          <w:sz w:val="24"/>
          <w:szCs w:val="24"/>
          <w:lang w:val="en-US"/>
        </w:rPr>
        <w:lastRenderedPageBreak/>
        <w:t xml:space="preserve">around an additional 6% of explained variance. Nevertheless, we needed to be cautious about such an interpretation, as the </w:t>
      </w:r>
      <w:r w:rsidRPr="00733E9E">
        <w:rPr>
          <w:rFonts w:ascii="Times New Roman" w:hAnsi="Times New Roman" w:cs="Times New Roman"/>
          <w:sz w:val="24"/>
          <w:szCs w:val="24"/>
          <w:lang w:val="en-US"/>
        </w:rPr>
        <w:t>characteristics of the subsample with non-missing values differed from the full sample. Thus, 25 regression analyses with the 25 imputed values were estimated. This estimation produced 25 values of R2 with a mean of 0.20 and a standard deviation of 0.003 (95% CI: 0.198–0.201). Thus, it was very likely that the role of income was overestimated in the subsample with non-missing values.</w:t>
      </w:r>
      <w:bookmarkStart w:id="0" w:name="_GoBack"/>
      <w:bookmarkEnd w:id="0"/>
    </w:p>
    <w:p w:rsidR="00F952B6" w:rsidRDefault="00F952B6" w:rsidP="00F952B6">
      <w:pPr>
        <w:spacing w:after="0" w:line="480" w:lineRule="auto"/>
        <w:ind w:firstLine="709"/>
        <w:contextualSpacing/>
        <w:rPr>
          <w:rFonts w:ascii="Times New Roman" w:hAnsi="Times New Roman" w:cs="Times New Roman"/>
          <w:sz w:val="24"/>
          <w:szCs w:val="24"/>
          <w:lang w:val="en-US"/>
        </w:rPr>
      </w:pPr>
      <w:r w:rsidRPr="00733E9E">
        <w:rPr>
          <w:rFonts w:ascii="Times New Roman" w:hAnsi="Times New Roman" w:cs="Times New Roman"/>
          <w:sz w:val="24"/>
          <w:szCs w:val="24"/>
          <w:lang w:val="en-US"/>
        </w:rPr>
        <w:t xml:space="preserve">Model 1 in Table </w:t>
      </w:r>
      <w:r w:rsidR="00310A92" w:rsidRPr="00733E9E">
        <w:rPr>
          <w:rFonts w:ascii="Times New Roman" w:hAnsi="Times New Roman" w:cs="Times New Roman"/>
          <w:sz w:val="24"/>
          <w:szCs w:val="24"/>
          <w:lang w:val="en-US"/>
        </w:rPr>
        <w:t>A3</w:t>
      </w:r>
      <w:r w:rsidRPr="00733E9E">
        <w:rPr>
          <w:rFonts w:ascii="Times New Roman" w:hAnsi="Times New Roman" w:cs="Times New Roman"/>
          <w:sz w:val="24"/>
          <w:szCs w:val="24"/>
          <w:lang w:val="en-US"/>
        </w:rPr>
        <w:t xml:space="preserve"> used the linear biomarker measures; Model 2 used</w:t>
      </w:r>
      <w:r w:rsidRPr="00B655ED">
        <w:rPr>
          <w:rFonts w:ascii="Times New Roman" w:hAnsi="Times New Roman" w:cs="Times New Roman"/>
          <w:sz w:val="24"/>
          <w:szCs w:val="24"/>
          <w:lang w:val="en-US"/>
        </w:rPr>
        <w:t xml:space="preserve"> the binary biomarker measures, indicating whether the biomarker was over the reference limit; and Model 3 used the binary measures adjusted for medication. All three models revealed that the levels of C-reactive protein and blood glucose and the LDL/HDL ratio were negatively associated with SRH. The LDL level was negatively linked to SRH only when a linear biomarker measure was used. The association between SRH and the triglycerides index was not significant at the </w:t>
      </w:r>
      <w:r w:rsidRPr="00B655ED">
        <w:rPr>
          <w:rFonts w:ascii="Times New Roman" w:hAnsi="Times New Roman" w:cs="Times New Roman"/>
          <w:i/>
          <w:iCs/>
          <w:sz w:val="24"/>
          <w:szCs w:val="24"/>
          <w:lang w:val="en-US"/>
        </w:rPr>
        <w:t>p</w:t>
      </w:r>
      <w:r w:rsidRPr="00B655ED">
        <w:rPr>
          <w:rFonts w:ascii="Times New Roman" w:hAnsi="Times New Roman" w:cs="Times New Roman"/>
          <w:sz w:val="24"/>
          <w:szCs w:val="24"/>
          <w:lang w:val="en-US"/>
        </w:rPr>
        <w:t xml:space="preserve"> &lt; 0.01 level in any of these models. Importantly, the relative importance of the biomarkers differed among all three models (see the standardized beta coefficients for biomarkers in Model 1 – 3). If the linear measure was used, the LDL/HDL ratio was the most important predictor of SRH, followed by C-reactive protein. In Models 2 and 3, CRP was the most important predictor of SRH. As for the explained variance, biomarkers added around 4% to the explained variance </w:t>
      </w:r>
      <w:r w:rsidR="00310A92">
        <w:rPr>
          <w:rFonts w:ascii="Times New Roman" w:hAnsi="Times New Roman" w:cs="Times New Roman"/>
          <w:sz w:val="24"/>
          <w:szCs w:val="24"/>
          <w:lang w:val="en-US"/>
        </w:rPr>
        <w:t>(see baseline Model 1 in Table A2</w:t>
      </w:r>
      <w:r w:rsidRPr="00B655ED">
        <w:rPr>
          <w:rFonts w:ascii="Times New Roman" w:hAnsi="Times New Roman" w:cs="Times New Roman"/>
          <w:sz w:val="24"/>
          <w:szCs w:val="24"/>
          <w:lang w:val="en-US"/>
        </w:rPr>
        <w:t>).</w:t>
      </w:r>
    </w:p>
    <w:p w:rsidR="00310A92" w:rsidRPr="00B655ED" w:rsidRDefault="00310A92" w:rsidP="00F952B6">
      <w:pPr>
        <w:spacing w:after="0" w:line="480" w:lineRule="auto"/>
        <w:ind w:firstLine="709"/>
        <w:contextualSpacing/>
        <w:rPr>
          <w:rFonts w:ascii="Times New Roman" w:hAnsi="Times New Roman" w:cs="Times New Roman"/>
          <w:sz w:val="24"/>
          <w:szCs w:val="24"/>
          <w:lang w:val="en-US"/>
        </w:rPr>
      </w:pPr>
    </w:p>
    <w:p w:rsidR="00F952B6" w:rsidRPr="00B655ED" w:rsidRDefault="00310A92" w:rsidP="00F952B6">
      <w:pPr>
        <w:spacing w:after="0" w:line="480" w:lineRule="auto"/>
        <w:contextualSpacing/>
        <w:rPr>
          <w:rFonts w:ascii="Times New Roman" w:hAnsi="Times New Roman" w:cs="Times New Roman"/>
          <w:sz w:val="24"/>
          <w:szCs w:val="24"/>
          <w:lang w:val="en-US"/>
        </w:rPr>
      </w:pPr>
      <w:r>
        <w:rPr>
          <w:rFonts w:ascii="Times New Roman" w:hAnsi="Times New Roman" w:cs="Times New Roman"/>
          <w:b/>
          <w:bCs/>
          <w:sz w:val="24"/>
          <w:szCs w:val="24"/>
          <w:lang w:val="en-US"/>
        </w:rPr>
        <w:t>Table A3</w:t>
      </w:r>
      <w:r w:rsidR="00F952B6" w:rsidRPr="00B655ED">
        <w:rPr>
          <w:rFonts w:ascii="Times New Roman" w:hAnsi="Times New Roman" w:cs="Times New Roman"/>
          <w:b/>
          <w:bCs/>
          <w:sz w:val="24"/>
          <w:szCs w:val="24"/>
          <w:lang w:val="en-US"/>
        </w:rPr>
        <w:t>:</w:t>
      </w:r>
      <w:r w:rsidR="00F952B6" w:rsidRPr="00B655ED">
        <w:rPr>
          <w:rFonts w:ascii="Times New Roman" w:hAnsi="Times New Roman" w:cs="Times New Roman"/>
          <w:sz w:val="24"/>
          <w:szCs w:val="24"/>
          <w:lang w:val="en-US"/>
        </w:rPr>
        <w:t xml:space="preserve"> Results of the ordinary least squares (OLS) regression models with dependent variable SRH, displaying regression coefficients, standardized coefficients (beta), standard errors (in parentheses), and significance level. Source: QUALITAS 2016/2017 survey (N = 1021).</w:t>
      </w:r>
    </w:p>
    <w:tbl>
      <w:tblPr>
        <w:tblW w:w="10218" w:type="dxa"/>
        <w:tblLayout w:type="fixed"/>
        <w:tblCellMar>
          <w:left w:w="70" w:type="dxa"/>
          <w:right w:w="70" w:type="dxa"/>
        </w:tblCellMar>
        <w:tblLook w:val="04A0" w:firstRow="1" w:lastRow="0" w:firstColumn="1" w:lastColumn="0" w:noHBand="0" w:noVBand="1"/>
      </w:tblPr>
      <w:tblGrid>
        <w:gridCol w:w="1418"/>
        <w:gridCol w:w="880"/>
        <w:gridCol w:w="880"/>
        <w:gridCol w:w="880"/>
        <w:gridCol w:w="880"/>
        <w:gridCol w:w="880"/>
        <w:gridCol w:w="880"/>
        <w:gridCol w:w="880"/>
        <w:gridCol w:w="880"/>
        <w:gridCol w:w="880"/>
        <w:gridCol w:w="880"/>
      </w:tblGrid>
      <w:tr w:rsidR="00F952B6" w:rsidRPr="00B655ED" w:rsidTr="00310A92">
        <w:trPr>
          <w:trHeight w:val="264"/>
        </w:trPr>
        <w:tc>
          <w:tcPr>
            <w:tcW w:w="1418" w:type="dxa"/>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sz w:val="24"/>
                <w:szCs w:val="24"/>
                <w:lang w:val="en-US" w:eastAsia="cs-CZ"/>
              </w:rPr>
            </w:pPr>
          </w:p>
        </w:tc>
        <w:tc>
          <w:tcPr>
            <w:tcW w:w="1760" w:type="dxa"/>
            <w:gridSpan w:val="2"/>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M1 (Linear)</w:t>
            </w:r>
          </w:p>
        </w:tc>
        <w:tc>
          <w:tcPr>
            <w:tcW w:w="1760" w:type="dxa"/>
            <w:gridSpan w:val="2"/>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M2 (Binary)</w:t>
            </w:r>
          </w:p>
        </w:tc>
        <w:tc>
          <w:tcPr>
            <w:tcW w:w="1760" w:type="dxa"/>
            <w:gridSpan w:val="2"/>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M3 (Binary adj.)</w:t>
            </w:r>
          </w:p>
        </w:tc>
        <w:tc>
          <w:tcPr>
            <w:tcW w:w="1760" w:type="dxa"/>
            <w:gridSpan w:val="2"/>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M4</w:t>
            </w:r>
          </w:p>
        </w:tc>
        <w:tc>
          <w:tcPr>
            <w:tcW w:w="1760" w:type="dxa"/>
            <w:gridSpan w:val="2"/>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jc w:val="center"/>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M5</w:t>
            </w:r>
          </w:p>
        </w:tc>
      </w:tr>
      <w:tr w:rsidR="00F952B6" w:rsidRPr="00B655ED" w:rsidTr="00310A92">
        <w:trPr>
          <w:trHeight w:val="264"/>
        </w:trPr>
        <w:tc>
          <w:tcPr>
            <w:tcW w:w="1418"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r>
      <w:tr w:rsidR="00F952B6" w:rsidRPr="00B655ED" w:rsidTr="00310A92">
        <w:trPr>
          <w:trHeight w:val="264"/>
        </w:trPr>
        <w:tc>
          <w:tcPr>
            <w:tcW w:w="1418" w:type="dxa"/>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Age</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-0.018**</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-0.358**</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-0.018**</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-0.363**</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-0.018**</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-0.349**</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-0.018**</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-0.360**</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-0.017**</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-0.345**</w:t>
            </w: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(-0.002</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(-0.002</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(-0.002</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(-0.001</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(-0.002</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lastRenderedPageBreak/>
              <w:t>Male</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0.052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0.054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0.033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0.060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0.037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0.051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0.064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0.039</w:t>
            </w: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(-0.052</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(-0.049</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(-0.050</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(-0.048</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(-0.047</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Location</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0.016</w:t>
            </w: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(-0.046</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(-0.047</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(-0.046</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(-0.046</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(-0.046</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CRP</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-0.124**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-0.222**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-0.101**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-0.124**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(-0.006</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(-0.065</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(-0.006</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Glucose</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-0.059**</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-0.186**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-0.090**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(-0.021</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(-0.065</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Glucose adj.</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-0.176**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(-0.064</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TG - triglycerides</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-0.020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-0.024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(-0.025</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(-0.068</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(-0.025</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LDL</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0.091*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0.056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(-0.041</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(-0.054</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LDL adj.</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
                <w:iCs/>
                <w:color w:val="000000"/>
                <w:sz w:val="20"/>
                <w:szCs w:val="20"/>
              </w:rPr>
              <w:t>(-0.059</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LDL/HDL ratio</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-0.139**</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-0.145**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-0.135*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-0.071*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(-0.047</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(-0.067</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(-0.039</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 xml:space="preserve"># of biomarkers </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-0.128**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-0.176**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&gt; ref. limit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(-0.022</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 xml:space="preserve"># of biomarkers </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-0.097**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-0.154**</w:t>
            </w: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&gt; ref. limit adj.</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(-0.019</w:t>
            </w:r>
            <w:r w:rsidRPr="00B655ED">
              <w:rPr>
                <w:rFonts w:ascii="Times New Roman" w:hAnsi="Times New Roman" w:cs="Times New Roman"/>
                <w:i/>
                <w:color w:val="000000"/>
                <w:sz w:val="20"/>
                <w:szCs w:val="20"/>
              </w:rPr>
              <w: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Constant</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4.073**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3.734**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3.930**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3.730**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3.720**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w:t>
            </w:r>
            <w:r w:rsidRPr="00B655ED">
              <w:rPr>
                <w:rFonts w:ascii="Times New Roman" w:hAnsi="Times New Roman" w:cs="Times New Roman"/>
                <w:i/>
                <w:color w:val="000000"/>
                <w:sz w:val="20"/>
                <w:szCs w:val="20"/>
              </w:rPr>
              <w:t>-0.136)</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w:t>
            </w:r>
            <w:r w:rsidRPr="00B655ED">
              <w:rPr>
                <w:rFonts w:ascii="Times New Roman" w:hAnsi="Times New Roman" w:cs="Times New Roman"/>
                <w:i/>
                <w:color w:val="000000"/>
                <w:sz w:val="20"/>
                <w:szCs w:val="20"/>
              </w:rPr>
              <w:t>-0.074)</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w:t>
            </w:r>
            <w:r w:rsidRPr="00B655ED">
              <w:rPr>
                <w:rFonts w:ascii="Times New Roman" w:hAnsi="Times New Roman" w:cs="Times New Roman"/>
                <w:i/>
                <w:color w:val="000000"/>
                <w:sz w:val="20"/>
                <w:szCs w:val="20"/>
              </w:rPr>
              <w:t>-0.097)</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w:t>
            </w:r>
            <w:r w:rsidRPr="00B655ED">
              <w:rPr>
                <w:rFonts w:ascii="Times New Roman" w:hAnsi="Times New Roman" w:cs="Times New Roman"/>
                <w:i/>
                <w:color w:val="000000"/>
                <w:sz w:val="20"/>
                <w:szCs w:val="20"/>
              </w:rPr>
              <w:t>-0.072)</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i/>
                <w:iCs/>
                <w:color w:val="000000"/>
                <w:sz w:val="20"/>
                <w:szCs w:val="20"/>
              </w:rPr>
              <w:t>(</w:t>
            </w:r>
            <w:r w:rsidRPr="00B655ED">
              <w:rPr>
                <w:rFonts w:ascii="Times New Roman" w:hAnsi="Times New Roman" w:cs="Times New Roman"/>
                <w:i/>
                <w:color w:val="000000"/>
                <w:sz w:val="20"/>
                <w:szCs w:val="20"/>
              </w:rPr>
              <w:t>-0.073)</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418" w:type="dxa"/>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R2</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0.20</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0.19</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0.20</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0.18</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0.18</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Adjusted R2</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0.19</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0.18</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0.19</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0.18</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0.17</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418"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BIC</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2296.8</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2313.0</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2300.9</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2288.8</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2298.1</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bl>
    <w:p w:rsidR="00F952B6" w:rsidRPr="00B655ED" w:rsidRDefault="00F952B6" w:rsidP="00F952B6">
      <w:pPr>
        <w:spacing w:after="0" w:line="240" w:lineRule="auto"/>
        <w:contextualSpacing/>
        <w:rPr>
          <w:rFonts w:ascii="Times New Roman" w:hAnsi="Times New Roman" w:cs="Times New Roman"/>
          <w:lang w:val="en-US"/>
        </w:rPr>
      </w:pPr>
      <w:r w:rsidRPr="00B655ED">
        <w:rPr>
          <w:rFonts w:ascii="Times New Roman" w:hAnsi="Times New Roman" w:cs="Times New Roman"/>
          <w:lang w:val="en-US"/>
        </w:rPr>
        <w:t xml:space="preserve">Standardized (beta) and unstandardized coefficients, standard errors, significance tests (t-test: * </w:t>
      </w:r>
      <w:r w:rsidRPr="00B655ED">
        <w:rPr>
          <w:rFonts w:ascii="Times New Roman" w:hAnsi="Times New Roman" w:cs="Times New Roman"/>
          <w:i/>
          <w:iCs/>
          <w:lang w:val="en-US"/>
        </w:rPr>
        <w:t>p</w:t>
      </w:r>
      <w:r w:rsidRPr="00B655ED">
        <w:rPr>
          <w:rFonts w:ascii="Times New Roman" w:hAnsi="Times New Roman" w:cs="Times New Roman"/>
          <w:lang w:val="en-US"/>
        </w:rPr>
        <w:t xml:space="preserve"> &lt; 0.05; ** </w:t>
      </w:r>
      <w:r w:rsidRPr="00B655ED">
        <w:rPr>
          <w:rFonts w:ascii="Times New Roman" w:hAnsi="Times New Roman" w:cs="Times New Roman"/>
          <w:i/>
          <w:iCs/>
          <w:lang w:val="en-US"/>
        </w:rPr>
        <w:t>p</w:t>
      </w:r>
      <w:r w:rsidRPr="00B655ED">
        <w:rPr>
          <w:rFonts w:ascii="Times New Roman" w:hAnsi="Times New Roman" w:cs="Times New Roman"/>
          <w:lang w:val="en-US"/>
        </w:rPr>
        <w:t xml:space="preserve"> &lt; 0.01), Bayesian information criterion (BIC), the proportion of explained variance (R</w:t>
      </w:r>
      <w:r w:rsidRPr="00B655ED">
        <w:rPr>
          <w:rFonts w:ascii="Times New Roman" w:hAnsi="Times New Roman" w:cs="Times New Roman"/>
          <w:vertAlign w:val="superscript"/>
          <w:lang w:val="en-US"/>
        </w:rPr>
        <w:t>2</w:t>
      </w:r>
      <w:r w:rsidRPr="00B655ED">
        <w:rPr>
          <w:rFonts w:ascii="Times New Roman" w:hAnsi="Times New Roman" w:cs="Times New Roman"/>
          <w:lang w:val="en-US"/>
        </w:rPr>
        <w:t>), and R</w:t>
      </w:r>
      <w:r w:rsidRPr="00B655ED">
        <w:rPr>
          <w:rFonts w:ascii="Times New Roman" w:hAnsi="Times New Roman" w:cs="Times New Roman"/>
          <w:vertAlign w:val="superscript"/>
          <w:lang w:val="en-US"/>
        </w:rPr>
        <w:t>2</w:t>
      </w:r>
      <w:r w:rsidRPr="00B655ED">
        <w:rPr>
          <w:rFonts w:ascii="Times New Roman" w:hAnsi="Times New Roman" w:cs="Times New Roman"/>
          <w:lang w:val="en-US"/>
        </w:rPr>
        <w:t xml:space="preserve"> adjusted for degrees of freedom.</w:t>
      </w:r>
    </w:p>
    <w:p w:rsidR="00F952B6" w:rsidRPr="00B655ED" w:rsidRDefault="00F952B6" w:rsidP="00F952B6">
      <w:pPr>
        <w:spacing w:after="0" w:line="240" w:lineRule="auto"/>
        <w:rPr>
          <w:rFonts w:ascii="Times New Roman" w:eastAsia="Times New Roman" w:hAnsi="Times New Roman" w:cs="Times New Roman"/>
          <w:color w:val="000000"/>
          <w:lang w:eastAsia="cs-CZ"/>
        </w:rPr>
      </w:pPr>
      <w:r w:rsidRPr="00B655ED">
        <w:rPr>
          <w:rFonts w:ascii="Times New Roman" w:eastAsia="Times New Roman" w:hAnsi="Times New Roman" w:cs="Times New Roman"/>
          <w:color w:val="000000"/>
          <w:lang w:eastAsia="cs-CZ"/>
        </w:rPr>
        <w:t xml:space="preserve">CRP - </w:t>
      </w:r>
      <w:r w:rsidRPr="00B655ED">
        <w:rPr>
          <w:rFonts w:ascii="Times New Roman" w:hAnsi="Times New Roman" w:cs="Times New Roman"/>
          <w:lang w:val="en-US"/>
        </w:rPr>
        <w:t>C-reactive protein, TG – triglycerides, LDL – low density lipoprotein, HDL – high density lipoprotein</w:t>
      </w:r>
    </w:p>
    <w:p w:rsidR="00F952B6" w:rsidRPr="00B655ED" w:rsidRDefault="00F952B6" w:rsidP="00F952B6">
      <w:pPr>
        <w:spacing w:after="0" w:line="480" w:lineRule="auto"/>
        <w:contextualSpacing/>
        <w:rPr>
          <w:rFonts w:ascii="Times New Roman" w:hAnsi="Times New Roman" w:cs="Times New Roman"/>
          <w:sz w:val="24"/>
          <w:szCs w:val="24"/>
          <w:lang w:val="en-US"/>
        </w:rPr>
      </w:pPr>
    </w:p>
    <w:p w:rsidR="00F952B6" w:rsidRPr="00B655ED" w:rsidRDefault="00F952B6" w:rsidP="00F952B6">
      <w:pPr>
        <w:spacing w:after="0" w:line="480" w:lineRule="auto"/>
        <w:ind w:firstLine="709"/>
        <w:contextualSpacing/>
        <w:rPr>
          <w:rFonts w:ascii="Times New Roman" w:hAnsi="Times New Roman" w:cs="Times New Roman"/>
          <w:sz w:val="24"/>
          <w:szCs w:val="24"/>
          <w:lang w:val="en-US"/>
        </w:rPr>
      </w:pPr>
      <w:r w:rsidRPr="00B655ED">
        <w:rPr>
          <w:rFonts w:ascii="Times New Roman" w:hAnsi="Times New Roman" w:cs="Times New Roman"/>
          <w:sz w:val="24"/>
          <w:szCs w:val="24"/>
          <w:lang w:val="en-US"/>
        </w:rPr>
        <w:t>Models 4 and 5 replaced biomarkers with summary indicators indicating how many reference levels were crossed. Clearly, the greater the number of biomarkers over the reference limits, the worse health the respondents reported. This summary indicator added around 2%–3% to the explained variance.</w:t>
      </w:r>
    </w:p>
    <w:p w:rsidR="00F952B6" w:rsidRPr="00B655ED" w:rsidRDefault="00310A92" w:rsidP="00F952B6">
      <w:pPr>
        <w:spacing w:after="0" w:line="480" w:lineRule="auto"/>
        <w:ind w:firstLine="709"/>
        <w:contextualSpacing/>
        <w:rPr>
          <w:rFonts w:ascii="Times New Roman" w:hAnsi="Times New Roman" w:cs="Times New Roman"/>
          <w:sz w:val="24"/>
          <w:szCs w:val="24"/>
          <w:lang w:val="en-US"/>
        </w:rPr>
      </w:pPr>
      <w:r>
        <w:rPr>
          <w:rFonts w:ascii="Times New Roman" w:hAnsi="Times New Roman" w:cs="Times New Roman"/>
          <w:sz w:val="24"/>
          <w:szCs w:val="24"/>
          <w:lang w:val="en-US"/>
        </w:rPr>
        <w:t>Model 1 in Table A4</w:t>
      </w:r>
      <w:r w:rsidR="00F952B6" w:rsidRPr="00B655ED">
        <w:rPr>
          <w:rFonts w:ascii="Times New Roman" w:hAnsi="Times New Roman" w:cs="Times New Roman"/>
          <w:sz w:val="24"/>
          <w:szCs w:val="24"/>
          <w:lang w:val="en-US"/>
        </w:rPr>
        <w:t xml:space="preserve"> entered the number of conditions the respondents were diagnosed with and the number of drug classes they were treated with. Both measures were negatively related to SRH. An additional condition was associated with a 0.2 shift in SRH, and an additional drug class was associated with a 0.14 shift. The beta coefficient showed that the importance of medication status as an SRH indicator was equally important as age, </w:t>
      </w:r>
      <w:r w:rsidR="00F952B6" w:rsidRPr="00B655ED">
        <w:rPr>
          <w:rFonts w:ascii="Times New Roman" w:hAnsi="Times New Roman" w:cs="Times New Roman"/>
          <w:sz w:val="24"/>
          <w:szCs w:val="24"/>
          <w:lang w:val="en-US"/>
        </w:rPr>
        <w:lastRenderedPageBreak/>
        <w:t>followed closely by the number of medical conditions. A comparison with the ba</w:t>
      </w:r>
      <w:r>
        <w:rPr>
          <w:rFonts w:ascii="Times New Roman" w:hAnsi="Times New Roman" w:cs="Times New Roman"/>
          <w:sz w:val="24"/>
          <w:szCs w:val="24"/>
          <w:lang w:val="en-US"/>
        </w:rPr>
        <w:t>seline model (Model 1 in Table A2</w:t>
      </w:r>
      <w:r w:rsidR="00F952B6" w:rsidRPr="00B655ED">
        <w:rPr>
          <w:rFonts w:ascii="Times New Roman" w:hAnsi="Times New Roman" w:cs="Times New Roman"/>
          <w:sz w:val="24"/>
          <w:szCs w:val="24"/>
          <w:lang w:val="en-US"/>
        </w:rPr>
        <w:t>) demonstrated that the self-reported number of medical conditions and medications contributed 11% to the explained variance.</w:t>
      </w:r>
    </w:p>
    <w:p w:rsidR="00F952B6" w:rsidRPr="00B655ED" w:rsidRDefault="00F952B6" w:rsidP="00F952B6">
      <w:pPr>
        <w:spacing w:after="0" w:line="480" w:lineRule="auto"/>
        <w:contextualSpacing/>
        <w:rPr>
          <w:rFonts w:ascii="Times New Roman" w:hAnsi="Times New Roman" w:cs="Times New Roman"/>
          <w:sz w:val="24"/>
          <w:szCs w:val="24"/>
          <w:lang w:val="en-US"/>
        </w:rPr>
      </w:pPr>
      <w:r w:rsidRPr="00B655ED">
        <w:rPr>
          <w:rFonts w:ascii="Times New Roman" w:hAnsi="Times New Roman" w:cs="Times New Roman"/>
          <w:b/>
          <w:bCs/>
          <w:sz w:val="24"/>
          <w:szCs w:val="24"/>
          <w:lang w:val="en-US"/>
        </w:rPr>
        <w:t>Tab</w:t>
      </w:r>
      <w:r w:rsidR="00310A92">
        <w:rPr>
          <w:rFonts w:ascii="Times New Roman" w:hAnsi="Times New Roman" w:cs="Times New Roman"/>
          <w:b/>
          <w:bCs/>
          <w:sz w:val="24"/>
          <w:szCs w:val="24"/>
          <w:lang w:val="en-US"/>
        </w:rPr>
        <w:t>le A4</w:t>
      </w:r>
      <w:r w:rsidRPr="00B655ED">
        <w:rPr>
          <w:rFonts w:ascii="Times New Roman" w:hAnsi="Times New Roman" w:cs="Times New Roman"/>
          <w:b/>
          <w:bCs/>
          <w:sz w:val="24"/>
          <w:szCs w:val="24"/>
          <w:lang w:val="en-US"/>
        </w:rPr>
        <w:t>:</w:t>
      </w:r>
      <w:r w:rsidRPr="00B655ED">
        <w:rPr>
          <w:rFonts w:ascii="Times New Roman" w:hAnsi="Times New Roman" w:cs="Times New Roman"/>
          <w:sz w:val="24"/>
          <w:szCs w:val="24"/>
          <w:lang w:val="en-US"/>
        </w:rPr>
        <w:t xml:space="preserve"> Results of ordinary least squares (OLS) regression models with dependent variable SRH, displaying regression coefficients, standardized coefficients (beta), standard errors (in parentheses), and significance level. Source: QUALITAS 2016/2017 survey (N = 1021).</w:t>
      </w:r>
    </w:p>
    <w:tbl>
      <w:tblPr>
        <w:tblW w:w="8860" w:type="dxa"/>
        <w:tblCellMar>
          <w:left w:w="70" w:type="dxa"/>
          <w:right w:w="70" w:type="dxa"/>
        </w:tblCellMar>
        <w:tblLook w:val="04A0" w:firstRow="1" w:lastRow="0" w:firstColumn="1" w:lastColumn="0" w:noHBand="0" w:noVBand="1"/>
      </w:tblPr>
      <w:tblGrid>
        <w:gridCol w:w="1520"/>
        <w:gridCol w:w="980"/>
        <w:gridCol w:w="880"/>
        <w:gridCol w:w="980"/>
        <w:gridCol w:w="880"/>
        <w:gridCol w:w="880"/>
        <w:gridCol w:w="880"/>
        <w:gridCol w:w="980"/>
        <w:gridCol w:w="880"/>
      </w:tblGrid>
      <w:tr w:rsidR="00F952B6" w:rsidRPr="00B655ED" w:rsidTr="00310A92">
        <w:tc>
          <w:tcPr>
            <w:tcW w:w="1520" w:type="dxa"/>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sz w:val="24"/>
                <w:szCs w:val="24"/>
                <w:lang w:eastAsia="cs-CZ"/>
              </w:rPr>
            </w:pPr>
          </w:p>
        </w:tc>
        <w:tc>
          <w:tcPr>
            <w:tcW w:w="1860"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M1 </w:t>
            </w:r>
          </w:p>
        </w:tc>
        <w:tc>
          <w:tcPr>
            <w:tcW w:w="1860"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M2 </w:t>
            </w:r>
          </w:p>
        </w:tc>
        <w:tc>
          <w:tcPr>
            <w:tcW w:w="1760"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M3 </w:t>
            </w:r>
          </w:p>
        </w:tc>
        <w:tc>
          <w:tcPr>
            <w:tcW w:w="1860" w:type="dxa"/>
            <w:gridSpan w:val="2"/>
            <w:tcBorders>
              <w:top w:val="single" w:sz="4" w:space="0" w:color="auto"/>
              <w:left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M4 </w:t>
            </w:r>
          </w:p>
        </w:tc>
      </w:tr>
      <w:tr w:rsidR="00F952B6" w:rsidRPr="00B655ED" w:rsidTr="00310A92">
        <w:trPr>
          <w:trHeight w:val="264"/>
        </w:trPr>
        <w:tc>
          <w:tcPr>
            <w:tcW w:w="152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9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c>
          <w:tcPr>
            <w:tcW w:w="9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Coef.</w:t>
            </w:r>
          </w:p>
        </w:tc>
        <w:tc>
          <w:tcPr>
            <w:tcW w:w="88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Beta</w:t>
            </w:r>
          </w:p>
        </w:tc>
      </w:tr>
      <w:tr w:rsidR="00F952B6" w:rsidRPr="00B655ED" w:rsidTr="00310A92">
        <w:trPr>
          <w:trHeight w:val="264"/>
        </w:trPr>
        <w:tc>
          <w:tcPr>
            <w:tcW w:w="1520" w:type="dxa"/>
            <w:tcBorders>
              <w:top w:val="single" w:sz="4" w:space="0" w:color="auto"/>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Age</w:t>
            </w:r>
          </w:p>
        </w:tc>
        <w:tc>
          <w:tcPr>
            <w:tcW w:w="9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-0.011**</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-0.225**</w:t>
            </w:r>
          </w:p>
        </w:tc>
        <w:tc>
          <w:tcPr>
            <w:tcW w:w="9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-0.020**</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-0.399**</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-0.017**</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-0.330**</w:t>
            </w:r>
          </w:p>
        </w:tc>
        <w:tc>
          <w:tcPr>
            <w:tcW w:w="9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-0.012**</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-0.232**</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-0.002)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-0.001)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-0.002)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-0.002)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Male</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0.002</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-0.056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-0.034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0.074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0.045</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-0.019</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Location</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0.074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0.046</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0.050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0.031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0.017</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0.071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0.044</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Medication #</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-0.145**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-0.229**</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-0.111**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-0.176**</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-0.020)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-0.019)</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Diagnoses #</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-0.223**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-0.210**</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-0.151**</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-0.142**</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-0.033)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-0.030)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Depressive s.</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-0.668**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-0.379**</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-0.552**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-0.314**</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BMI</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-0.040**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-0.244**</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-0.139**</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-0.005)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-0.004)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Alcohol (0 - ref.)</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1</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0.011</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0.013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0.006</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-0.066)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-0.058)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2-5</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0.050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0.024</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0.084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0.040</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-0.065)</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-0.057)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6+</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jc w:val="right"/>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0.001</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0.023</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0.008</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-0.087)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-0.077)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Smoker</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-0.180**</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-0.097**</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-0.159**</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iCs/>
                <w:color w:val="000000"/>
                <w:sz w:val="20"/>
                <w:szCs w:val="20"/>
              </w:rPr>
              <w:t>-0.085**</w:t>
            </w: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-0.052)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-0.046)</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Cs/>
                <w:color w:val="000000"/>
                <w:sz w:val="20"/>
                <w:szCs w:val="20"/>
                <w:lang w:eastAsia="cs-CZ"/>
              </w:rPr>
            </w:pPr>
          </w:p>
        </w:tc>
      </w:tr>
      <w:tr w:rsidR="00F952B6" w:rsidRPr="00B655ED" w:rsidTr="00310A92">
        <w:trPr>
          <w:trHeight w:val="264"/>
        </w:trPr>
        <w:tc>
          <w:tcPr>
            <w:tcW w:w="1520" w:type="dxa"/>
            <w:tcBorders>
              <w:top w:val="nil"/>
              <w:left w:val="nil"/>
              <w:bottom w:val="nil"/>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Constant</w:t>
            </w: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3.554**</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3.757**</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4.632**</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4.138**</w:t>
            </w:r>
          </w:p>
        </w:tc>
        <w:tc>
          <w:tcPr>
            <w:tcW w:w="880" w:type="dxa"/>
            <w:tcBorders>
              <w:top w:val="nil"/>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520" w:type="dxa"/>
            <w:tcBorders>
              <w:top w:val="nil"/>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sz w:val="20"/>
                <w:szCs w:val="20"/>
                <w:lang w:eastAsia="cs-CZ"/>
              </w:rPr>
            </w:pPr>
          </w:p>
        </w:tc>
        <w:tc>
          <w:tcPr>
            <w:tcW w:w="9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-0.070)</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-0.067)</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-0.134)</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c>
          <w:tcPr>
            <w:tcW w:w="9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r w:rsidRPr="00B655ED">
              <w:rPr>
                <w:rFonts w:ascii="Times New Roman" w:hAnsi="Times New Roman" w:cs="Times New Roman"/>
                <w:color w:val="000000"/>
                <w:sz w:val="20"/>
                <w:szCs w:val="20"/>
              </w:rPr>
              <w:t>(</w:t>
            </w:r>
            <w:r w:rsidRPr="00B655ED">
              <w:rPr>
                <w:rFonts w:ascii="Times New Roman" w:hAnsi="Times New Roman" w:cs="Times New Roman"/>
                <w:i/>
                <w:color w:val="000000"/>
                <w:sz w:val="20"/>
                <w:szCs w:val="20"/>
              </w:rPr>
              <w:t>-0.124)</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i/>
                <w:iCs/>
                <w:color w:val="000000"/>
                <w:sz w:val="20"/>
                <w:szCs w:val="20"/>
                <w:lang w:eastAsia="cs-CZ"/>
              </w:rPr>
            </w:pPr>
          </w:p>
        </w:tc>
      </w:tr>
      <w:tr w:rsidR="00F952B6" w:rsidRPr="00B655ED" w:rsidTr="00310A92">
        <w:trPr>
          <w:trHeight w:val="264"/>
        </w:trPr>
        <w:tc>
          <w:tcPr>
            <w:tcW w:w="1520" w:type="dxa"/>
            <w:tcBorders>
              <w:top w:val="single" w:sz="4" w:space="0" w:color="auto"/>
              <w:left w:val="nil"/>
              <w:right w:val="nil"/>
            </w:tcBorders>
            <w:shd w:val="clear" w:color="auto" w:fill="auto"/>
            <w:noWrap/>
            <w:vAlign w:val="center"/>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R2</w:t>
            </w:r>
          </w:p>
        </w:tc>
        <w:tc>
          <w:tcPr>
            <w:tcW w:w="9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0.26</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0.30</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0.22</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0.39</w:t>
            </w:r>
          </w:p>
        </w:tc>
        <w:tc>
          <w:tcPr>
            <w:tcW w:w="880" w:type="dxa"/>
            <w:tcBorders>
              <w:top w:val="single" w:sz="4" w:space="0" w:color="auto"/>
              <w:left w:val="nil"/>
              <w:bottom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88"/>
        </w:trPr>
        <w:tc>
          <w:tcPr>
            <w:tcW w:w="1520" w:type="dxa"/>
            <w:tcBorders>
              <w:top w:val="nil"/>
              <w:left w:val="nil"/>
              <w:right w:val="nil"/>
            </w:tcBorders>
            <w:shd w:val="clear" w:color="auto" w:fill="auto"/>
            <w:noWrap/>
            <w:vAlign w:val="center"/>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val="en-US" w:eastAsia="cs-CZ"/>
              </w:rPr>
              <w:t>Adjusted R2</w:t>
            </w:r>
          </w:p>
        </w:tc>
        <w:tc>
          <w:tcPr>
            <w:tcW w:w="9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0.26</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0.29</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0.21</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0.38</w:t>
            </w:r>
          </w:p>
        </w:tc>
        <w:tc>
          <w:tcPr>
            <w:tcW w:w="880" w:type="dxa"/>
            <w:tcBorders>
              <w:top w:val="nil"/>
              <w:left w:val="nil"/>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r w:rsidR="00F952B6" w:rsidRPr="00B655ED" w:rsidTr="00310A92">
        <w:trPr>
          <w:trHeight w:val="264"/>
        </w:trPr>
        <w:tc>
          <w:tcPr>
            <w:tcW w:w="1520" w:type="dxa"/>
            <w:tcBorders>
              <w:left w:val="nil"/>
              <w:bottom w:val="single" w:sz="4" w:space="0" w:color="auto"/>
              <w:right w:val="nil"/>
            </w:tcBorders>
            <w:shd w:val="clear" w:color="auto" w:fill="auto"/>
            <w:noWrap/>
            <w:vAlign w:val="bottom"/>
            <w:hideMark/>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eastAsia="Times New Roman" w:hAnsi="Times New Roman" w:cs="Times New Roman"/>
                <w:color w:val="000000"/>
                <w:sz w:val="20"/>
                <w:szCs w:val="20"/>
                <w:lang w:eastAsia="cs-CZ"/>
              </w:rPr>
              <w:t>BIC</w:t>
            </w:r>
          </w:p>
        </w:tc>
        <w:tc>
          <w:tcPr>
            <w:tcW w:w="9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2189.6</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2135.5</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2273.7</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c>
          <w:tcPr>
            <w:tcW w:w="9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r w:rsidRPr="00B655ED">
              <w:rPr>
                <w:rFonts w:ascii="Times New Roman" w:hAnsi="Times New Roman" w:cs="Times New Roman"/>
                <w:color w:val="000000"/>
                <w:sz w:val="20"/>
                <w:szCs w:val="20"/>
              </w:rPr>
              <w:t>2041.1</w:t>
            </w:r>
          </w:p>
        </w:tc>
        <w:tc>
          <w:tcPr>
            <w:tcW w:w="880" w:type="dxa"/>
            <w:tcBorders>
              <w:top w:val="nil"/>
              <w:left w:val="nil"/>
              <w:bottom w:val="single" w:sz="4" w:space="0" w:color="auto"/>
              <w:right w:val="nil"/>
            </w:tcBorders>
            <w:shd w:val="clear" w:color="auto" w:fill="auto"/>
            <w:noWrap/>
            <w:vAlign w:val="bottom"/>
          </w:tcPr>
          <w:p w:rsidR="00F952B6" w:rsidRPr="00B655ED" w:rsidRDefault="00F952B6" w:rsidP="00310A92">
            <w:pPr>
              <w:spacing w:after="0" w:line="240" w:lineRule="auto"/>
              <w:rPr>
                <w:rFonts w:ascii="Times New Roman" w:eastAsia="Times New Roman" w:hAnsi="Times New Roman" w:cs="Times New Roman"/>
                <w:color w:val="000000"/>
                <w:sz w:val="20"/>
                <w:szCs w:val="20"/>
                <w:lang w:eastAsia="cs-CZ"/>
              </w:rPr>
            </w:pPr>
          </w:p>
        </w:tc>
      </w:tr>
    </w:tbl>
    <w:p w:rsidR="00F952B6" w:rsidRPr="00B655ED" w:rsidRDefault="00F952B6" w:rsidP="00F952B6">
      <w:pPr>
        <w:spacing w:after="0" w:line="240" w:lineRule="auto"/>
        <w:contextualSpacing/>
        <w:rPr>
          <w:rFonts w:ascii="Times New Roman" w:hAnsi="Times New Roman" w:cs="Times New Roman"/>
          <w:sz w:val="24"/>
          <w:szCs w:val="24"/>
          <w:lang w:val="en-US"/>
        </w:rPr>
      </w:pPr>
      <w:r w:rsidRPr="00B655ED">
        <w:rPr>
          <w:rFonts w:ascii="Times New Roman" w:hAnsi="Times New Roman" w:cs="Times New Roman"/>
          <w:sz w:val="24"/>
          <w:szCs w:val="24"/>
          <w:lang w:val="en-US"/>
        </w:rPr>
        <w:t xml:space="preserve">Standardized (beta) and unstandardized coefficients, standard errors, significance tests (t-test: * </w:t>
      </w:r>
      <w:r w:rsidRPr="00B655ED">
        <w:rPr>
          <w:rFonts w:ascii="Times New Roman" w:hAnsi="Times New Roman" w:cs="Times New Roman"/>
          <w:i/>
          <w:iCs/>
          <w:sz w:val="24"/>
          <w:szCs w:val="24"/>
          <w:lang w:val="en-US"/>
        </w:rPr>
        <w:t>p</w:t>
      </w:r>
      <w:r w:rsidRPr="00B655ED">
        <w:rPr>
          <w:rFonts w:ascii="Times New Roman" w:hAnsi="Times New Roman" w:cs="Times New Roman"/>
          <w:sz w:val="24"/>
          <w:szCs w:val="24"/>
          <w:lang w:val="en-US"/>
        </w:rPr>
        <w:t xml:space="preserve"> &lt; 0.05; ** </w:t>
      </w:r>
      <w:r w:rsidRPr="00B655ED">
        <w:rPr>
          <w:rFonts w:ascii="Times New Roman" w:hAnsi="Times New Roman" w:cs="Times New Roman"/>
          <w:i/>
          <w:iCs/>
          <w:sz w:val="24"/>
          <w:szCs w:val="24"/>
          <w:lang w:val="en-US"/>
        </w:rPr>
        <w:t>p</w:t>
      </w:r>
      <w:r w:rsidRPr="00B655ED">
        <w:rPr>
          <w:rFonts w:ascii="Times New Roman" w:hAnsi="Times New Roman" w:cs="Times New Roman"/>
          <w:sz w:val="24"/>
          <w:szCs w:val="24"/>
          <w:lang w:val="en-US"/>
        </w:rPr>
        <w:t xml:space="preserve"> &lt; 0.01), Bayesian information criterion (BIC), the proportion of explained variance (R</w:t>
      </w:r>
      <w:r w:rsidRPr="00B655ED">
        <w:rPr>
          <w:rFonts w:ascii="Times New Roman" w:hAnsi="Times New Roman" w:cs="Times New Roman"/>
          <w:sz w:val="24"/>
          <w:szCs w:val="24"/>
          <w:vertAlign w:val="superscript"/>
          <w:lang w:val="en-US"/>
        </w:rPr>
        <w:t>2</w:t>
      </w:r>
      <w:r w:rsidRPr="00B655ED">
        <w:rPr>
          <w:rFonts w:ascii="Times New Roman" w:hAnsi="Times New Roman" w:cs="Times New Roman"/>
          <w:sz w:val="24"/>
          <w:szCs w:val="24"/>
          <w:lang w:val="en-US"/>
        </w:rPr>
        <w:t>), and R</w:t>
      </w:r>
      <w:r w:rsidRPr="00B655ED">
        <w:rPr>
          <w:rFonts w:ascii="Times New Roman" w:hAnsi="Times New Roman" w:cs="Times New Roman"/>
          <w:sz w:val="24"/>
          <w:szCs w:val="24"/>
          <w:vertAlign w:val="superscript"/>
          <w:lang w:val="en-US"/>
        </w:rPr>
        <w:t>2</w:t>
      </w:r>
      <w:r w:rsidRPr="00B655ED">
        <w:rPr>
          <w:rFonts w:ascii="Times New Roman" w:hAnsi="Times New Roman" w:cs="Times New Roman"/>
          <w:sz w:val="24"/>
          <w:szCs w:val="24"/>
          <w:lang w:val="en-US"/>
        </w:rPr>
        <w:t xml:space="preserve"> adjusted for degrees of freedom.</w:t>
      </w:r>
    </w:p>
    <w:p w:rsidR="00F952B6" w:rsidRPr="00B655ED" w:rsidRDefault="00F952B6" w:rsidP="00F952B6">
      <w:pPr>
        <w:spacing w:after="0" w:line="240" w:lineRule="auto"/>
        <w:contextualSpacing/>
        <w:rPr>
          <w:rFonts w:ascii="Times New Roman" w:eastAsia="Times New Roman" w:hAnsi="Times New Roman" w:cs="Times New Roman"/>
          <w:color w:val="000000"/>
          <w:sz w:val="24"/>
          <w:szCs w:val="24"/>
          <w:lang w:eastAsia="cs-CZ"/>
        </w:rPr>
      </w:pPr>
      <w:r w:rsidRPr="00B655ED">
        <w:rPr>
          <w:rFonts w:ascii="Times New Roman" w:eastAsia="Times New Roman" w:hAnsi="Times New Roman" w:cs="Times New Roman"/>
          <w:color w:val="000000"/>
          <w:sz w:val="24"/>
          <w:szCs w:val="24"/>
          <w:lang w:eastAsia="cs-CZ"/>
        </w:rPr>
        <w:t>Diagnoses #: the number of conditions respondents was diagnosed with</w:t>
      </w:r>
    </w:p>
    <w:p w:rsidR="00F952B6" w:rsidRPr="00B655ED" w:rsidRDefault="00F952B6" w:rsidP="00F952B6">
      <w:pPr>
        <w:spacing w:after="0" w:line="240" w:lineRule="auto"/>
        <w:contextualSpacing/>
        <w:rPr>
          <w:rFonts w:ascii="Times New Roman" w:hAnsi="Times New Roman" w:cs="Times New Roman"/>
          <w:sz w:val="24"/>
          <w:szCs w:val="24"/>
          <w:lang w:val="en-US"/>
        </w:rPr>
      </w:pPr>
      <w:r w:rsidRPr="00B655ED">
        <w:rPr>
          <w:rFonts w:ascii="Times New Roman" w:eastAsia="Times New Roman" w:hAnsi="Times New Roman" w:cs="Times New Roman"/>
          <w:color w:val="000000"/>
          <w:sz w:val="24"/>
          <w:szCs w:val="24"/>
          <w:lang w:eastAsia="cs-CZ"/>
        </w:rPr>
        <w:t xml:space="preserve">Medication </w:t>
      </w:r>
      <w:r w:rsidRPr="00B655ED">
        <w:rPr>
          <w:rFonts w:ascii="Times New Roman" w:eastAsia="Times New Roman" w:hAnsi="Times New Roman" w:cs="Times New Roman"/>
          <w:color w:val="000000"/>
          <w:sz w:val="24"/>
          <w:szCs w:val="24"/>
          <w:lang w:val="en-US" w:eastAsia="cs-CZ"/>
        </w:rPr>
        <w:t>#: the number of medication groups respondents was treated with</w:t>
      </w:r>
    </w:p>
    <w:p w:rsidR="00F952B6" w:rsidRPr="00B655ED" w:rsidRDefault="00F952B6" w:rsidP="00F952B6">
      <w:pPr>
        <w:spacing w:after="0" w:line="480" w:lineRule="auto"/>
        <w:ind w:firstLine="709"/>
        <w:contextualSpacing/>
        <w:rPr>
          <w:rFonts w:ascii="Times New Roman" w:hAnsi="Times New Roman" w:cs="Times New Roman"/>
          <w:sz w:val="24"/>
          <w:szCs w:val="24"/>
          <w:lang w:val="en-US"/>
        </w:rPr>
      </w:pPr>
    </w:p>
    <w:p w:rsidR="00F952B6" w:rsidRPr="00B655ED" w:rsidRDefault="00F952B6" w:rsidP="00F952B6">
      <w:pPr>
        <w:spacing w:after="0" w:line="480" w:lineRule="auto"/>
        <w:ind w:firstLine="709"/>
        <w:contextualSpacing/>
        <w:rPr>
          <w:rFonts w:ascii="Times New Roman" w:hAnsi="Times New Roman" w:cs="Times New Roman"/>
          <w:sz w:val="24"/>
          <w:szCs w:val="24"/>
          <w:lang w:val="en-US"/>
        </w:rPr>
      </w:pPr>
      <w:r w:rsidRPr="00B655ED">
        <w:rPr>
          <w:rFonts w:ascii="Times New Roman" w:hAnsi="Times New Roman" w:cs="Times New Roman"/>
          <w:sz w:val="24"/>
          <w:szCs w:val="24"/>
          <w:lang w:val="en-US"/>
        </w:rPr>
        <w:lastRenderedPageBreak/>
        <w:t>Model 2 in T</w:t>
      </w:r>
      <w:r w:rsidR="00310A92">
        <w:rPr>
          <w:rFonts w:ascii="Times New Roman" w:hAnsi="Times New Roman" w:cs="Times New Roman"/>
          <w:sz w:val="24"/>
          <w:szCs w:val="24"/>
          <w:lang w:val="en-US"/>
        </w:rPr>
        <w:t>able A4</w:t>
      </w:r>
      <w:r w:rsidRPr="00B655ED">
        <w:rPr>
          <w:rFonts w:ascii="Times New Roman" w:hAnsi="Times New Roman" w:cs="Times New Roman"/>
          <w:sz w:val="24"/>
          <w:szCs w:val="24"/>
          <w:lang w:val="en-US"/>
        </w:rPr>
        <w:t xml:space="preserve"> added the mental health index. It showed that mental health was also significantly linked to SRH, and it contributed 15% to R</w:t>
      </w:r>
      <w:r w:rsidRPr="00B655ED">
        <w:rPr>
          <w:rFonts w:ascii="Times New Roman" w:hAnsi="Times New Roman" w:cs="Times New Roman"/>
          <w:sz w:val="24"/>
          <w:szCs w:val="24"/>
          <w:vertAlign w:val="superscript"/>
          <w:lang w:val="en-US"/>
        </w:rPr>
        <w:t>2</w:t>
      </w:r>
      <w:r w:rsidR="00310A92">
        <w:rPr>
          <w:rFonts w:ascii="Times New Roman" w:hAnsi="Times New Roman" w:cs="Times New Roman"/>
          <w:sz w:val="24"/>
          <w:szCs w:val="24"/>
          <w:lang w:val="en-US"/>
        </w:rPr>
        <w:t xml:space="preserve"> (see Model 2 in Table A4</w:t>
      </w:r>
      <w:r w:rsidRPr="00B655ED">
        <w:rPr>
          <w:rFonts w:ascii="Times New Roman" w:hAnsi="Times New Roman" w:cs="Times New Roman"/>
          <w:sz w:val="24"/>
          <w:szCs w:val="24"/>
          <w:lang w:val="en-US"/>
        </w:rPr>
        <w:t>).</w:t>
      </w:r>
    </w:p>
    <w:p w:rsidR="00F952B6" w:rsidRDefault="00F952B6" w:rsidP="00F952B6">
      <w:pPr>
        <w:spacing w:after="0" w:line="480" w:lineRule="auto"/>
        <w:ind w:firstLine="709"/>
        <w:contextualSpacing/>
        <w:rPr>
          <w:rFonts w:ascii="Times New Roman" w:hAnsi="Times New Roman" w:cs="Times New Roman"/>
          <w:sz w:val="24"/>
          <w:szCs w:val="24"/>
          <w:lang w:val="en-US"/>
        </w:rPr>
      </w:pPr>
      <w:r w:rsidRPr="00B655ED">
        <w:rPr>
          <w:rFonts w:ascii="Times New Roman" w:hAnsi="Times New Roman" w:cs="Times New Roman"/>
          <w:sz w:val="24"/>
          <w:szCs w:val="24"/>
          <w:lang w:val="en-US"/>
        </w:rPr>
        <w:t>Model 3 integrated BMI and behavioral items. The association between alcohol consumption and SRH was not significant at the 0.05 level, while both BMI and smoking were negatively linked to SRH. However, the standardized coefficients showed that the importance of smoking was relatively weak. BMI had an approximately 2.5 times greater effect on SRH than smoking. As for the proportion of explained variance, BMI and behavioral items contributed 6% to R</w:t>
      </w:r>
      <w:r w:rsidRPr="00B655ED">
        <w:rPr>
          <w:rFonts w:ascii="Times New Roman" w:hAnsi="Times New Roman" w:cs="Times New Roman"/>
          <w:sz w:val="24"/>
          <w:szCs w:val="24"/>
          <w:vertAlign w:val="superscript"/>
          <w:lang w:val="en-US"/>
        </w:rPr>
        <w:t>2</w:t>
      </w:r>
      <w:r w:rsidRPr="00B655ED">
        <w:rPr>
          <w:rFonts w:ascii="Times New Roman" w:hAnsi="Times New Roman" w:cs="Times New Roman"/>
          <w:sz w:val="24"/>
          <w:szCs w:val="24"/>
          <w:lang w:val="en-US"/>
        </w:rPr>
        <w:t>.</w:t>
      </w:r>
    </w:p>
    <w:p w:rsidR="00F952B6" w:rsidRDefault="00F952B6" w:rsidP="00F952B6">
      <w:pPr>
        <w:spacing w:after="0" w:line="480" w:lineRule="auto"/>
        <w:ind w:firstLine="709"/>
        <w:contextualSpacing/>
        <w:rPr>
          <w:rFonts w:ascii="Times New Roman" w:hAnsi="Times New Roman" w:cs="Times New Roman"/>
          <w:noProof/>
          <w:sz w:val="24"/>
          <w:szCs w:val="24"/>
          <w:lang w:val="en-US"/>
        </w:rPr>
      </w:pPr>
      <w:r w:rsidRPr="00B655ED">
        <w:rPr>
          <w:rFonts w:ascii="Times New Roman" w:hAnsi="Times New Roman" w:cs="Times New Roman"/>
          <w:sz w:val="24"/>
          <w:szCs w:val="24"/>
          <w:lang w:val="en-US"/>
        </w:rPr>
        <w:t>The final model, shown in Table 6, included controls, the number of conditions respondents were diagnosed with, the number of drug classes they were treated with, mental health status, BMI, alcohol consumption, and smoking. Together, these variables contributed nearly 40% to explained variance (R</w:t>
      </w:r>
      <w:r w:rsidRPr="00B655ED">
        <w:rPr>
          <w:rFonts w:ascii="Times New Roman" w:hAnsi="Times New Roman" w:cs="Times New Roman"/>
          <w:sz w:val="24"/>
          <w:szCs w:val="24"/>
          <w:vertAlign w:val="superscript"/>
          <w:lang w:val="en-US"/>
        </w:rPr>
        <w:t>2</w:t>
      </w:r>
      <w:r w:rsidRPr="00B655ED">
        <w:rPr>
          <w:rFonts w:ascii="Times New Roman" w:hAnsi="Times New Roman" w:cs="Times New Roman"/>
          <w:sz w:val="24"/>
          <w:szCs w:val="24"/>
          <w:lang w:val="en-US"/>
        </w:rPr>
        <w:t xml:space="preserve"> = 0.39; adjusted R</w:t>
      </w:r>
      <w:r w:rsidRPr="00B655ED">
        <w:rPr>
          <w:rFonts w:ascii="Times New Roman" w:hAnsi="Times New Roman" w:cs="Times New Roman"/>
          <w:sz w:val="24"/>
          <w:szCs w:val="24"/>
          <w:vertAlign w:val="superscript"/>
          <w:lang w:val="en-US"/>
        </w:rPr>
        <w:t>2</w:t>
      </w:r>
      <w:r w:rsidRPr="00B655ED">
        <w:rPr>
          <w:rFonts w:ascii="Times New Roman" w:hAnsi="Times New Roman" w:cs="Times New Roman"/>
          <w:sz w:val="24"/>
          <w:szCs w:val="24"/>
          <w:lang w:val="en-US"/>
        </w:rPr>
        <w:t xml:space="preserve"> = 0.38).</w:t>
      </w:r>
    </w:p>
    <w:p w:rsidR="00F952B6" w:rsidRDefault="00F952B6" w:rsidP="007D381A">
      <w:pPr>
        <w:rPr>
          <w:rFonts w:ascii="Times New Roman" w:hAnsi="Times New Roman" w:cs="Times New Roman"/>
          <w:noProof/>
          <w:sz w:val="24"/>
          <w:szCs w:val="24"/>
          <w:lang w:val="en-US"/>
        </w:rPr>
      </w:pPr>
    </w:p>
    <w:p w:rsidR="00F952B6" w:rsidRDefault="00F952B6" w:rsidP="007D381A">
      <w:pPr>
        <w:rPr>
          <w:rFonts w:ascii="Times New Roman" w:hAnsi="Times New Roman" w:cs="Times New Roman"/>
          <w:noProof/>
          <w:sz w:val="24"/>
          <w:szCs w:val="24"/>
          <w:lang w:val="en-US"/>
        </w:rPr>
      </w:pPr>
    </w:p>
    <w:p w:rsidR="00F952B6" w:rsidRDefault="00F952B6" w:rsidP="007D381A">
      <w:pPr>
        <w:rPr>
          <w:rFonts w:ascii="Times New Roman" w:hAnsi="Times New Roman" w:cs="Times New Roman"/>
          <w:noProof/>
          <w:sz w:val="24"/>
          <w:szCs w:val="24"/>
          <w:lang w:val="en-US"/>
        </w:rPr>
      </w:pPr>
    </w:p>
    <w:sectPr w:rsidR="00F952B6" w:rsidSect="00310A92">
      <w:footerReference w:type="default" r:id="rId12"/>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AAC" w:rsidRDefault="00874AAC">
      <w:pPr>
        <w:spacing w:after="0" w:line="240" w:lineRule="auto"/>
      </w:pPr>
      <w:r>
        <w:separator/>
      </w:r>
    </w:p>
  </w:endnote>
  <w:endnote w:type="continuationSeparator" w:id="0">
    <w:p w:rsidR="00874AAC" w:rsidRDefault="00874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919799"/>
      <w:docPartObj>
        <w:docPartGallery w:val="Page Numbers (Bottom of Page)"/>
        <w:docPartUnique/>
      </w:docPartObj>
    </w:sdtPr>
    <w:sdtEndPr/>
    <w:sdtContent>
      <w:p w:rsidR="00310A92" w:rsidRDefault="00310A92">
        <w:pPr>
          <w:pStyle w:val="Zpat"/>
          <w:jc w:val="right"/>
        </w:pPr>
        <w:r>
          <w:fldChar w:fldCharType="begin"/>
        </w:r>
        <w:r>
          <w:instrText>PAGE   \* MERGEFORMAT</w:instrText>
        </w:r>
        <w:r>
          <w:fldChar w:fldCharType="separate"/>
        </w:r>
        <w:r w:rsidR="00733E9E">
          <w:rPr>
            <w:noProof/>
          </w:rPr>
          <w:t>9</w:t>
        </w:r>
        <w:r>
          <w:fldChar w:fldCharType="end"/>
        </w:r>
      </w:p>
    </w:sdtContent>
  </w:sdt>
  <w:p w:rsidR="00310A92" w:rsidRDefault="00310A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AAC" w:rsidRDefault="00874AAC">
      <w:pPr>
        <w:spacing w:after="0" w:line="240" w:lineRule="auto"/>
      </w:pPr>
      <w:r>
        <w:separator/>
      </w:r>
    </w:p>
  </w:footnote>
  <w:footnote w:type="continuationSeparator" w:id="0">
    <w:p w:rsidR="00874AAC" w:rsidRDefault="00874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F088A"/>
    <w:multiLevelType w:val="hybridMultilevel"/>
    <w:tmpl w:val="19E2644A"/>
    <w:lvl w:ilvl="0" w:tplc="E5E408A6">
      <w:start w:val="2"/>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D1F5214"/>
    <w:multiLevelType w:val="hybridMultilevel"/>
    <w:tmpl w:val="5276EEB6"/>
    <w:lvl w:ilvl="0" w:tplc="A52C333E">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G0NLc0Njc0NzQzMzFW0lEKTi0uzszPAykwqQUA6/5TSiwAAAA="/>
  </w:docVars>
  <w:rsids>
    <w:rsidRoot w:val="007D381A"/>
    <w:rsid w:val="0002118E"/>
    <w:rsid w:val="00082EC6"/>
    <w:rsid w:val="002437B0"/>
    <w:rsid w:val="002A75FF"/>
    <w:rsid w:val="00310A92"/>
    <w:rsid w:val="003353BF"/>
    <w:rsid w:val="003B31B1"/>
    <w:rsid w:val="005C5831"/>
    <w:rsid w:val="00733E9E"/>
    <w:rsid w:val="00761616"/>
    <w:rsid w:val="007D381A"/>
    <w:rsid w:val="007F343E"/>
    <w:rsid w:val="0087163F"/>
    <w:rsid w:val="00874AAC"/>
    <w:rsid w:val="009351A7"/>
    <w:rsid w:val="00A3723F"/>
    <w:rsid w:val="00C833CE"/>
    <w:rsid w:val="00CC437B"/>
    <w:rsid w:val="00CE2BAD"/>
    <w:rsid w:val="00D349AE"/>
    <w:rsid w:val="00D67CDD"/>
    <w:rsid w:val="00F95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56E2F-39FA-428B-8135-45DE37BE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D381A"/>
  </w:style>
  <w:style w:type="paragraph" w:styleId="Nadpis1">
    <w:name w:val="heading 1"/>
    <w:basedOn w:val="Normln"/>
    <w:next w:val="Normln"/>
    <w:link w:val="Nadpis1Char"/>
    <w:uiPriority w:val="9"/>
    <w:qFormat/>
    <w:rsid w:val="00F952B6"/>
    <w:pPr>
      <w:keepNext/>
      <w:keepLines/>
      <w:spacing w:after="0" w:line="480" w:lineRule="auto"/>
      <w:outlineLvl w:val="0"/>
    </w:pPr>
    <w:rPr>
      <w:rFonts w:ascii="Times New Roman" w:eastAsiaTheme="majorEastAsia" w:hAnsi="Times New Roman" w:cs="Times New Roman"/>
      <w:b/>
      <w:sz w:val="28"/>
      <w:szCs w:val="28"/>
      <w:lang w:val="en-US"/>
    </w:rPr>
  </w:style>
  <w:style w:type="paragraph" w:styleId="Nadpis2">
    <w:name w:val="heading 2"/>
    <w:basedOn w:val="Normln"/>
    <w:next w:val="Normln"/>
    <w:link w:val="Nadpis2Char"/>
    <w:uiPriority w:val="9"/>
    <w:unhideWhenUsed/>
    <w:qFormat/>
    <w:rsid w:val="00F952B6"/>
    <w:pPr>
      <w:keepNext/>
      <w:keepLines/>
      <w:spacing w:after="0" w:line="480" w:lineRule="auto"/>
      <w:outlineLvl w:val="1"/>
    </w:pPr>
    <w:rPr>
      <w:rFonts w:ascii="Times New Roman" w:eastAsiaTheme="majorEastAsia" w:hAnsi="Times New Roman" w:cs="Times New Roman"/>
      <w:b/>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952B6"/>
    <w:rPr>
      <w:rFonts w:ascii="Times New Roman" w:eastAsiaTheme="majorEastAsia" w:hAnsi="Times New Roman" w:cs="Times New Roman"/>
      <w:b/>
      <w:sz w:val="28"/>
      <w:szCs w:val="28"/>
      <w:lang w:val="en-US"/>
    </w:rPr>
  </w:style>
  <w:style w:type="character" w:customStyle="1" w:styleId="Nadpis2Char">
    <w:name w:val="Nadpis 2 Char"/>
    <w:basedOn w:val="Standardnpsmoodstavce"/>
    <w:link w:val="Nadpis2"/>
    <w:uiPriority w:val="9"/>
    <w:rsid w:val="00F952B6"/>
    <w:rPr>
      <w:rFonts w:ascii="Times New Roman" w:eastAsiaTheme="majorEastAsia" w:hAnsi="Times New Roman" w:cs="Times New Roman"/>
      <w:b/>
      <w:sz w:val="24"/>
      <w:szCs w:val="24"/>
      <w:lang w:val="en-US"/>
    </w:rPr>
  </w:style>
  <w:style w:type="paragraph" w:customStyle="1" w:styleId="EndNoteBibliography">
    <w:name w:val="EndNote Bibliography"/>
    <w:basedOn w:val="Normln"/>
    <w:link w:val="EndNoteBibliographyChar"/>
    <w:rsid w:val="007D381A"/>
    <w:pPr>
      <w:spacing w:line="240" w:lineRule="auto"/>
    </w:pPr>
    <w:rPr>
      <w:rFonts w:ascii="Calibri" w:hAnsi="Calibri" w:cs="Calibri"/>
      <w:noProof/>
      <w:lang w:val="en-US"/>
    </w:rPr>
  </w:style>
  <w:style w:type="character" w:customStyle="1" w:styleId="EndNoteBibliographyChar">
    <w:name w:val="EndNote Bibliography Char"/>
    <w:basedOn w:val="Standardnpsmoodstavce"/>
    <w:link w:val="EndNoteBibliography"/>
    <w:rsid w:val="007D381A"/>
    <w:rPr>
      <w:rFonts w:ascii="Calibri" w:hAnsi="Calibri" w:cs="Calibri"/>
      <w:noProof/>
      <w:lang w:val="en-US"/>
    </w:rPr>
  </w:style>
  <w:style w:type="paragraph" w:styleId="Zpat">
    <w:name w:val="footer"/>
    <w:basedOn w:val="Normln"/>
    <w:link w:val="ZpatChar"/>
    <w:uiPriority w:val="99"/>
    <w:unhideWhenUsed/>
    <w:rsid w:val="007D381A"/>
    <w:pPr>
      <w:tabs>
        <w:tab w:val="center" w:pos="4536"/>
        <w:tab w:val="right" w:pos="9072"/>
      </w:tabs>
      <w:spacing w:after="0" w:line="240" w:lineRule="auto"/>
    </w:pPr>
  </w:style>
  <w:style w:type="character" w:customStyle="1" w:styleId="ZpatChar">
    <w:name w:val="Zápatí Char"/>
    <w:basedOn w:val="Standardnpsmoodstavce"/>
    <w:link w:val="Zpat"/>
    <w:uiPriority w:val="99"/>
    <w:rsid w:val="007D381A"/>
  </w:style>
  <w:style w:type="character" w:styleId="slodku">
    <w:name w:val="line number"/>
    <w:basedOn w:val="Standardnpsmoodstavce"/>
    <w:uiPriority w:val="99"/>
    <w:semiHidden/>
    <w:unhideWhenUsed/>
    <w:rsid w:val="007D381A"/>
  </w:style>
  <w:style w:type="paragraph" w:customStyle="1" w:styleId="Default">
    <w:name w:val="Default"/>
    <w:rsid w:val="00F952B6"/>
    <w:pPr>
      <w:autoSpaceDE w:val="0"/>
      <w:autoSpaceDN w:val="0"/>
      <w:adjustRightInd w:val="0"/>
      <w:spacing w:after="0" w:line="240" w:lineRule="auto"/>
    </w:pPr>
    <w:rPr>
      <w:rFonts w:ascii="Verdana" w:hAnsi="Verdana" w:cs="Verdana"/>
      <w:color w:val="000000"/>
      <w:sz w:val="24"/>
      <w:szCs w:val="24"/>
    </w:rPr>
  </w:style>
  <w:style w:type="paragraph" w:customStyle="1" w:styleId="EndNoteBibliographyTitle">
    <w:name w:val="EndNote Bibliography Title"/>
    <w:basedOn w:val="Normln"/>
    <w:link w:val="EndNoteBibliographyTitleChar"/>
    <w:rsid w:val="00F952B6"/>
    <w:pPr>
      <w:spacing w:after="0"/>
      <w:jc w:val="center"/>
    </w:pPr>
    <w:rPr>
      <w:rFonts w:ascii="Calibri" w:hAnsi="Calibri" w:cs="Calibri"/>
      <w:noProof/>
      <w:lang w:val="en-US"/>
    </w:rPr>
  </w:style>
  <w:style w:type="character" w:customStyle="1" w:styleId="EndNoteBibliographyTitleChar">
    <w:name w:val="EndNote Bibliography Title Char"/>
    <w:basedOn w:val="Standardnpsmoodstavce"/>
    <w:link w:val="EndNoteBibliographyTitle"/>
    <w:rsid w:val="00F952B6"/>
    <w:rPr>
      <w:rFonts w:ascii="Calibri" w:hAnsi="Calibri" w:cs="Calibri"/>
      <w:noProof/>
      <w:lang w:val="en-US"/>
    </w:rPr>
  </w:style>
  <w:style w:type="character" w:customStyle="1" w:styleId="e24kjd">
    <w:name w:val="e24kjd"/>
    <w:basedOn w:val="Standardnpsmoodstavce"/>
    <w:rsid w:val="00F952B6"/>
  </w:style>
  <w:style w:type="character" w:styleId="Hypertextovodkaz">
    <w:name w:val="Hyperlink"/>
    <w:basedOn w:val="Standardnpsmoodstavce"/>
    <w:uiPriority w:val="99"/>
    <w:unhideWhenUsed/>
    <w:rsid w:val="00F952B6"/>
    <w:rPr>
      <w:color w:val="0563C1" w:themeColor="hyperlink"/>
      <w:u w:val="single"/>
    </w:rPr>
  </w:style>
  <w:style w:type="paragraph" w:styleId="Odstavecseseznamem">
    <w:name w:val="List Paragraph"/>
    <w:basedOn w:val="Normln"/>
    <w:uiPriority w:val="34"/>
    <w:qFormat/>
    <w:rsid w:val="00F952B6"/>
    <w:pPr>
      <w:ind w:left="720"/>
      <w:contextualSpacing/>
    </w:pPr>
  </w:style>
  <w:style w:type="character" w:customStyle="1" w:styleId="TextbublinyChar">
    <w:name w:val="Text bubliny Char"/>
    <w:basedOn w:val="Standardnpsmoodstavce"/>
    <w:link w:val="Textbubliny"/>
    <w:uiPriority w:val="99"/>
    <w:semiHidden/>
    <w:rsid w:val="00F952B6"/>
    <w:rPr>
      <w:rFonts w:ascii="Segoe UI" w:hAnsi="Segoe UI" w:cs="Segoe UI"/>
      <w:sz w:val="20"/>
      <w:szCs w:val="18"/>
    </w:rPr>
  </w:style>
  <w:style w:type="paragraph" w:styleId="Textbubliny">
    <w:name w:val="Balloon Text"/>
    <w:basedOn w:val="Normln"/>
    <w:link w:val="TextbublinyChar"/>
    <w:uiPriority w:val="99"/>
    <w:semiHidden/>
    <w:unhideWhenUsed/>
    <w:rsid w:val="00F952B6"/>
    <w:pPr>
      <w:spacing w:after="0" w:line="240" w:lineRule="auto"/>
    </w:pPr>
    <w:rPr>
      <w:rFonts w:ascii="Segoe UI" w:hAnsi="Segoe UI" w:cs="Segoe UI"/>
      <w:sz w:val="20"/>
      <w:szCs w:val="18"/>
    </w:rPr>
  </w:style>
  <w:style w:type="paragraph" w:styleId="Zhlav">
    <w:name w:val="header"/>
    <w:basedOn w:val="Normln"/>
    <w:link w:val="ZhlavChar"/>
    <w:uiPriority w:val="99"/>
    <w:unhideWhenUsed/>
    <w:rsid w:val="00F952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952B6"/>
  </w:style>
  <w:style w:type="paragraph" w:styleId="Textkomente">
    <w:name w:val="annotation text"/>
    <w:basedOn w:val="Normln"/>
    <w:link w:val="TextkomenteChar"/>
    <w:uiPriority w:val="99"/>
    <w:unhideWhenUsed/>
    <w:rsid w:val="00F952B6"/>
    <w:pPr>
      <w:spacing w:line="240" w:lineRule="auto"/>
    </w:pPr>
    <w:rPr>
      <w:rFonts w:ascii="Times New Roman" w:hAnsi="Times New Roman"/>
      <w:sz w:val="24"/>
      <w:szCs w:val="20"/>
      <w:lang w:val="en-US"/>
    </w:rPr>
  </w:style>
  <w:style w:type="character" w:customStyle="1" w:styleId="TextkomenteChar">
    <w:name w:val="Text komentáře Char"/>
    <w:basedOn w:val="Standardnpsmoodstavce"/>
    <w:link w:val="Textkomente"/>
    <w:uiPriority w:val="99"/>
    <w:rsid w:val="00F952B6"/>
    <w:rPr>
      <w:rFonts w:ascii="Times New Roman" w:hAnsi="Times New Roman"/>
      <w:sz w:val="24"/>
      <w:szCs w:val="20"/>
      <w:lang w:val="en-US"/>
    </w:rPr>
  </w:style>
  <w:style w:type="character" w:customStyle="1" w:styleId="PedmtkomenteChar">
    <w:name w:val="Předmět komentáře Char"/>
    <w:basedOn w:val="TextkomenteChar"/>
    <w:link w:val="Pedmtkomente"/>
    <w:uiPriority w:val="99"/>
    <w:semiHidden/>
    <w:rsid w:val="00F952B6"/>
    <w:rPr>
      <w:rFonts w:ascii="Times New Roman" w:hAnsi="Times New Roman"/>
      <w:b/>
      <w:bCs/>
      <w:sz w:val="24"/>
      <w:szCs w:val="20"/>
      <w:lang w:val="en-US"/>
    </w:rPr>
  </w:style>
  <w:style w:type="paragraph" w:styleId="Pedmtkomente">
    <w:name w:val="annotation subject"/>
    <w:basedOn w:val="Textkomente"/>
    <w:next w:val="Textkomente"/>
    <w:link w:val="PedmtkomenteChar"/>
    <w:uiPriority w:val="99"/>
    <w:semiHidden/>
    <w:unhideWhenUsed/>
    <w:rsid w:val="00F952B6"/>
    <w:rPr>
      <w:b/>
      <w:bCs/>
    </w:rPr>
  </w:style>
  <w:style w:type="paragraph" w:styleId="Textpoznpodarou">
    <w:name w:val="footnote text"/>
    <w:basedOn w:val="Normln"/>
    <w:link w:val="TextpoznpodarouChar"/>
    <w:uiPriority w:val="99"/>
    <w:unhideWhenUsed/>
    <w:rsid w:val="00F952B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952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19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10</Pages>
  <Words>1919</Words>
  <Characters>11325</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SOU AV CR</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Hamplová</dc:creator>
  <cp:keywords/>
  <dc:description/>
  <cp:lastModifiedBy>Dana Hamplová</cp:lastModifiedBy>
  <cp:revision>15</cp:revision>
  <dcterms:created xsi:type="dcterms:W3CDTF">2021-09-23T14:02:00Z</dcterms:created>
  <dcterms:modified xsi:type="dcterms:W3CDTF">2022-01-30T18:09:00Z</dcterms:modified>
</cp:coreProperties>
</file>