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500C" w14:textId="2B7BCEC0" w:rsidR="004062A7" w:rsidRDefault="00AB547D">
      <w:pPr>
        <w:keepNext/>
        <w:keepLines/>
        <w:spacing w:before="240" w:line="360" w:lineRule="auto"/>
        <w:rPr>
          <w:b/>
          <w:sz w:val="26"/>
          <w:szCs w:val="26"/>
        </w:rPr>
      </w:pPr>
      <w:r>
        <w:rPr>
          <w:b/>
          <w:sz w:val="26"/>
          <w:szCs w:val="26"/>
        </w:rPr>
        <w:t>Appendix</w:t>
      </w:r>
      <w:r w:rsidR="007814EB">
        <w:rPr>
          <w:b/>
          <w:sz w:val="26"/>
          <w:szCs w:val="26"/>
        </w:rPr>
        <w:t xml:space="preserve"> S1</w:t>
      </w:r>
      <w:r w:rsidR="00166579">
        <w:rPr>
          <w:b/>
          <w:sz w:val="26"/>
          <w:szCs w:val="26"/>
        </w:rPr>
        <w:t xml:space="preserve">: </w:t>
      </w:r>
      <w:r w:rsidR="002F74C7">
        <w:rPr>
          <w:b/>
          <w:sz w:val="26"/>
          <w:szCs w:val="26"/>
        </w:rPr>
        <w:t>Supplemental Methods and Results</w:t>
      </w:r>
    </w:p>
    <w:p w14:paraId="0D41D4FF" w14:textId="77777777" w:rsidR="004062A7" w:rsidRDefault="002F74C7">
      <w:pPr>
        <w:spacing w:line="240" w:lineRule="auto"/>
        <w:rPr>
          <w:b/>
          <w:color w:val="000000"/>
          <w:sz w:val="26"/>
          <w:szCs w:val="26"/>
        </w:rPr>
      </w:pPr>
      <w:r>
        <w:rPr>
          <w:b/>
          <w:sz w:val="26"/>
          <w:szCs w:val="26"/>
        </w:rPr>
        <w:t xml:space="preserve">Transcriptome of the coralline alga </w:t>
      </w:r>
      <w:r>
        <w:rPr>
          <w:b/>
          <w:i/>
          <w:sz w:val="26"/>
          <w:szCs w:val="26"/>
        </w:rPr>
        <w:t>Calliarthron tuberculosum</w:t>
      </w:r>
      <w:r>
        <w:rPr>
          <w:b/>
          <w:sz w:val="26"/>
          <w:szCs w:val="26"/>
        </w:rPr>
        <w:t xml:space="preserve"> (Corallinales, Rhodophyta) reveals convergent evolution of a partial lignin biosynthesis pathway </w:t>
      </w:r>
    </w:p>
    <w:p w14:paraId="3194FF33" w14:textId="77777777" w:rsidR="004062A7" w:rsidRDefault="004062A7">
      <w:pPr>
        <w:spacing w:line="360" w:lineRule="auto"/>
      </w:pPr>
    </w:p>
    <w:p w14:paraId="3C0F02B9" w14:textId="1E23F261" w:rsidR="004062A7" w:rsidRPr="00EE3323" w:rsidRDefault="002F74C7">
      <w:pPr>
        <w:pBdr>
          <w:top w:val="nil"/>
          <w:left w:val="nil"/>
          <w:bottom w:val="nil"/>
          <w:right w:val="nil"/>
          <w:between w:val="nil"/>
        </w:pBdr>
        <w:tabs>
          <w:tab w:val="right" w:pos="9350"/>
        </w:tabs>
        <w:spacing w:line="360" w:lineRule="auto"/>
        <w:rPr>
          <w:color w:val="000000"/>
          <w:u w:val="single"/>
        </w:rPr>
      </w:pPr>
      <w:r w:rsidRPr="00EE3323">
        <w:rPr>
          <w:color w:val="000000"/>
        </w:rPr>
        <w:t>Table of contents …...…………………………………………………………</w:t>
      </w:r>
      <w:proofErr w:type="gramStart"/>
      <w:r w:rsidRPr="00EE3323">
        <w:rPr>
          <w:color w:val="000000"/>
        </w:rPr>
        <w:t>…</w:t>
      </w:r>
      <w:r w:rsidR="00166579" w:rsidRPr="001733DA">
        <w:rPr>
          <w:color w:val="000000"/>
        </w:rPr>
        <w:t>.</w:t>
      </w:r>
      <w:r w:rsidRPr="00EE3323">
        <w:rPr>
          <w:color w:val="000000"/>
        </w:rPr>
        <w:t>.</w:t>
      </w:r>
      <w:proofErr w:type="gramEnd"/>
      <w:r w:rsidRPr="00EE3323">
        <w:rPr>
          <w:color w:val="000000"/>
        </w:rPr>
        <w:t>………………1</w:t>
      </w:r>
    </w:p>
    <w:p w14:paraId="26E839B7" w14:textId="761B92BB" w:rsidR="004062A7" w:rsidRPr="00EE3323" w:rsidRDefault="002F74C7">
      <w:pPr>
        <w:spacing w:line="360" w:lineRule="auto"/>
      </w:pPr>
      <w:r w:rsidRPr="00EE3323">
        <w:t>Genome reassembly and removal of contamination ………………………</w:t>
      </w:r>
      <w:r w:rsidR="00166579" w:rsidRPr="001733DA">
        <w:t>.</w:t>
      </w:r>
      <w:r w:rsidRPr="00EE3323">
        <w:t>………</w:t>
      </w:r>
      <w:proofErr w:type="gramStart"/>
      <w:r w:rsidRPr="00EE3323">
        <w:t>…..</w:t>
      </w:r>
      <w:proofErr w:type="gramEnd"/>
      <w:r w:rsidRPr="00EE3323">
        <w:t>………....</w:t>
      </w:r>
      <w:r w:rsidR="00166579" w:rsidRPr="00EE3323">
        <w:t>2</w:t>
      </w:r>
    </w:p>
    <w:p w14:paraId="35FAF866" w14:textId="79973AEF" w:rsidR="004062A7" w:rsidRPr="00EE3323" w:rsidRDefault="002F74C7">
      <w:pPr>
        <w:spacing w:line="360" w:lineRule="auto"/>
      </w:pPr>
      <w:r w:rsidRPr="00EE3323">
        <w:t>Completeness of genome and transcriptome datasets ……………....……………………</w:t>
      </w:r>
      <w:r w:rsidR="00166579" w:rsidRPr="001733DA">
        <w:t>.</w:t>
      </w:r>
      <w:r w:rsidRPr="00EE3323">
        <w:t>………</w:t>
      </w:r>
      <w:r w:rsidR="00166579" w:rsidRPr="00EE3323">
        <w:t>2</w:t>
      </w:r>
    </w:p>
    <w:p w14:paraId="52E34885" w14:textId="44796C53" w:rsidR="004062A7" w:rsidRPr="00EE3323" w:rsidRDefault="002841E2">
      <w:pPr>
        <w:spacing w:line="360" w:lineRule="auto"/>
      </w:pPr>
      <w:r w:rsidRPr="004903BB">
        <w:t xml:space="preserve">E-value cut offs for HMMR </w:t>
      </w:r>
      <w:proofErr w:type="gramStart"/>
      <w:r w:rsidRPr="004903BB">
        <w:t xml:space="preserve">searches </w:t>
      </w:r>
      <w:r w:rsidR="002F74C7" w:rsidRPr="00EE3323">
        <w:rPr>
          <w:i/>
        </w:rPr>
        <w:t xml:space="preserve"> </w:t>
      </w:r>
      <w:r w:rsidR="002F74C7" w:rsidRPr="00EE3323">
        <w:t>…</w:t>
      </w:r>
      <w:proofErr w:type="gramEnd"/>
      <w:r w:rsidR="002F74C7" w:rsidRPr="00EE3323">
        <w:t>…….………</w:t>
      </w:r>
      <w:r w:rsidR="00166579" w:rsidRPr="00EE3323">
        <w:t>………………..</w:t>
      </w:r>
      <w:r w:rsidR="002F74C7" w:rsidRPr="00EE3323">
        <w:t>………………………….</w:t>
      </w:r>
      <w:r w:rsidR="00166579" w:rsidRPr="00EE3323">
        <w:t>3</w:t>
      </w:r>
    </w:p>
    <w:p w14:paraId="7461FC71" w14:textId="5A40407B" w:rsidR="004062A7" w:rsidRPr="00EE3323" w:rsidRDefault="002841E2">
      <w:pPr>
        <w:spacing w:line="360" w:lineRule="auto"/>
      </w:pPr>
      <w:r w:rsidRPr="00EE3323">
        <w:rPr>
          <w:iCs/>
        </w:rPr>
        <w:t xml:space="preserve">Accession numbers for </w:t>
      </w:r>
      <w:r w:rsidR="002F74C7" w:rsidRPr="00EE3323">
        <w:rPr>
          <w:i/>
        </w:rPr>
        <w:t xml:space="preserve">4CL </w:t>
      </w:r>
      <w:r w:rsidR="002F74C7" w:rsidRPr="00EE3323">
        <w:t>analysis (Fig 2) …………………</w:t>
      </w:r>
      <w:proofErr w:type="gramStart"/>
      <w:r w:rsidR="002F74C7" w:rsidRPr="00EE3323">
        <w:t>…..</w:t>
      </w:r>
      <w:proofErr w:type="gramEnd"/>
      <w:r w:rsidR="002F74C7" w:rsidRPr="00EE3323">
        <w:t>………………</w:t>
      </w:r>
      <w:r w:rsidR="00166579" w:rsidRPr="00EE3323">
        <w:t>…...</w:t>
      </w:r>
      <w:r w:rsidR="002F74C7" w:rsidRPr="00EE3323">
        <w:t>………….</w:t>
      </w:r>
      <w:r w:rsidR="00166579" w:rsidRPr="00EE3323">
        <w:t>4</w:t>
      </w:r>
    </w:p>
    <w:p w14:paraId="6E1E6AFE" w14:textId="22FC4148" w:rsidR="004062A7" w:rsidRPr="00EE3323" w:rsidRDefault="002841E2">
      <w:pPr>
        <w:spacing w:line="360" w:lineRule="auto"/>
      </w:pPr>
      <w:r w:rsidRPr="00EE3323">
        <w:rPr>
          <w:iCs/>
        </w:rPr>
        <w:t xml:space="preserve">Accession numbers for </w:t>
      </w:r>
      <w:r w:rsidR="002F74C7" w:rsidRPr="00EE3323">
        <w:rPr>
          <w:i/>
        </w:rPr>
        <w:t xml:space="preserve">CCR </w:t>
      </w:r>
      <w:r w:rsidR="002F74C7" w:rsidRPr="00EE3323">
        <w:t>analysis (Fig 3) …………….……………………</w:t>
      </w:r>
      <w:r w:rsidR="00166579" w:rsidRPr="001733DA">
        <w:t>…</w:t>
      </w:r>
      <w:r w:rsidR="00166579" w:rsidRPr="00EE3323">
        <w:t>...</w:t>
      </w:r>
      <w:r w:rsidR="002F74C7" w:rsidRPr="00EE3323">
        <w:t>…………….</w:t>
      </w:r>
      <w:r w:rsidR="00166579" w:rsidRPr="00EE3323">
        <w:t>6</w:t>
      </w:r>
    </w:p>
    <w:p w14:paraId="1FFB7A80" w14:textId="2D6DDED5" w:rsidR="004062A7" w:rsidRPr="00EE3323" w:rsidRDefault="002841E2">
      <w:pPr>
        <w:spacing w:line="360" w:lineRule="auto"/>
      </w:pPr>
      <w:r w:rsidRPr="00EE3323">
        <w:rPr>
          <w:iCs/>
        </w:rPr>
        <w:t xml:space="preserve">Accession numbers for </w:t>
      </w:r>
      <w:r w:rsidR="002F74C7" w:rsidRPr="00EE3323">
        <w:rPr>
          <w:i/>
        </w:rPr>
        <w:t xml:space="preserve">CAD </w:t>
      </w:r>
      <w:r w:rsidR="002F74C7" w:rsidRPr="00EE3323">
        <w:t>analysis (Fig 4) …………</w:t>
      </w:r>
      <w:proofErr w:type="gramStart"/>
      <w:r w:rsidR="002F74C7" w:rsidRPr="00EE3323">
        <w:t>…..</w:t>
      </w:r>
      <w:proofErr w:type="gramEnd"/>
      <w:r w:rsidR="002F74C7" w:rsidRPr="00EE3323">
        <w:t>……………………………………</w:t>
      </w:r>
      <w:r w:rsidR="00166579" w:rsidRPr="00EE3323">
        <w:t>...7</w:t>
      </w:r>
    </w:p>
    <w:p w14:paraId="0D974D74" w14:textId="432E1E99" w:rsidR="004062A7" w:rsidRPr="00EE3323" w:rsidRDefault="002F74C7">
      <w:pPr>
        <w:spacing w:line="360" w:lineRule="auto"/>
      </w:pPr>
      <w:r w:rsidRPr="00EE3323">
        <w:t xml:space="preserve">Identification of </w:t>
      </w:r>
      <w:r w:rsidRPr="00EE3323">
        <w:rPr>
          <w:i/>
        </w:rPr>
        <w:t>Cytochrome P450s sequences C3H, C4H, and F5H</w:t>
      </w:r>
      <w:r w:rsidRPr="00EE3323">
        <w:t xml:space="preserve"> ……………...………</w:t>
      </w:r>
      <w:r w:rsidR="00EE3323" w:rsidRPr="00EE3323">
        <w:t>…</w:t>
      </w:r>
      <w:r w:rsidRPr="00EE3323">
        <w:t>…</w:t>
      </w:r>
      <w:r w:rsidR="00EE3323" w:rsidRPr="00EE3323">
        <w:t>8</w:t>
      </w:r>
    </w:p>
    <w:p w14:paraId="442A1F7D" w14:textId="6BA45CF2" w:rsidR="00B11E8F" w:rsidRPr="00EE3323" w:rsidRDefault="00B11E8F">
      <w:pPr>
        <w:spacing w:line="360" w:lineRule="auto"/>
      </w:pPr>
      <w:r w:rsidRPr="004903BB">
        <w:t xml:space="preserve">Accession numbers for </w:t>
      </w:r>
      <w:r w:rsidRPr="004903BB">
        <w:rPr>
          <w:i/>
          <w:iCs/>
        </w:rPr>
        <w:t>Cytochrome P450s (C3H, C4H, F5H)</w:t>
      </w:r>
      <w:r w:rsidRPr="004903BB">
        <w:t xml:space="preserve"> analysis</w:t>
      </w:r>
      <w:r w:rsidR="007133CC">
        <w:t xml:space="preserve"> (Fig S2</w:t>
      </w:r>
      <w:proofErr w:type="gramStart"/>
      <w:r w:rsidR="007133CC">
        <w:t>) .</w:t>
      </w:r>
      <w:proofErr w:type="gramEnd"/>
      <w:r w:rsidR="00EE3323" w:rsidRPr="004903BB">
        <w:t>……………...10</w:t>
      </w:r>
    </w:p>
    <w:p w14:paraId="41F690FD" w14:textId="122B2220" w:rsidR="004062A7" w:rsidRPr="00EE3323" w:rsidRDefault="002F74C7">
      <w:pPr>
        <w:spacing w:line="360" w:lineRule="auto"/>
      </w:pPr>
      <w:r w:rsidRPr="00EE3323">
        <w:t xml:space="preserve">Identification of </w:t>
      </w:r>
      <w:proofErr w:type="spellStart"/>
      <w:r w:rsidRPr="00EE3323">
        <w:rPr>
          <w:i/>
        </w:rPr>
        <w:t>CCoAOMT</w:t>
      </w:r>
      <w:proofErr w:type="spellEnd"/>
      <w:r w:rsidRPr="00EE3323">
        <w:rPr>
          <w:i/>
        </w:rPr>
        <w:t xml:space="preserve"> </w:t>
      </w:r>
      <w:r w:rsidRPr="00EE3323">
        <w:t>……………………………………………………</w:t>
      </w:r>
      <w:proofErr w:type="gramStart"/>
      <w:r w:rsidRPr="00EE3323">
        <w:t>…..</w:t>
      </w:r>
      <w:proofErr w:type="gramEnd"/>
      <w:r w:rsidRPr="00EE3323">
        <w:t>…………...1</w:t>
      </w:r>
      <w:r w:rsidR="00EE3323" w:rsidRPr="00EE3323">
        <w:t>2</w:t>
      </w:r>
    </w:p>
    <w:p w14:paraId="66C1A999" w14:textId="4A60B395" w:rsidR="00B11E8F" w:rsidRPr="00EE3323" w:rsidRDefault="00B11E8F">
      <w:pPr>
        <w:spacing w:line="360" w:lineRule="auto"/>
      </w:pPr>
      <w:r w:rsidRPr="004903BB">
        <w:t xml:space="preserve">Accession numbers for </w:t>
      </w:r>
      <w:proofErr w:type="spellStart"/>
      <w:r w:rsidRPr="004903BB">
        <w:rPr>
          <w:i/>
          <w:iCs/>
        </w:rPr>
        <w:t>CCoAOMT</w:t>
      </w:r>
      <w:proofErr w:type="spellEnd"/>
      <w:r w:rsidRPr="004903BB">
        <w:t xml:space="preserve"> analysis (Fig S</w:t>
      </w:r>
      <w:proofErr w:type="gramStart"/>
      <w:r w:rsidRPr="004903BB">
        <w:t>3)</w:t>
      </w:r>
      <w:r w:rsidR="00EE3323" w:rsidRPr="004903BB">
        <w:t>…</w:t>
      </w:r>
      <w:proofErr w:type="gramEnd"/>
      <w:r w:rsidR="00EE3323" w:rsidRPr="004903BB">
        <w:t>………………………</w:t>
      </w:r>
      <w:r w:rsidR="00EE3323">
        <w:t>...</w:t>
      </w:r>
      <w:r w:rsidR="00EE3323" w:rsidRPr="004903BB">
        <w:t>………………13</w:t>
      </w:r>
      <w:r w:rsidRPr="004903BB">
        <w:t xml:space="preserve"> </w:t>
      </w:r>
    </w:p>
    <w:p w14:paraId="1BC0EC61" w14:textId="685D9369" w:rsidR="006E3B57" w:rsidRPr="004903BB" w:rsidRDefault="006E3B57" w:rsidP="006E3B57">
      <w:pPr>
        <w:pStyle w:val="Heading4"/>
        <w:spacing w:before="0" w:after="0" w:line="360" w:lineRule="auto"/>
        <w:rPr>
          <w:b w:val="0"/>
          <w:i w:val="0"/>
        </w:rPr>
      </w:pPr>
      <w:r w:rsidRPr="004903BB">
        <w:rPr>
          <w:b w:val="0"/>
          <w:i w:val="0"/>
          <w:color w:val="000000"/>
        </w:rPr>
        <w:t xml:space="preserve">Identification of </w:t>
      </w:r>
      <w:r w:rsidRPr="004903BB">
        <w:rPr>
          <w:b w:val="0"/>
        </w:rPr>
        <w:t>CS</w:t>
      </w:r>
      <w:r w:rsidR="00EE3323" w:rsidRPr="004903BB">
        <w:rPr>
          <w:b w:val="0"/>
        </w:rPr>
        <w:t xml:space="preserve">E </w:t>
      </w:r>
      <w:r w:rsidR="00EE3323" w:rsidRPr="004903BB">
        <w:rPr>
          <w:b w:val="0"/>
          <w:i w:val="0"/>
          <w:iCs/>
        </w:rPr>
        <w:t>……………………………………………</w:t>
      </w:r>
      <w:r w:rsidR="00EE3323">
        <w:rPr>
          <w:b w:val="0"/>
          <w:i w:val="0"/>
          <w:iCs/>
        </w:rPr>
        <w:t>...</w:t>
      </w:r>
      <w:r w:rsidR="00EE3323" w:rsidRPr="004903BB">
        <w:rPr>
          <w:b w:val="0"/>
          <w:i w:val="0"/>
          <w:iCs/>
        </w:rPr>
        <w:t>…………………………</w:t>
      </w:r>
      <w:proofErr w:type="gramStart"/>
      <w:r w:rsidR="00EE3323" w:rsidRPr="004903BB">
        <w:rPr>
          <w:b w:val="0"/>
          <w:i w:val="0"/>
          <w:iCs/>
        </w:rPr>
        <w:t>…..</w:t>
      </w:r>
      <w:proofErr w:type="gramEnd"/>
      <w:r w:rsidR="00EE3323" w:rsidRPr="004903BB">
        <w:rPr>
          <w:b w:val="0"/>
          <w:i w:val="0"/>
          <w:iCs/>
        </w:rPr>
        <w:t>14</w:t>
      </w:r>
      <w:r w:rsidRPr="004903BB">
        <w:rPr>
          <w:b w:val="0"/>
        </w:rPr>
        <w:t xml:space="preserve">           </w:t>
      </w:r>
    </w:p>
    <w:p w14:paraId="394CBCE6" w14:textId="221CCF98" w:rsidR="006E3B57" w:rsidRPr="00EE3323" w:rsidRDefault="00AB547D">
      <w:pPr>
        <w:spacing w:line="360" w:lineRule="auto"/>
      </w:pPr>
      <w:r w:rsidRPr="00EE3323">
        <w:t xml:space="preserve">Accession numbers for </w:t>
      </w:r>
      <w:r w:rsidRPr="00EE3323">
        <w:rPr>
          <w:i/>
          <w:iCs/>
        </w:rPr>
        <w:t xml:space="preserve">CSE </w:t>
      </w:r>
      <w:r w:rsidRPr="00EE3323">
        <w:t>analysis (Fig S4)</w:t>
      </w:r>
      <w:r w:rsidR="00EE3323" w:rsidRPr="00EE3323">
        <w:t xml:space="preserve"> ………………………………………………….15</w:t>
      </w:r>
      <w:r w:rsidRPr="00EE3323">
        <w:t xml:space="preserve"> </w:t>
      </w:r>
    </w:p>
    <w:p w14:paraId="50CF2FF1" w14:textId="3986EF4F" w:rsidR="004062A7" w:rsidRPr="00EE3323" w:rsidRDefault="002F74C7">
      <w:pPr>
        <w:spacing w:line="360" w:lineRule="auto"/>
      </w:pPr>
      <w:r w:rsidRPr="00EE3323">
        <w:t>Benefits and limitations of extracting KEGG metabolic pathways …………….……………….</w:t>
      </w:r>
      <w:r w:rsidR="00EE3323" w:rsidRPr="00EE3323">
        <w:t>17</w:t>
      </w:r>
    </w:p>
    <w:p w14:paraId="4852BD98" w14:textId="780CBD35" w:rsidR="004062A7" w:rsidRPr="00EE3323" w:rsidRDefault="002F74C7">
      <w:pPr>
        <w:spacing w:line="360" w:lineRule="auto"/>
      </w:pPr>
      <w:r w:rsidRPr="00EE3323">
        <w:t>References ……………………………………………………………………………………….</w:t>
      </w:r>
      <w:r w:rsidR="00EE3323" w:rsidRPr="00EE3323">
        <w:t>18</w:t>
      </w:r>
    </w:p>
    <w:p w14:paraId="294055E6" w14:textId="77777777" w:rsidR="004062A7" w:rsidRPr="004903BB" w:rsidRDefault="004062A7">
      <w:pPr>
        <w:spacing w:line="360" w:lineRule="auto"/>
      </w:pPr>
    </w:p>
    <w:p w14:paraId="242C1EB1" w14:textId="77777777" w:rsidR="004062A7" w:rsidRPr="004903BB" w:rsidRDefault="002F74C7">
      <w:pPr>
        <w:spacing w:line="360" w:lineRule="auto"/>
      </w:pPr>
      <w:r w:rsidRPr="00EE3323">
        <w:br w:type="page"/>
      </w:r>
    </w:p>
    <w:p w14:paraId="4BA22060" w14:textId="77777777" w:rsidR="004062A7" w:rsidRDefault="002F74C7">
      <w:pPr>
        <w:spacing w:line="360" w:lineRule="auto"/>
        <w:rPr>
          <w:b/>
        </w:rPr>
      </w:pPr>
      <w:r>
        <w:rPr>
          <w:b/>
        </w:rPr>
        <w:lastRenderedPageBreak/>
        <w:t>Genome reassembly and removal of contamination</w:t>
      </w:r>
    </w:p>
    <w:p w14:paraId="25C0E5EF" w14:textId="77777777" w:rsidR="004062A7" w:rsidRDefault="004062A7">
      <w:pPr>
        <w:spacing w:line="360" w:lineRule="auto"/>
      </w:pPr>
      <w:bookmarkStart w:id="0" w:name="_heading=h.uzn4n0nhfgm9" w:colFirst="0" w:colLast="0"/>
      <w:bookmarkEnd w:id="0"/>
    </w:p>
    <w:p w14:paraId="7441BA3E" w14:textId="77777777" w:rsidR="004062A7" w:rsidRDefault="002F74C7">
      <w:pPr>
        <w:spacing w:line="360" w:lineRule="auto"/>
      </w:pPr>
      <w:bookmarkStart w:id="1" w:name="_heading=h.llu1q0nkqlv7" w:colFirst="0" w:colLast="0"/>
      <w:bookmarkEnd w:id="1"/>
      <w:r>
        <w:t xml:space="preserve">Of the assembled scaffolds from </w:t>
      </w:r>
      <w:r>
        <w:rPr>
          <w:i/>
        </w:rPr>
        <w:t>Calliarthron tuberculosum</w:t>
      </w:r>
      <w:r>
        <w:t xml:space="preserve">, 46 were identified as putative bacterial or viral sequences and removed. The genome assembly without scaffolding from the transcriptome consists of 48,101 scaffolds (N50 statistic length 2.99Kb). Genome assembly using the transcriptome as a scaffold improved the assembly slightly to 49,536 scaffolds (N50 statistic length 2.858 </w:t>
      </w:r>
      <w:proofErr w:type="spellStart"/>
      <w:r>
        <w:t>Kb</w:t>
      </w:r>
      <w:proofErr w:type="spellEnd"/>
      <w:r>
        <w:t xml:space="preserve">). To further explore the genomic reassembly for contamination, the genomic G+C content was assessed separately for scaffolds with transcriptome support and without transcriptome support. The 21,672 scaffolds (45.0% of 48,147) supported by transcriptome evidence have a higher G+C content (mean GC 45%) compared to the 26,429 scaffolds that do not have transcriptome support (mean GC 39%) (Fig S1). In total there are 26,429 genomic scaffolds (21,672 contigs, N50 3.867 </w:t>
      </w:r>
      <w:proofErr w:type="spellStart"/>
      <w:r>
        <w:t>Kb</w:t>
      </w:r>
      <w:proofErr w:type="spellEnd"/>
      <w:r>
        <w:t xml:space="preserve">, total assembled bases 64.152 </w:t>
      </w:r>
      <w:proofErr w:type="spellStart"/>
      <w:r>
        <w:t>Mbp</w:t>
      </w:r>
      <w:proofErr w:type="spellEnd"/>
      <w:r>
        <w:t>).</w:t>
      </w:r>
    </w:p>
    <w:p w14:paraId="1892D41D" w14:textId="77777777" w:rsidR="004062A7" w:rsidRDefault="004062A7">
      <w:pPr>
        <w:spacing w:line="360" w:lineRule="auto"/>
      </w:pPr>
    </w:p>
    <w:p w14:paraId="53E00C1D" w14:textId="77777777" w:rsidR="004062A7" w:rsidRDefault="002F74C7">
      <w:pPr>
        <w:spacing w:line="360" w:lineRule="auto"/>
        <w:rPr>
          <w:b/>
        </w:rPr>
      </w:pPr>
      <w:r>
        <w:rPr>
          <w:b/>
        </w:rPr>
        <w:t xml:space="preserve">Completeness of genomic and transcriptomic datasets </w:t>
      </w:r>
    </w:p>
    <w:p w14:paraId="553D9B7C" w14:textId="77777777" w:rsidR="004062A7" w:rsidRDefault="004062A7">
      <w:pPr>
        <w:spacing w:line="360" w:lineRule="auto"/>
      </w:pPr>
      <w:bookmarkStart w:id="2" w:name="_heading=h.4d34og8" w:colFirst="0" w:colLast="0"/>
      <w:bookmarkEnd w:id="2"/>
    </w:p>
    <w:p w14:paraId="3782D3EA" w14:textId="77777777" w:rsidR="004062A7" w:rsidRDefault="002F74C7">
      <w:pPr>
        <w:spacing w:line="360" w:lineRule="auto"/>
      </w:pPr>
      <w:bookmarkStart w:id="3" w:name="_heading=h.3rrbq6p4vn7z" w:colFirst="0" w:colLast="0"/>
      <w:bookmarkEnd w:id="3"/>
      <w:r>
        <w:t xml:space="preserve">Genome and transcriptome data completeness was assessed by the recovery of core conserved eukaryotic genes using the CEGMA [1] and BUSCO [2] datasets. The 21,672 genome scaffolds (with transcriptome support) and the combined transcriptome are highly complete (CEGMA: &gt;93% completeness, BUSCO: &gt;74% completeness) (Fig S1). BUSCO is stricter than CEGMA for non-model organisms. The distribution of genomic scaffolds from </w:t>
      </w:r>
      <w:r>
        <w:rPr>
          <w:i/>
        </w:rPr>
        <w:t>C. tuberculosum</w:t>
      </w:r>
      <w:r>
        <w:t xml:space="preserve"> shared with genomic sequences from the red alga </w:t>
      </w:r>
      <w:proofErr w:type="spellStart"/>
      <w:r>
        <w:rPr>
          <w:i/>
        </w:rPr>
        <w:t>Pyropia</w:t>
      </w:r>
      <w:proofErr w:type="spellEnd"/>
      <w:r>
        <w:rPr>
          <w:i/>
        </w:rPr>
        <w:t xml:space="preserve"> </w:t>
      </w:r>
      <w:proofErr w:type="spellStart"/>
      <w:r>
        <w:rPr>
          <w:i/>
        </w:rPr>
        <w:t>yezoensis</w:t>
      </w:r>
      <w:proofErr w:type="spellEnd"/>
      <w:r>
        <w:t xml:space="preserve"> was assessed with the remaining sequences categorized into eukaryotic or bacterial origins based on sequence similarity (Table S1). The majority of genomic scaffolds from </w:t>
      </w:r>
      <w:r>
        <w:rPr>
          <w:i/>
        </w:rPr>
        <w:t>C. tuberculosum</w:t>
      </w:r>
      <w:r>
        <w:t xml:space="preserve"> have shared sequence similarity with </w:t>
      </w:r>
      <w:r>
        <w:rPr>
          <w:i/>
        </w:rPr>
        <w:t xml:space="preserve">P. </w:t>
      </w:r>
      <w:proofErr w:type="spellStart"/>
      <w:r>
        <w:rPr>
          <w:i/>
        </w:rPr>
        <w:t>yezoensis</w:t>
      </w:r>
      <w:proofErr w:type="spellEnd"/>
      <w:r>
        <w:t xml:space="preserve"> (2,125 scaffolds). The </w:t>
      </w:r>
      <w:r>
        <w:rPr>
          <w:i/>
        </w:rPr>
        <w:t>C. tuberculosum</w:t>
      </w:r>
      <w:r>
        <w:t xml:space="preserve"> dataset contained 180 eukaryotic scaffolds and 847 bacterial scaffolds not shared with the </w:t>
      </w:r>
      <w:r>
        <w:rPr>
          <w:i/>
        </w:rPr>
        <w:t xml:space="preserve">P. </w:t>
      </w:r>
      <w:proofErr w:type="spellStart"/>
      <w:r>
        <w:rPr>
          <w:i/>
        </w:rPr>
        <w:t>yezoensis</w:t>
      </w:r>
      <w:proofErr w:type="spellEnd"/>
      <w:r>
        <w:t xml:space="preserve"> dataset (Table S1). </w:t>
      </w:r>
    </w:p>
    <w:p w14:paraId="3108991E" w14:textId="77777777" w:rsidR="004062A7" w:rsidRDefault="004062A7">
      <w:pPr>
        <w:spacing w:line="360" w:lineRule="auto"/>
        <w:rPr>
          <w:b/>
        </w:rPr>
      </w:pPr>
    </w:p>
    <w:p w14:paraId="31E6D6F6" w14:textId="77777777" w:rsidR="004062A7" w:rsidRDefault="004062A7">
      <w:pPr>
        <w:spacing w:line="360" w:lineRule="auto"/>
        <w:rPr>
          <w:b/>
        </w:rPr>
      </w:pPr>
    </w:p>
    <w:p w14:paraId="7FD164A5" w14:textId="77777777" w:rsidR="004062A7" w:rsidRDefault="004062A7">
      <w:pPr>
        <w:spacing w:line="360" w:lineRule="auto"/>
        <w:rPr>
          <w:b/>
        </w:rPr>
      </w:pPr>
    </w:p>
    <w:p w14:paraId="1F0F0082" w14:textId="0D3AD3A2" w:rsidR="004062A7" w:rsidRDefault="004062A7">
      <w:pPr>
        <w:spacing w:line="360" w:lineRule="auto"/>
        <w:rPr>
          <w:b/>
        </w:rPr>
      </w:pPr>
    </w:p>
    <w:p w14:paraId="24D59ACF" w14:textId="31A0D071" w:rsidR="00DF2053" w:rsidRDefault="00DF2053">
      <w:pPr>
        <w:spacing w:line="360" w:lineRule="auto"/>
        <w:rPr>
          <w:b/>
        </w:rPr>
      </w:pPr>
    </w:p>
    <w:p w14:paraId="01693F58" w14:textId="77777777" w:rsidR="00DF2053" w:rsidRDefault="00DF2053">
      <w:pPr>
        <w:spacing w:line="360" w:lineRule="auto"/>
        <w:rPr>
          <w:b/>
        </w:rPr>
      </w:pPr>
    </w:p>
    <w:p w14:paraId="28F99198" w14:textId="7D362887" w:rsidR="004062A7" w:rsidRDefault="002841E2">
      <w:pPr>
        <w:spacing w:line="360" w:lineRule="auto"/>
        <w:rPr>
          <w:b/>
          <w:i/>
        </w:rPr>
      </w:pPr>
      <w:bookmarkStart w:id="4" w:name="_heading=h.gjdgxs" w:colFirst="0" w:colLast="0"/>
      <w:bookmarkStart w:id="5" w:name="_heading=h.ca1exnoywrmp" w:colFirst="0" w:colLast="0"/>
      <w:bookmarkEnd w:id="4"/>
      <w:bookmarkEnd w:id="5"/>
      <w:r>
        <w:rPr>
          <w:b/>
          <w:color w:val="000000"/>
        </w:rPr>
        <w:lastRenderedPageBreak/>
        <w:t>E-value cut offs</w:t>
      </w:r>
      <w:r w:rsidR="001A11C7">
        <w:rPr>
          <w:b/>
        </w:rPr>
        <w:t xml:space="preserve"> for HMMER searches </w:t>
      </w:r>
    </w:p>
    <w:p w14:paraId="3B69984B" w14:textId="77777777" w:rsidR="002841E2" w:rsidRDefault="002841E2">
      <w:pPr>
        <w:spacing w:line="360" w:lineRule="auto"/>
        <w:rPr>
          <w:b/>
          <w:i/>
        </w:rPr>
      </w:pPr>
    </w:p>
    <w:tbl>
      <w:tblPr>
        <w:tblStyle w:val="PlainTable1"/>
        <w:tblW w:w="0" w:type="auto"/>
        <w:tblLook w:val="04A0" w:firstRow="1" w:lastRow="0" w:firstColumn="1" w:lastColumn="0" w:noHBand="0" w:noVBand="1"/>
      </w:tblPr>
      <w:tblGrid>
        <w:gridCol w:w="4675"/>
        <w:gridCol w:w="4675"/>
      </w:tblGrid>
      <w:tr w:rsidR="00CB1ECA" w14:paraId="3EA83B73" w14:textId="77777777" w:rsidTr="00490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F86930" w14:textId="77777777" w:rsidR="00CB1ECA" w:rsidRDefault="00CB1ECA" w:rsidP="00F31C36">
            <w:r>
              <w:t xml:space="preserve">Gene candidates </w:t>
            </w:r>
          </w:p>
        </w:tc>
        <w:tc>
          <w:tcPr>
            <w:tcW w:w="4675" w:type="dxa"/>
          </w:tcPr>
          <w:p w14:paraId="22E8238A" w14:textId="77777777" w:rsidR="00CB1ECA" w:rsidRDefault="00CB1ECA" w:rsidP="00F31C36">
            <w:pPr>
              <w:cnfStyle w:val="100000000000" w:firstRow="1" w:lastRow="0" w:firstColumn="0" w:lastColumn="0" w:oddVBand="0" w:evenVBand="0" w:oddHBand="0" w:evenHBand="0" w:firstRowFirstColumn="0" w:firstRowLastColumn="0" w:lastRowFirstColumn="0" w:lastRowLastColumn="0"/>
            </w:pPr>
            <w:r>
              <w:t xml:space="preserve">e-value cut off </w:t>
            </w:r>
          </w:p>
        </w:tc>
      </w:tr>
      <w:tr w:rsidR="00CB1ECA" w14:paraId="78E144EE" w14:textId="77777777" w:rsidTr="00490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FD8E35" w14:textId="77777777" w:rsidR="00CB1ECA" w:rsidRPr="004903BB" w:rsidRDefault="00CB1ECA" w:rsidP="00F31C36">
            <w:pPr>
              <w:rPr>
                <w:b w:val="0"/>
                <w:bCs w:val="0"/>
              </w:rPr>
            </w:pPr>
            <w:r w:rsidRPr="004903BB">
              <w:rPr>
                <w:b w:val="0"/>
                <w:bCs w:val="0"/>
              </w:rPr>
              <w:t xml:space="preserve">4CL </w:t>
            </w:r>
          </w:p>
        </w:tc>
        <w:tc>
          <w:tcPr>
            <w:tcW w:w="4675" w:type="dxa"/>
          </w:tcPr>
          <w:p w14:paraId="58456284" w14:textId="77777777" w:rsidR="00CB1ECA" w:rsidRDefault="00CB1ECA" w:rsidP="00F31C36">
            <w:pPr>
              <w:cnfStyle w:val="000000100000" w:firstRow="0" w:lastRow="0" w:firstColumn="0" w:lastColumn="0" w:oddVBand="0" w:evenVBand="0" w:oddHBand="1" w:evenHBand="0" w:firstRowFirstColumn="0" w:firstRowLastColumn="0" w:lastRowFirstColumn="0" w:lastRowLastColumn="0"/>
            </w:pPr>
            <w:r>
              <w:t xml:space="preserve">1e-45 </w:t>
            </w:r>
          </w:p>
        </w:tc>
      </w:tr>
      <w:tr w:rsidR="00CB1ECA" w14:paraId="07F93762" w14:textId="77777777" w:rsidTr="004903BB">
        <w:tc>
          <w:tcPr>
            <w:cnfStyle w:val="001000000000" w:firstRow="0" w:lastRow="0" w:firstColumn="1" w:lastColumn="0" w:oddVBand="0" w:evenVBand="0" w:oddHBand="0" w:evenHBand="0" w:firstRowFirstColumn="0" w:firstRowLastColumn="0" w:lastRowFirstColumn="0" w:lastRowLastColumn="0"/>
            <w:tcW w:w="4675" w:type="dxa"/>
          </w:tcPr>
          <w:p w14:paraId="751E5CA3" w14:textId="77777777" w:rsidR="00CB1ECA" w:rsidRPr="004903BB" w:rsidRDefault="00CB1ECA" w:rsidP="00F31C36">
            <w:pPr>
              <w:rPr>
                <w:b w:val="0"/>
                <w:bCs w:val="0"/>
              </w:rPr>
            </w:pPr>
            <w:r w:rsidRPr="004903BB">
              <w:rPr>
                <w:b w:val="0"/>
                <w:bCs w:val="0"/>
              </w:rPr>
              <w:t xml:space="preserve">CCR </w:t>
            </w:r>
          </w:p>
        </w:tc>
        <w:tc>
          <w:tcPr>
            <w:tcW w:w="4675" w:type="dxa"/>
          </w:tcPr>
          <w:p w14:paraId="28D4D4EC" w14:textId="77777777" w:rsidR="00CB1ECA" w:rsidRDefault="00CB1ECA" w:rsidP="00F31C36">
            <w:pPr>
              <w:cnfStyle w:val="000000000000" w:firstRow="0" w:lastRow="0" w:firstColumn="0" w:lastColumn="0" w:oddVBand="0" w:evenVBand="0" w:oddHBand="0" w:evenHBand="0" w:firstRowFirstColumn="0" w:firstRowLastColumn="0" w:lastRowFirstColumn="0" w:lastRowLastColumn="0"/>
            </w:pPr>
            <w:r>
              <w:t xml:space="preserve">1e-25 </w:t>
            </w:r>
          </w:p>
        </w:tc>
      </w:tr>
      <w:tr w:rsidR="00CB1ECA" w14:paraId="7A0DB230" w14:textId="77777777" w:rsidTr="00490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CE4F50" w14:textId="77777777" w:rsidR="00CB1ECA" w:rsidRPr="004903BB" w:rsidRDefault="00CB1ECA" w:rsidP="00F31C36">
            <w:pPr>
              <w:rPr>
                <w:b w:val="0"/>
                <w:bCs w:val="0"/>
              </w:rPr>
            </w:pPr>
            <w:r w:rsidRPr="004903BB">
              <w:rPr>
                <w:b w:val="0"/>
                <w:bCs w:val="0"/>
              </w:rPr>
              <w:t>CAD</w:t>
            </w:r>
          </w:p>
        </w:tc>
        <w:tc>
          <w:tcPr>
            <w:tcW w:w="4675" w:type="dxa"/>
          </w:tcPr>
          <w:p w14:paraId="4BC5B06A" w14:textId="77777777" w:rsidR="00CB1ECA" w:rsidRDefault="00CB1ECA" w:rsidP="00F31C36">
            <w:pPr>
              <w:cnfStyle w:val="000000100000" w:firstRow="0" w:lastRow="0" w:firstColumn="0" w:lastColumn="0" w:oddVBand="0" w:evenVBand="0" w:oddHBand="1" w:evenHBand="0" w:firstRowFirstColumn="0" w:firstRowLastColumn="0" w:lastRowFirstColumn="0" w:lastRowLastColumn="0"/>
            </w:pPr>
            <w:r>
              <w:t>1e-13</w:t>
            </w:r>
          </w:p>
        </w:tc>
      </w:tr>
      <w:tr w:rsidR="00CB1ECA" w14:paraId="21B2913B" w14:textId="77777777" w:rsidTr="004903BB">
        <w:tc>
          <w:tcPr>
            <w:cnfStyle w:val="001000000000" w:firstRow="0" w:lastRow="0" w:firstColumn="1" w:lastColumn="0" w:oddVBand="0" w:evenVBand="0" w:oddHBand="0" w:evenHBand="0" w:firstRowFirstColumn="0" w:firstRowLastColumn="0" w:lastRowFirstColumn="0" w:lastRowLastColumn="0"/>
            <w:tcW w:w="4675" w:type="dxa"/>
          </w:tcPr>
          <w:p w14:paraId="7A79D9EA" w14:textId="77777777" w:rsidR="00CB1ECA" w:rsidRPr="004903BB" w:rsidRDefault="00CB1ECA" w:rsidP="00F31C36">
            <w:pPr>
              <w:rPr>
                <w:b w:val="0"/>
                <w:bCs w:val="0"/>
              </w:rPr>
            </w:pPr>
            <w:r w:rsidRPr="004903BB">
              <w:rPr>
                <w:b w:val="0"/>
                <w:bCs w:val="0"/>
              </w:rPr>
              <w:t>CYP450</w:t>
            </w:r>
          </w:p>
        </w:tc>
        <w:tc>
          <w:tcPr>
            <w:tcW w:w="4675" w:type="dxa"/>
          </w:tcPr>
          <w:p w14:paraId="2FA9D73A" w14:textId="77777777" w:rsidR="00CB1ECA" w:rsidRDefault="00CB1ECA" w:rsidP="00F31C36">
            <w:pPr>
              <w:cnfStyle w:val="000000000000" w:firstRow="0" w:lastRow="0" w:firstColumn="0" w:lastColumn="0" w:oddVBand="0" w:evenVBand="0" w:oddHBand="0" w:evenHBand="0" w:firstRowFirstColumn="0" w:firstRowLastColumn="0" w:lastRowFirstColumn="0" w:lastRowLastColumn="0"/>
            </w:pPr>
            <w:r>
              <w:t>1e-20</w:t>
            </w:r>
          </w:p>
        </w:tc>
      </w:tr>
      <w:tr w:rsidR="00CB1ECA" w14:paraId="2D0D0930" w14:textId="77777777" w:rsidTr="00490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7A5102" w14:textId="77777777" w:rsidR="00CB1ECA" w:rsidRPr="004903BB" w:rsidRDefault="00CB1ECA" w:rsidP="00F31C36">
            <w:pPr>
              <w:rPr>
                <w:b w:val="0"/>
                <w:bCs w:val="0"/>
              </w:rPr>
            </w:pPr>
            <w:proofErr w:type="spellStart"/>
            <w:r w:rsidRPr="004903BB">
              <w:rPr>
                <w:b w:val="0"/>
                <w:bCs w:val="0"/>
              </w:rPr>
              <w:t>CCoAOMT</w:t>
            </w:r>
            <w:proofErr w:type="spellEnd"/>
          </w:p>
        </w:tc>
        <w:tc>
          <w:tcPr>
            <w:tcW w:w="4675" w:type="dxa"/>
          </w:tcPr>
          <w:p w14:paraId="2182ABFF" w14:textId="77777777" w:rsidR="00CB1ECA" w:rsidRDefault="00CB1ECA" w:rsidP="00F31C36">
            <w:pPr>
              <w:cnfStyle w:val="000000100000" w:firstRow="0" w:lastRow="0" w:firstColumn="0" w:lastColumn="0" w:oddVBand="0" w:evenVBand="0" w:oddHBand="1" w:evenHBand="0" w:firstRowFirstColumn="0" w:firstRowLastColumn="0" w:lastRowFirstColumn="0" w:lastRowLastColumn="0"/>
            </w:pPr>
            <w:r>
              <w:t>1e-20</w:t>
            </w:r>
          </w:p>
        </w:tc>
      </w:tr>
      <w:tr w:rsidR="00CB1ECA" w14:paraId="48C0615E" w14:textId="77777777" w:rsidTr="004903BB">
        <w:tc>
          <w:tcPr>
            <w:cnfStyle w:val="001000000000" w:firstRow="0" w:lastRow="0" w:firstColumn="1" w:lastColumn="0" w:oddVBand="0" w:evenVBand="0" w:oddHBand="0" w:evenHBand="0" w:firstRowFirstColumn="0" w:firstRowLastColumn="0" w:lastRowFirstColumn="0" w:lastRowLastColumn="0"/>
            <w:tcW w:w="4675" w:type="dxa"/>
          </w:tcPr>
          <w:p w14:paraId="68264F13" w14:textId="77777777" w:rsidR="00CB1ECA" w:rsidRPr="004903BB" w:rsidRDefault="00CB1ECA" w:rsidP="00F31C36">
            <w:pPr>
              <w:rPr>
                <w:b w:val="0"/>
                <w:bCs w:val="0"/>
              </w:rPr>
            </w:pPr>
            <w:r w:rsidRPr="004903BB">
              <w:rPr>
                <w:b w:val="0"/>
                <w:bCs w:val="0"/>
              </w:rPr>
              <w:t>CSE</w:t>
            </w:r>
          </w:p>
        </w:tc>
        <w:tc>
          <w:tcPr>
            <w:tcW w:w="4675" w:type="dxa"/>
          </w:tcPr>
          <w:p w14:paraId="20B48789" w14:textId="77777777" w:rsidR="00CB1ECA" w:rsidRDefault="00CB1ECA" w:rsidP="00F31C36">
            <w:pPr>
              <w:cnfStyle w:val="000000000000" w:firstRow="0" w:lastRow="0" w:firstColumn="0" w:lastColumn="0" w:oddVBand="0" w:evenVBand="0" w:oddHBand="0" w:evenHBand="0" w:firstRowFirstColumn="0" w:firstRowLastColumn="0" w:lastRowFirstColumn="0" w:lastRowLastColumn="0"/>
            </w:pPr>
            <w:r>
              <w:t>1e-6</w:t>
            </w:r>
          </w:p>
        </w:tc>
      </w:tr>
      <w:tr w:rsidR="00CB1ECA" w14:paraId="7CA63C3B" w14:textId="77777777" w:rsidTr="00490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6441BF" w14:textId="77777777" w:rsidR="00CB1ECA" w:rsidRPr="004903BB" w:rsidRDefault="00CB1ECA" w:rsidP="00F31C36">
            <w:pPr>
              <w:rPr>
                <w:b w:val="0"/>
                <w:bCs w:val="0"/>
              </w:rPr>
            </w:pPr>
            <w:r w:rsidRPr="004903BB">
              <w:rPr>
                <w:b w:val="0"/>
                <w:bCs w:val="0"/>
              </w:rPr>
              <w:t>PAL/TAL/PTAL</w:t>
            </w:r>
          </w:p>
        </w:tc>
        <w:tc>
          <w:tcPr>
            <w:tcW w:w="4675" w:type="dxa"/>
          </w:tcPr>
          <w:p w14:paraId="7C3AF3C1" w14:textId="77777777" w:rsidR="00CB1ECA" w:rsidRDefault="00CB1ECA" w:rsidP="00F31C36">
            <w:pPr>
              <w:cnfStyle w:val="000000100000" w:firstRow="0" w:lastRow="0" w:firstColumn="0" w:lastColumn="0" w:oddVBand="0" w:evenVBand="0" w:oddHBand="1" w:evenHBand="0" w:firstRowFirstColumn="0" w:firstRowLastColumn="0" w:lastRowFirstColumn="0" w:lastRowLastColumn="0"/>
            </w:pPr>
            <w:r>
              <w:t>1e-7</w:t>
            </w:r>
          </w:p>
        </w:tc>
      </w:tr>
    </w:tbl>
    <w:p w14:paraId="10618CDC" w14:textId="77777777" w:rsidR="00CB1ECA" w:rsidRDefault="00CB1ECA" w:rsidP="00CB1ECA">
      <w:pPr>
        <w:pStyle w:val="Heading4"/>
        <w:spacing w:before="0" w:after="0" w:line="240" w:lineRule="auto"/>
        <w:rPr>
          <w:i w:val="0"/>
          <w:iCs/>
        </w:rPr>
      </w:pPr>
    </w:p>
    <w:p w14:paraId="574EBC04" w14:textId="77777777" w:rsidR="004062A7" w:rsidRDefault="002F74C7">
      <w:pPr>
        <w:pStyle w:val="Heading4"/>
        <w:spacing w:before="0" w:after="0" w:line="360" w:lineRule="auto"/>
        <w:rPr>
          <w:i w:val="0"/>
        </w:rPr>
      </w:pPr>
      <w:bookmarkStart w:id="6" w:name="_heading=h.3whwml4" w:colFirst="0" w:colLast="0"/>
      <w:bookmarkEnd w:id="6"/>
      <w:r>
        <w:t xml:space="preserve">                                                                           </w:t>
      </w:r>
    </w:p>
    <w:p w14:paraId="028FBC60" w14:textId="77777777" w:rsidR="004062A7" w:rsidRDefault="004062A7">
      <w:pPr>
        <w:pStyle w:val="Heading4"/>
        <w:spacing w:before="0" w:after="0" w:line="360" w:lineRule="auto"/>
      </w:pPr>
    </w:p>
    <w:p w14:paraId="5F3A56F6" w14:textId="77777777" w:rsidR="004062A7" w:rsidRDefault="002F74C7">
      <w:pPr>
        <w:pStyle w:val="Heading4"/>
        <w:spacing w:before="0" w:after="0" w:line="360" w:lineRule="auto"/>
      </w:pPr>
      <w:r>
        <w:br w:type="page"/>
      </w:r>
    </w:p>
    <w:p w14:paraId="5E9F6F29" w14:textId="68ADE4FB" w:rsidR="004062A7" w:rsidRDefault="001A11C7" w:rsidP="004903BB">
      <w:pPr>
        <w:pStyle w:val="Heading4"/>
        <w:spacing w:before="0" w:after="0" w:line="360" w:lineRule="auto"/>
      </w:pPr>
      <w:r w:rsidRPr="004903BB">
        <w:rPr>
          <w:i w:val="0"/>
          <w:iCs/>
        </w:rPr>
        <w:lastRenderedPageBreak/>
        <w:t>Accession numbers for</w:t>
      </w:r>
      <w:r>
        <w:t xml:space="preserve"> </w:t>
      </w:r>
      <w:r w:rsidR="002F74C7">
        <w:t xml:space="preserve">4CL </w:t>
      </w:r>
      <w:r w:rsidR="002F74C7">
        <w:rPr>
          <w:i w:val="0"/>
        </w:rPr>
        <w:t xml:space="preserve">analysis (Fig 2) </w:t>
      </w:r>
    </w:p>
    <w:p w14:paraId="257850D6" w14:textId="77777777" w:rsidR="004062A7" w:rsidRDefault="002F74C7">
      <w:pPr>
        <w:spacing w:line="360" w:lineRule="auto"/>
      </w:pPr>
      <w:r>
        <w:t>Fig 2A:</w:t>
      </w:r>
    </w:p>
    <w:p w14:paraId="13C1EC86" w14:textId="77777777" w:rsidR="004062A7" w:rsidRDefault="002F74C7">
      <w:pPr>
        <w:spacing w:line="360" w:lineRule="auto"/>
        <w:rPr>
          <w:highlight w:val="white"/>
        </w:rPr>
      </w:pPr>
      <w:r>
        <w:rPr>
          <w:highlight w:val="white"/>
        </w:rPr>
        <w:t xml:space="preserve">AAF37732 </w:t>
      </w:r>
      <w:r>
        <w:rPr>
          <w:i/>
          <w:highlight w:val="white"/>
        </w:rPr>
        <w:t xml:space="preserve">Lolium </w:t>
      </w:r>
      <w:proofErr w:type="spellStart"/>
      <w:r>
        <w:rPr>
          <w:i/>
          <w:highlight w:val="white"/>
        </w:rPr>
        <w:t>perenne</w:t>
      </w:r>
      <w:proofErr w:type="spellEnd"/>
      <w:r>
        <w:rPr>
          <w:highlight w:val="white"/>
        </w:rPr>
        <w:t xml:space="preserve"> Lp4CL1, AAF37733 </w:t>
      </w:r>
      <w:r>
        <w:rPr>
          <w:i/>
          <w:highlight w:val="white"/>
        </w:rPr>
        <w:t xml:space="preserve">Lolium </w:t>
      </w:r>
      <w:proofErr w:type="spellStart"/>
      <w:r>
        <w:rPr>
          <w:i/>
          <w:highlight w:val="white"/>
        </w:rPr>
        <w:t>perenne</w:t>
      </w:r>
      <w:proofErr w:type="spellEnd"/>
      <w:r>
        <w:rPr>
          <w:highlight w:val="white"/>
        </w:rPr>
        <w:t xml:space="preserve"> Lp4CL2, ACD02135 </w:t>
      </w:r>
      <w:r>
        <w:rPr>
          <w:i/>
          <w:highlight w:val="white"/>
        </w:rPr>
        <w:t>Panicum virgatum</w:t>
      </w:r>
      <w:r>
        <w:rPr>
          <w:highlight w:val="white"/>
        </w:rPr>
        <w:t xml:space="preserve"> Pv4CL1, AAS67644 </w:t>
      </w:r>
      <w:proofErr w:type="spellStart"/>
      <w:r>
        <w:rPr>
          <w:i/>
          <w:highlight w:val="white"/>
        </w:rPr>
        <w:t>Zea</w:t>
      </w:r>
      <w:proofErr w:type="spellEnd"/>
      <w:r>
        <w:rPr>
          <w:i/>
          <w:highlight w:val="white"/>
        </w:rPr>
        <w:t xml:space="preserve"> mays</w:t>
      </w:r>
      <w:r>
        <w:rPr>
          <w:highlight w:val="white"/>
        </w:rPr>
        <w:t xml:space="preserve"> Zm4CL1, XP_002969881 </w:t>
      </w:r>
      <w:r>
        <w:rPr>
          <w:i/>
          <w:highlight w:val="white"/>
        </w:rPr>
        <w:t xml:space="preserve">Selaginella </w:t>
      </w:r>
      <w:proofErr w:type="spellStart"/>
      <w:r>
        <w:rPr>
          <w:i/>
          <w:highlight w:val="white"/>
        </w:rPr>
        <w:t>moellendorffii</w:t>
      </w:r>
      <w:proofErr w:type="spellEnd"/>
      <w:r>
        <w:rPr>
          <w:highlight w:val="white"/>
        </w:rPr>
        <w:t xml:space="preserve"> Sm4CL1, AAL98709 </w:t>
      </w:r>
      <w:r>
        <w:rPr>
          <w:i/>
          <w:highlight w:val="white"/>
        </w:rPr>
        <w:t>Glycine max</w:t>
      </w:r>
      <w:r>
        <w:rPr>
          <w:highlight w:val="white"/>
        </w:rPr>
        <w:t xml:space="preserve"> Gm4CL1, ACF35279 </w:t>
      </w:r>
      <w:r>
        <w:rPr>
          <w:i/>
          <w:highlight w:val="white"/>
        </w:rPr>
        <w:t>Pinus radiate</w:t>
      </w:r>
      <w:r>
        <w:rPr>
          <w:highlight w:val="white"/>
        </w:rPr>
        <w:t xml:space="preserve"> Pr4CL1, NP_175579 </w:t>
      </w:r>
      <w:r>
        <w:rPr>
          <w:i/>
          <w:highlight w:val="white"/>
        </w:rPr>
        <w:t>Arabidopsis thaliana</w:t>
      </w:r>
      <w:r>
        <w:rPr>
          <w:highlight w:val="white"/>
        </w:rPr>
        <w:t xml:space="preserve"> At4CL1, AAC24503 </w:t>
      </w:r>
      <w:r>
        <w:rPr>
          <w:i/>
          <w:highlight w:val="white"/>
        </w:rPr>
        <w:t xml:space="preserve">Populus </w:t>
      </w:r>
      <w:proofErr w:type="spellStart"/>
      <w:r>
        <w:rPr>
          <w:i/>
          <w:highlight w:val="white"/>
        </w:rPr>
        <w:t>tremuloides</w:t>
      </w:r>
      <w:proofErr w:type="spellEnd"/>
      <w:r>
        <w:rPr>
          <w:highlight w:val="white"/>
        </w:rPr>
        <w:t xml:space="preserve"> Pt4CL1, O24145 </w:t>
      </w:r>
      <w:r>
        <w:rPr>
          <w:i/>
          <w:highlight w:val="white"/>
        </w:rPr>
        <w:t>Nicotiana tabacum</w:t>
      </w:r>
      <w:r>
        <w:rPr>
          <w:highlight w:val="white"/>
        </w:rPr>
        <w:t xml:space="preserve"> Nt4CL1, O24146 </w:t>
      </w:r>
      <w:r>
        <w:rPr>
          <w:i/>
          <w:highlight w:val="white"/>
        </w:rPr>
        <w:t>Nicotiana tabacum</w:t>
      </w:r>
      <w:r>
        <w:rPr>
          <w:highlight w:val="white"/>
        </w:rPr>
        <w:t xml:space="preserve"> Nt4CL2. </w:t>
      </w:r>
    </w:p>
    <w:p w14:paraId="119B8ECC" w14:textId="77777777" w:rsidR="004062A7" w:rsidRDefault="004062A7">
      <w:pPr>
        <w:spacing w:line="360" w:lineRule="auto"/>
        <w:rPr>
          <w:highlight w:val="white"/>
        </w:rPr>
      </w:pPr>
    </w:p>
    <w:p w14:paraId="17C1F1D7" w14:textId="77777777" w:rsidR="004062A7" w:rsidRDefault="002F74C7">
      <w:pPr>
        <w:spacing w:line="360" w:lineRule="auto"/>
        <w:rPr>
          <w:highlight w:val="white"/>
        </w:rPr>
      </w:pPr>
      <w:r>
        <w:rPr>
          <w:highlight w:val="white"/>
        </w:rPr>
        <w:t>Fig</w:t>
      </w:r>
      <w:r>
        <w:t xml:space="preserve"> </w:t>
      </w:r>
      <w:r>
        <w:rPr>
          <w:highlight w:val="white"/>
        </w:rPr>
        <w:t xml:space="preserve">2B: </w:t>
      </w:r>
    </w:p>
    <w:p w14:paraId="066794C2" w14:textId="77777777" w:rsidR="004062A7" w:rsidRDefault="002F74C7">
      <w:pPr>
        <w:spacing w:line="360" w:lineRule="auto"/>
      </w:pPr>
      <w:r>
        <w:rPr>
          <w:highlight w:val="white"/>
        </w:rPr>
        <w:t xml:space="preserve">AAC24503, AAC37253, AAC37254, AAF37732, AAF37733, AAL98709, AAS67644, ABV60447, ABV60448, ABV60449, ACD02135, ACF35279, AMT98406, AT1G20480, AT1G20490, AT1G20500, AT1G20510, AT1G20560, AT1G21530, AT1G21540, AT1G23160, AT1G28130, AT1G30520, AT1G48660, AT1G48670, AT1G49430, AT1G51680, AT1G59500, AT1G62940, AT1G64400, AT1G65880, AT1G65890, AT1G66120, AT1G68270, AT1G75960, AT1G76290, AT1G77240, AT1G77590, AT2G04350, AT2G14960, AT2G17650, AT2G23170, AT2G46370, AT2G47240, AT2G47750, AT3G05970, AT3G16170, AT3G16910, AT3G21230, AT3G21240, AT3G48990, AT4G03400, AT4G11030, AT4G14070, AT4G19010, AT4G23850, AT4G27260, AT4G37390, AT5G05160, AT5G13320, AT5G13350, AT5G13360, AT5G13370, AT5G13380, AT5G16370, AT5G23050, AT5G27600, AT5G36880, AT5G38120, AT5G51470, AT5G54510, AT5G63380, BAK12046, c139317_g1_i1_4, c139587_g1_i1_5, c141558_g4_i1_3, c141558_g4_i2_3, c141618_g1_i1_3, c141893_g1_i1_3, c142036_g1_i1_1, c142563_g1_i1_2, c145839_g1_i1_1, c95137_g1_i1_5, CAA59281, CAA9363949, CAB4104811, CBJ27533, CBJ28329, CDF32396, CDF41291, EEC50893, EED93473, EFN52634, EFN53018, EFN55808, EFX65682, EIE20280, EKU22239, EKX33608, EME31572, EME32155, EME32164, EME32820, EME32859, HAO13495, KAA8490963, KAA8493489, KAA8494473, KAA8494587, KAA8497056, KAA8497564, KAF0916871, KAF6004312, KAF7101945, KAF7101946, KAF8061938, KAG0584171, KAG0588707, KAG0623632, KAG0627631, KAG2439883, KAG2716051, KAG2716056, KXZ55413, MBF1991334, MBI2191916, MBL7850533, NBO48550, NWG38034, O24145, O24146, OEU13519, OQR96481, OSX69535, OSX70295, OSX74244, OSX79543, PNR28027, PNW73635, PXF40762, PXF41346, PXF44881, PXF47267, PXF47592, PXF47672, PXF48392, </w:t>
      </w:r>
      <w:r>
        <w:rPr>
          <w:highlight w:val="white"/>
        </w:rPr>
        <w:lastRenderedPageBreak/>
        <w:t>QGN03526, RMG86589, SOD04037, VAI88204, WP_013961719, WP_016869319, WP_026951742, WP_079681472, WP_102171029, WP_102220786, WP_135073957, WP_207947089, XP_001747327, XP_001747423, XP_002739084, XP_002948463, XP_002968990, XP_002969881, XP_002969881, XP_002990653, XP_005535676, XP_005705549, XP_005707610, XP_005712755, XP_005714920, XP_005715308, XP_005716938, XP_005717654, XP_005718027, XP_005771927, XP_006415459, XP_012067417, XP_012067419, XP_018827690, XP_020916102, XP_020916103, XP_021313453, XP_021627094, XP_021627095, XP_022885537, XP_023732870, XP_024364789, XP_028672029, XP_031486777, XP_033858027, XP_034768253, XP_034768254, XP_039622562</w:t>
      </w:r>
    </w:p>
    <w:p w14:paraId="4EC28D2C" w14:textId="77777777" w:rsidR="004062A7" w:rsidRDefault="004062A7">
      <w:pPr>
        <w:pBdr>
          <w:top w:val="nil"/>
          <w:left w:val="nil"/>
          <w:bottom w:val="nil"/>
          <w:right w:val="nil"/>
          <w:between w:val="nil"/>
        </w:pBdr>
        <w:spacing w:line="360" w:lineRule="auto"/>
        <w:rPr>
          <w:color w:val="000000"/>
        </w:rPr>
      </w:pPr>
      <w:bookmarkStart w:id="7" w:name="_heading=h.2bn6wsx" w:colFirst="0" w:colLast="0"/>
      <w:bookmarkEnd w:id="7"/>
    </w:p>
    <w:p w14:paraId="18AEC1C1" w14:textId="77777777" w:rsidR="004062A7" w:rsidRDefault="002F74C7">
      <w:pPr>
        <w:pStyle w:val="Heading4"/>
        <w:spacing w:before="0" w:after="0" w:line="360" w:lineRule="auto"/>
      </w:pPr>
      <w:r>
        <w:br w:type="page"/>
      </w:r>
    </w:p>
    <w:p w14:paraId="034BCAC1" w14:textId="31BD7F5E" w:rsidR="004062A7" w:rsidRDefault="001A11C7">
      <w:pPr>
        <w:pStyle w:val="Heading4"/>
        <w:spacing w:before="0" w:after="0" w:line="360" w:lineRule="auto"/>
      </w:pPr>
      <w:r>
        <w:rPr>
          <w:i w:val="0"/>
          <w:iCs/>
        </w:rPr>
        <w:lastRenderedPageBreak/>
        <w:t xml:space="preserve">Accession numbers for </w:t>
      </w:r>
      <w:r w:rsidR="002F74C7">
        <w:t xml:space="preserve">CCR </w:t>
      </w:r>
      <w:r w:rsidR="002F74C7">
        <w:rPr>
          <w:i w:val="0"/>
        </w:rPr>
        <w:t>analysis (Fig</w:t>
      </w:r>
      <w:r w:rsidR="002F74C7">
        <w:t xml:space="preserve"> </w:t>
      </w:r>
      <w:r w:rsidR="002F74C7">
        <w:rPr>
          <w:i w:val="0"/>
        </w:rPr>
        <w:t>3)</w:t>
      </w:r>
    </w:p>
    <w:p w14:paraId="0DAE0617" w14:textId="77777777" w:rsidR="004062A7" w:rsidRDefault="004062A7">
      <w:pPr>
        <w:pStyle w:val="Heading4"/>
        <w:spacing w:before="0" w:after="0" w:line="360" w:lineRule="auto"/>
      </w:pPr>
    </w:p>
    <w:p w14:paraId="682C47C5" w14:textId="77777777" w:rsidR="004062A7" w:rsidRDefault="002F74C7">
      <w:pPr>
        <w:spacing w:line="360" w:lineRule="auto"/>
      </w:pPr>
      <w:r>
        <w:t xml:space="preserve">Fig 3A: </w:t>
      </w:r>
    </w:p>
    <w:p w14:paraId="05CA2FE1" w14:textId="77777777" w:rsidR="004062A7" w:rsidRDefault="002F74C7">
      <w:pPr>
        <w:spacing w:line="360" w:lineRule="auto"/>
      </w:pPr>
      <w:r>
        <w:t xml:space="preserve">AAG46037 </w:t>
      </w:r>
      <w:r>
        <w:rPr>
          <w:i/>
          <w:highlight w:val="white"/>
        </w:rPr>
        <w:t>Arabidopsis thaliana</w:t>
      </w:r>
      <w:r>
        <w:rPr>
          <w:highlight w:val="white"/>
        </w:rPr>
        <w:t xml:space="preserve"> </w:t>
      </w:r>
      <w:r>
        <w:t xml:space="preserve">AtCCR1, CAA56103 </w:t>
      </w:r>
      <w:r>
        <w:rPr>
          <w:i/>
        </w:rPr>
        <w:t xml:space="preserve">Eucalyptus </w:t>
      </w:r>
      <w:proofErr w:type="spellStart"/>
      <w:r>
        <w:rPr>
          <w:i/>
        </w:rPr>
        <w:t>gunnii</w:t>
      </w:r>
      <w:proofErr w:type="spellEnd"/>
      <w:r>
        <w:t xml:space="preserve"> </w:t>
      </w:r>
      <w:proofErr w:type="spellStart"/>
      <w:r>
        <w:t>EgCCR</w:t>
      </w:r>
      <w:proofErr w:type="spellEnd"/>
      <w:r>
        <w:t xml:space="preserve">, AAN71760 </w:t>
      </w:r>
      <w:r>
        <w:rPr>
          <w:i/>
        </w:rPr>
        <w:t>Hordeum vulgare</w:t>
      </w:r>
      <w:r>
        <w:t xml:space="preserve"> </w:t>
      </w:r>
      <w:proofErr w:type="spellStart"/>
      <w:r>
        <w:t>HvCCR</w:t>
      </w:r>
      <w:proofErr w:type="spellEnd"/>
      <w:r>
        <w:t xml:space="preserve">, AAG09817 </w:t>
      </w:r>
      <w:r>
        <w:rPr>
          <w:i/>
        </w:rPr>
        <w:t xml:space="preserve">Lolium </w:t>
      </w:r>
      <w:proofErr w:type="spellStart"/>
      <w:r>
        <w:rPr>
          <w:i/>
        </w:rPr>
        <w:t>perenne</w:t>
      </w:r>
      <w:proofErr w:type="spellEnd"/>
      <w:r>
        <w:t xml:space="preserve"> </w:t>
      </w:r>
      <w:proofErr w:type="spellStart"/>
      <w:r>
        <w:t>LpCCR</w:t>
      </w:r>
      <w:proofErr w:type="spellEnd"/>
      <w:r>
        <w:t xml:space="preserve">, AAL47684 </w:t>
      </w:r>
      <w:r>
        <w:rPr>
          <w:i/>
        </w:rPr>
        <w:t xml:space="preserve">Pinus </w:t>
      </w:r>
      <w:proofErr w:type="spellStart"/>
      <w:r>
        <w:rPr>
          <w:i/>
        </w:rPr>
        <w:t>taeda</w:t>
      </w:r>
      <w:proofErr w:type="spellEnd"/>
      <w:r>
        <w:t xml:space="preserve"> </w:t>
      </w:r>
      <w:proofErr w:type="spellStart"/>
      <w:r>
        <w:t>PtCCR</w:t>
      </w:r>
      <w:proofErr w:type="spellEnd"/>
      <w:r>
        <w:t xml:space="preserve">, XP_002303845 </w:t>
      </w:r>
      <w:r>
        <w:rPr>
          <w:i/>
        </w:rPr>
        <w:t xml:space="preserve">Populus </w:t>
      </w:r>
      <w:proofErr w:type="spellStart"/>
      <w:r>
        <w:rPr>
          <w:i/>
        </w:rPr>
        <w:t>trichocarpa</w:t>
      </w:r>
      <w:proofErr w:type="spellEnd"/>
      <w:r>
        <w:t xml:space="preserve"> </w:t>
      </w:r>
      <w:proofErr w:type="spellStart"/>
      <w:r>
        <w:t>PtCCR</w:t>
      </w:r>
      <w:proofErr w:type="spellEnd"/>
      <w:r>
        <w:t xml:space="preserve">, AAN71761 </w:t>
      </w:r>
      <w:r>
        <w:rPr>
          <w:i/>
        </w:rPr>
        <w:t>Solanum tuberosum</w:t>
      </w:r>
      <w:r>
        <w:t xml:space="preserve"> </w:t>
      </w:r>
      <w:proofErr w:type="spellStart"/>
      <w:r>
        <w:t>StCCR</w:t>
      </w:r>
      <w:proofErr w:type="spellEnd"/>
      <w:r>
        <w:t xml:space="preserve">, ABE01883 </w:t>
      </w:r>
      <w:r>
        <w:rPr>
          <w:i/>
        </w:rPr>
        <w:t xml:space="preserve">Triticum </w:t>
      </w:r>
      <w:proofErr w:type="spellStart"/>
      <w:r>
        <w:rPr>
          <w:i/>
        </w:rPr>
        <w:t>aestivum</w:t>
      </w:r>
      <w:proofErr w:type="spellEnd"/>
      <w:r>
        <w:t xml:space="preserve"> TaCCR1, AAX08107 </w:t>
      </w:r>
      <w:r>
        <w:rPr>
          <w:i/>
        </w:rPr>
        <w:t xml:space="preserve">Triticum </w:t>
      </w:r>
      <w:proofErr w:type="spellStart"/>
      <w:r>
        <w:rPr>
          <w:i/>
        </w:rPr>
        <w:t>aestivum</w:t>
      </w:r>
      <w:proofErr w:type="spellEnd"/>
      <w:r>
        <w:t xml:space="preserve"> TaCCR2. </w:t>
      </w:r>
    </w:p>
    <w:p w14:paraId="389B8003" w14:textId="77777777" w:rsidR="004062A7" w:rsidRDefault="004062A7">
      <w:pPr>
        <w:spacing w:line="360" w:lineRule="auto"/>
      </w:pPr>
    </w:p>
    <w:p w14:paraId="408AD28C" w14:textId="77777777" w:rsidR="004062A7" w:rsidRDefault="002F74C7">
      <w:pPr>
        <w:spacing w:line="360" w:lineRule="auto"/>
      </w:pPr>
      <w:r>
        <w:t xml:space="preserve">Fig 3B: </w:t>
      </w:r>
    </w:p>
    <w:p w14:paraId="28BC2E6F" w14:textId="77777777" w:rsidR="004062A7" w:rsidRDefault="002F74C7">
      <w:pPr>
        <w:spacing w:line="360" w:lineRule="auto"/>
      </w:pPr>
      <w:r>
        <w:t xml:space="preserve">AT1G09480, AT1G09490, AT1G09500, AT1G09510, AT1G15950, AT1G51410, AT1G66800, AT1G76470, AT1G80820, AT2G33590, AT2G33600, AT2G45400, AT4G27250, AT4G35420, AT5G19440, AT5G42800, BAH56929, c118951_g1_i1_2, c124623_g1_i1_2, c95473_g1_i1_5, CAA69253, CCA15100, EDK31897, EEC43073, EED93941, EFJ06723, EFJ22121, EFJ32728, EFJ35085, EFN54625, EGD83125, EIE25032, EIE25033, EKU22444, EKX50916, KAA3644909, KAF2205997, KAF2268117, KAF2793960, KAF9688883, KZK75114, MBL8632307, MBL9003083, NCC73432, OAL49492, OEU20249, OEU20938, OSS53899, PIA48431, PIA48432, PIA48433, PSN66757, PXF42666, TLU56187, TNC82432, WP_006366457, WP_085659952, XP_001020008, XP_001027418, XP_001028134, XP_001637357, XP_001702360, XP_002117601, XP_002675494, XP_002908946, XP_002950118, XP_002956636, XP_003386068, XP_003834537, XP_004349571, XP_004349572, XP_005713248, XP_005766535, XP_005846728, XP_005851647, XP_012702439, XP_022934191, XP_022982785, XP_023526588, XP_023526659, XP_626064, XP_626064     </w:t>
      </w:r>
    </w:p>
    <w:p w14:paraId="564E2F8A" w14:textId="77777777" w:rsidR="004062A7" w:rsidRDefault="004062A7">
      <w:pPr>
        <w:pStyle w:val="Heading4"/>
        <w:spacing w:before="0" w:after="0" w:line="360" w:lineRule="auto"/>
      </w:pPr>
    </w:p>
    <w:p w14:paraId="7FF877AC" w14:textId="0238B1F2" w:rsidR="004062A7" w:rsidRPr="00DF2053" w:rsidRDefault="002F74C7">
      <w:pPr>
        <w:pStyle w:val="Heading4"/>
        <w:spacing w:before="0" w:after="0" w:line="360" w:lineRule="auto"/>
      </w:pPr>
      <w:r>
        <w:br w:type="page"/>
      </w:r>
      <w:r w:rsidR="00CB1ECA">
        <w:rPr>
          <w:i w:val="0"/>
          <w:iCs/>
        </w:rPr>
        <w:lastRenderedPageBreak/>
        <w:t xml:space="preserve">Accession </w:t>
      </w:r>
      <w:r w:rsidR="007814EB">
        <w:rPr>
          <w:i w:val="0"/>
          <w:iCs/>
        </w:rPr>
        <w:t>n</w:t>
      </w:r>
      <w:r w:rsidR="00CB1ECA">
        <w:rPr>
          <w:i w:val="0"/>
          <w:iCs/>
        </w:rPr>
        <w:t xml:space="preserve">umbers for </w:t>
      </w:r>
      <w:r>
        <w:t xml:space="preserve">CAD </w:t>
      </w:r>
      <w:r>
        <w:rPr>
          <w:i w:val="0"/>
        </w:rPr>
        <w:t>analysis (Fig</w:t>
      </w:r>
      <w:r>
        <w:t xml:space="preserve"> </w:t>
      </w:r>
      <w:r>
        <w:rPr>
          <w:i w:val="0"/>
        </w:rPr>
        <w:t xml:space="preserve">4) </w:t>
      </w:r>
    </w:p>
    <w:p w14:paraId="7A140F52" w14:textId="77777777" w:rsidR="004062A7" w:rsidRDefault="004062A7">
      <w:pPr>
        <w:spacing w:line="360" w:lineRule="auto"/>
      </w:pPr>
    </w:p>
    <w:p w14:paraId="6E9CB725" w14:textId="77777777" w:rsidR="004062A7" w:rsidRDefault="002F74C7">
      <w:pPr>
        <w:spacing w:line="360" w:lineRule="auto"/>
      </w:pPr>
      <w:r>
        <w:t xml:space="preserve">Fig 4A:  </w:t>
      </w:r>
    </w:p>
    <w:p w14:paraId="0D2AF81C" w14:textId="77777777" w:rsidR="004062A7" w:rsidRDefault="002F74C7">
      <w:pPr>
        <w:spacing w:line="360" w:lineRule="auto"/>
        <w:rPr>
          <w:highlight w:val="white"/>
        </w:rPr>
      </w:pPr>
      <w:r>
        <w:rPr>
          <w:highlight w:val="white"/>
        </w:rPr>
        <w:t xml:space="preserve">P06525 </w:t>
      </w:r>
      <w:r>
        <w:rPr>
          <w:i/>
          <w:highlight w:val="white"/>
        </w:rPr>
        <w:t>Arabidopsis thaliana</w:t>
      </w:r>
      <w:r>
        <w:rPr>
          <w:highlight w:val="white"/>
        </w:rPr>
        <w:t xml:space="preserve"> ADH1, AT4G34230 </w:t>
      </w:r>
      <w:r>
        <w:rPr>
          <w:i/>
          <w:highlight w:val="white"/>
        </w:rPr>
        <w:t>Arabidopsis thaliana</w:t>
      </w:r>
      <w:r>
        <w:rPr>
          <w:highlight w:val="white"/>
        </w:rPr>
        <w:t xml:space="preserve"> AtCAD5, AT4G37990 </w:t>
      </w:r>
      <w:r>
        <w:rPr>
          <w:i/>
          <w:highlight w:val="white"/>
        </w:rPr>
        <w:t>Arabidopsis thaliana</w:t>
      </w:r>
      <w:r>
        <w:rPr>
          <w:highlight w:val="white"/>
        </w:rPr>
        <w:t xml:space="preserve"> AtCAD8, AT4G39330 </w:t>
      </w:r>
      <w:r>
        <w:rPr>
          <w:i/>
          <w:highlight w:val="white"/>
        </w:rPr>
        <w:t>Arabidopsis thaliana</w:t>
      </w:r>
      <w:r>
        <w:rPr>
          <w:highlight w:val="white"/>
        </w:rPr>
        <w:t xml:space="preserve"> AtCAD9, ADP68542 </w:t>
      </w:r>
      <w:r>
        <w:rPr>
          <w:i/>
          <w:highlight w:val="white"/>
        </w:rPr>
        <w:t xml:space="preserve">Pinus </w:t>
      </w:r>
      <w:proofErr w:type="spellStart"/>
      <w:r>
        <w:rPr>
          <w:i/>
          <w:highlight w:val="white"/>
        </w:rPr>
        <w:t>armandii</w:t>
      </w:r>
      <w:proofErr w:type="spellEnd"/>
      <w:r>
        <w:rPr>
          <w:highlight w:val="white"/>
        </w:rPr>
        <w:t xml:space="preserve"> </w:t>
      </w:r>
      <w:proofErr w:type="spellStart"/>
      <w:r>
        <w:rPr>
          <w:highlight w:val="white"/>
        </w:rPr>
        <w:t>PaCAD</w:t>
      </w:r>
      <w:proofErr w:type="spellEnd"/>
      <w:r>
        <w:rPr>
          <w:highlight w:val="white"/>
        </w:rPr>
        <w:t>.</w:t>
      </w:r>
    </w:p>
    <w:p w14:paraId="447D12C7" w14:textId="77777777" w:rsidR="004062A7" w:rsidRDefault="004062A7">
      <w:pPr>
        <w:spacing w:line="360" w:lineRule="auto"/>
        <w:rPr>
          <w:highlight w:val="white"/>
        </w:rPr>
      </w:pPr>
    </w:p>
    <w:p w14:paraId="0D463683" w14:textId="77777777" w:rsidR="004062A7" w:rsidRDefault="002F74C7">
      <w:pPr>
        <w:spacing w:line="360" w:lineRule="auto"/>
        <w:rPr>
          <w:highlight w:val="white"/>
        </w:rPr>
      </w:pPr>
      <w:r>
        <w:rPr>
          <w:highlight w:val="white"/>
        </w:rPr>
        <w:t>Fig</w:t>
      </w:r>
      <w:r>
        <w:t xml:space="preserve"> </w:t>
      </w:r>
      <w:r>
        <w:rPr>
          <w:highlight w:val="white"/>
        </w:rPr>
        <w:t xml:space="preserve">4B: </w:t>
      </w:r>
    </w:p>
    <w:p w14:paraId="59A5E760" w14:textId="77777777" w:rsidR="004062A7" w:rsidRDefault="002F74C7">
      <w:pPr>
        <w:spacing w:line="360" w:lineRule="auto"/>
      </w:pPr>
      <w:bookmarkStart w:id="8" w:name="_heading=h.qsh70q" w:colFirst="0" w:colLast="0"/>
      <w:bookmarkEnd w:id="8"/>
      <w:r>
        <w:rPr>
          <w:highlight w:val="white"/>
        </w:rPr>
        <w:t>AAF73254, AAK26851, AAK26852, ABD46589, ABK21418, ABK26019, ABK27011, ABR16979, ADP68542, ADP68549, ADP68550, AOR07019, AT1G72680, AT2G21730, AT2G21890, AT3G19450, AT4G34230, AT4G37970, AT4G37980, AT4G37990, AT4G39330, c121452_g1_i1_5, c121452_g1_i2_5, c137498_g1_i1_3, c137515_g1_i1_2, c145607_g1_i1_5, CAD7623026, CAE7171048, CAE7264721, CAE7476856, CAE7562051, CAE7658906, CAE7947340, CBY84994, CCA26192, CCO14774, CCO17147, CCO19759, CDF34840, EAR92957, EEC44695, EEC46746, EED94449, EED96219, EED96421, EFN56047, EFN56723, EGZ11446, EIE27722, ELU06025, EME26563, EME27044, EME27893, OEU10098, OEU20286, OKL43300, OLQ07033, P06525, P25377, P27250, P75691, PXF42146, PXF46026, PXF46046, PXF48590, PXF48875, Q04894, RMX48738, WP_064640725, WP_138237030, WP_177185849, WP_192269644, XP_001416318, XP_001421868, XP_001422100, XP_001441600, XP_001624910, XP_001693170, XP_002139197, XP_002501541, XP_002902902, XP_002952441, XP_002957700, XP_003057538, XP_003061453, XP_005711469, XP_005713108, XP_005713109, XP_005773924, XP_005792427, XP_013419139, XP_020895616, XP_021373496, XP_022788711, XP_027040389, XP_028413386, XP_035232319, XP_626204, XP_667966</w:t>
      </w:r>
    </w:p>
    <w:p w14:paraId="4CAA3906" w14:textId="77777777" w:rsidR="004062A7" w:rsidRDefault="004062A7">
      <w:pPr>
        <w:pBdr>
          <w:top w:val="nil"/>
          <w:left w:val="nil"/>
          <w:bottom w:val="nil"/>
          <w:right w:val="nil"/>
          <w:between w:val="nil"/>
        </w:pBdr>
        <w:spacing w:line="360" w:lineRule="auto"/>
        <w:rPr>
          <w:b/>
          <w:color w:val="000000"/>
        </w:rPr>
      </w:pPr>
    </w:p>
    <w:p w14:paraId="395A6B47" w14:textId="77777777" w:rsidR="004062A7" w:rsidRDefault="002F74C7">
      <w:pPr>
        <w:pStyle w:val="Heading4"/>
        <w:spacing w:before="0" w:after="0" w:line="360" w:lineRule="auto"/>
        <w:rPr>
          <w:i w:val="0"/>
        </w:rPr>
      </w:pPr>
      <w:r>
        <w:br w:type="page"/>
      </w:r>
    </w:p>
    <w:p w14:paraId="5CD2634D" w14:textId="77777777" w:rsidR="004062A7" w:rsidRDefault="002F74C7">
      <w:pPr>
        <w:pStyle w:val="Heading4"/>
        <w:spacing w:before="0" w:after="0" w:line="360" w:lineRule="auto"/>
        <w:rPr>
          <w:i w:val="0"/>
        </w:rPr>
      </w:pPr>
      <w:r>
        <w:rPr>
          <w:i w:val="0"/>
          <w:color w:val="000000"/>
        </w:rPr>
        <w:lastRenderedPageBreak/>
        <w:t xml:space="preserve">Identification of </w:t>
      </w:r>
      <w:r>
        <w:t xml:space="preserve">Cytochrome P450s sequences C3H, C4H, and F5H           </w:t>
      </w:r>
    </w:p>
    <w:p w14:paraId="0E385904" w14:textId="77777777" w:rsidR="004062A7" w:rsidRDefault="002F74C7">
      <w:pPr>
        <w:spacing w:line="360" w:lineRule="auto"/>
      </w:pPr>
      <w:r>
        <w:t xml:space="preserve">     </w:t>
      </w:r>
    </w:p>
    <w:p w14:paraId="22BBB257" w14:textId="77777777" w:rsidR="004062A7" w:rsidRDefault="002F74C7">
      <w:pPr>
        <w:spacing w:line="360" w:lineRule="auto"/>
      </w:pPr>
      <w:r>
        <w:t>Coumarate 3-hydroxylase (C3H), cinnamate 4</w:t>
      </w:r>
      <w:r>
        <w:rPr>
          <w:rFonts w:ascii="Cutive" w:eastAsia="Cutive" w:hAnsi="Cutive" w:cs="Cutive"/>
        </w:rPr>
        <w:t>‐</w:t>
      </w:r>
      <w:r>
        <w:t xml:space="preserve">hydroxylase (C4H), and </w:t>
      </w:r>
      <w:proofErr w:type="spellStart"/>
      <w:r>
        <w:t>ferulate</w:t>
      </w:r>
      <w:proofErr w:type="spellEnd"/>
      <w:r>
        <w:t xml:space="preserve"> 5-hydroxylase (F5H) are cytochrome P450 (CYP) monooxygenases that catalyze hydroxylation reactions required for horizontal movement through the monolignol pathway to produce monolignols that correspond to the H, G and S lignin subunits (for a review see [4]). In addition to monolignol biosynthesis, these enzymes branch the phenylpropanoid biosynthesis pathway for the production of other </w:t>
      </w:r>
      <w:proofErr w:type="spellStart"/>
      <w:r>
        <w:t>flavanoids</w:t>
      </w:r>
      <w:proofErr w:type="spellEnd"/>
      <w:r>
        <w:t xml:space="preserve"> (reviewed in [5]). We identified six sequences as candidate C3H, C4H, or F5H encoding transcripts, based on HMMER searches but not based on KEGG analysis. These candidate sequences were not uniquely identified as either C3H, C4H, or F5H, but overlap in their identification. This overlap is not surprising as C3H, C4H, and F5H are all closely related CYP sequences together in the CYP71 clan that are thought to have diverged in land plants (for a review of CYPs see [6]). A query of these sequences against the </w:t>
      </w:r>
      <w:r>
        <w:rPr>
          <w:i/>
        </w:rPr>
        <w:t>Arabidopsis thaliana</w:t>
      </w:r>
      <w:r>
        <w:t xml:space="preserve"> proteome returned other sequences within the CYP71 clade that C3H, C4H, and F5H belong to as well, as the CYP85 clan is involved in terpenoid plant hormone metabolism (Table S2). For CYP monooxygenase function, the K loop is important in stabilizing the tertiary structure while the PXRX motif and I helix are involved in oxygen binding and activation. These domains show high conservation in key residues (identity similarity [IS] &gt;90% Fig S2A). The heme binding domain also shows high conservation in key residues (IS &gt;80% Fig S2A).</w:t>
      </w:r>
    </w:p>
    <w:p w14:paraId="15B57CD0" w14:textId="77777777" w:rsidR="004062A7" w:rsidRDefault="004062A7">
      <w:pPr>
        <w:spacing w:line="360" w:lineRule="auto"/>
      </w:pPr>
    </w:p>
    <w:p w14:paraId="6E81FCCB" w14:textId="77777777" w:rsidR="004062A7" w:rsidRDefault="002F74C7">
      <w:pPr>
        <w:spacing w:line="360" w:lineRule="auto"/>
      </w:pPr>
      <w:r>
        <w:t xml:space="preserve">In the CYP gene tree analysis, </w:t>
      </w:r>
      <w:r>
        <w:rPr>
          <w:i/>
        </w:rPr>
        <w:t>C. tuberculosum</w:t>
      </w:r>
      <w:r>
        <w:t xml:space="preserve"> CYP sequence candidates fall within three general groupings. One of the sequence </w:t>
      </w:r>
      <w:proofErr w:type="gramStart"/>
      <w:r>
        <w:t>candidates</w:t>
      </w:r>
      <w:proofErr w:type="gramEnd"/>
      <w:r>
        <w:t xml:space="preserve"> groups within the CYP97 clade with high confidence (</w:t>
      </w:r>
      <w:proofErr w:type="spellStart"/>
      <w:r>
        <w:t>ultrafastbootstrap</w:t>
      </w:r>
      <w:proofErr w:type="spellEnd"/>
      <w:r>
        <w:t xml:space="preserve"> [BS] = 100%, Fig S2A and S2B).  This </w:t>
      </w:r>
      <w:r>
        <w:rPr>
          <w:i/>
        </w:rPr>
        <w:t>C. tuberculosum</w:t>
      </w:r>
      <w:r>
        <w:t xml:space="preserve"> sequence is likely involved in carotenoid biosynthesis and not monolignol biosynthesis based on previous functional</w:t>
      </w:r>
      <w:r>
        <w:rPr>
          <w:i/>
        </w:rPr>
        <w:t xml:space="preserve"> </w:t>
      </w:r>
      <w:r>
        <w:t xml:space="preserve">annotation of land plant sequences in this clade [7]. The second group of </w:t>
      </w:r>
      <w:r>
        <w:rPr>
          <w:i/>
        </w:rPr>
        <w:t>C. tuberculosum</w:t>
      </w:r>
      <w:r>
        <w:t xml:space="preserve"> sequences forms a clade with other red algal sequences (BS = 100%) (Fig S2B) and likely represents a novel family or clade of CYPs that have evolved in the red algal lineage. The third group includes </w:t>
      </w:r>
      <w:r>
        <w:rPr>
          <w:i/>
        </w:rPr>
        <w:t>C. tuberculosum</w:t>
      </w:r>
      <w:r>
        <w:t xml:space="preserve"> and other red algal sequences and has been annotated as an algal CYP71 clade based on sequence annotation but does not have support as the sister clade to the plant CYP71s (BS = 77%). This group would be the best candidate for a </w:t>
      </w:r>
      <w:r>
        <w:rPr>
          <w:i/>
        </w:rPr>
        <w:t xml:space="preserve">Calliarthron </w:t>
      </w:r>
      <w:r>
        <w:t xml:space="preserve">C3H, C4H, or F5H, but requires further functional evidence. The CYP71 clan that </w:t>
      </w:r>
      <w:r>
        <w:lastRenderedPageBreak/>
        <w:t xml:space="preserve">contains the true C3H, C4H, and F5H from </w:t>
      </w:r>
      <w:r>
        <w:rPr>
          <w:i/>
        </w:rPr>
        <w:t>A. thaliana</w:t>
      </w:r>
      <w:r>
        <w:t xml:space="preserve"> forms a separate clade and has likely independently evolved within the rapidly diversified CYP71 clade in land plants.</w:t>
      </w:r>
    </w:p>
    <w:p w14:paraId="0BCBF1A8" w14:textId="77777777" w:rsidR="004062A7" w:rsidRDefault="004062A7">
      <w:pPr>
        <w:spacing w:line="360" w:lineRule="auto"/>
      </w:pPr>
    </w:p>
    <w:p w14:paraId="2A0281E4" w14:textId="77777777" w:rsidR="004062A7" w:rsidRDefault="002F74C7">
      <w:pPr>
        <w:keepNext/>
        <w:spacing w:line="360" w:lineRule="auto"/>
        <w:rPr>
          <w:b/>
        </w:rPr>
      </w:pPr>
      <w:bookmarkStart w:id="9" w:name="_heading=h.44sinio" w:colFirst="0" w:colLast="0"/>
      <w:bookmarkEnd w:id="9"/>
      <w:r>
        <w:br w:type="page"/>
      </w:r>
    </w:p>
    <w:p w14:paraId="6709E4E8" w14:textId="30464A5B" w:rsidR="004062A7" w:rsidRPr="00CB1ECA" w:rsidRDefault="004062A7">
      <w:pPr>
        <w:tabs>
          <w:tab w:val="left" w:pos="8355"/>
        </w:tabs>
        <w:spacing w:line="360" w:lineRule="auto"/>
        <w:rPr>
          <w:bCs/>
        </w:rPr>
      </w:pPr>
      <w:bookmarkStart w:id="10" w:name="_heading=h.8sqfitp2kijn" w:colFirst="0" w:colLast="0"/>
      <w:bookmarkStart w:id="11" w:name="_heading=h.30j0zll" w:colFirst="0" w:colLast="0"/>
      <w:bookmarkEnd w:id="10"/>
      <w:bookmarkEnd w:id="11"/>
    </w:p>
    <w:p w14:paraId="6E44524D" w14:textId="2A351B78" w:rsidR="001A11C7" w:rsidRDefault="001A11C7">
      <w:pPr>
        <w:tabs>
          <w:tab w:val="left" w:pos="8355"/>
        </w:tabs>
        <w:spacing w:line="360" w:lineRule="auto"/>
        <w:rPr>
          <w:b/>
        </w:rPr>
      </w:pPr>
      <w:r w:rsidRPr="004903BB">
        <w:rPr>
          <w:b/>
        </w:rPr>
        <w:t xml:space="preserve">Accession numbers for </w:t>
      </w:r>
      <w:r w:rsidR="00CB1ECA">
        <w:rPr>
          <w:b/>
          <w:i/>
          <w:iCs/>
        </w:rPr>
        <w:t>Cytochrome P450s (</w:t>
      </w:r>
      <w:r w:rsidRPr="004903BB">
        <w:rPr>
          <w:b/>
          <w:i/>
          <w:iCs/>
        </w:rPr>
        <w:t>C3H, C4H, F5H</w:t>
      </w:r>
      <w:r w:rsidR="00CB1ECA">
        <w:rPr>
          <w:b/>
          <w:i/>
          <w:iCs/>
        </w:rPr>
        <w:t>)</w:t>
      </w:r>
      <w:r w:rsidR="00CB1ECA">
        <w:rPr>
          <w:b/>
        </w:rPr>
        <w:t xml:space="preserve"> </w:t>
      </w:r>
      <w:r w:rsidRPr="004903BB">
        <w:rPr>
          <w:b/>
        </w:rPr>
        <w:t>analysis (Fig</w:t>
      </w:r>
      <w:r w:rsidR="00CB1ECA">
        <w:rPr>
          <w:b/>
        </w:rPr>
        <w:t xml:space="preserve"> </w:t>
      </w:r>
      <w:r w:rsidRPr="004903BB">
        <w:rPr>
          <w:b/>
        </w:rPr>
        <w:t>S2)</w:t>
      </w:r>
    </w:p>
    <w:p w14:paraId="43A13257" w14:textId="77777777" w:rsidR="00CB1ECA" w:rsidRPr="004903BB" w:rsidRDefault="00CB1ECA">
      <w:pPr>
        <w:tabs>
          <w:tab w:val="left" w:pos="8355"/>
        </w:tabs>
        <w:spacing w:line="360" w:lineRule="auto"/>
        <w:rPr>
          <w:b/>
        </w:rPr>
      </w:pPr>
    </w:p>
    <w:p w14:paraId="019F83F5" w14:textId="4A3BAC0D" w:rsidR="004062A7" w:rsidRDefault="002F74C7">
      <w:pPr>
        <w:tabs>
          <w:tab w:val="left" w:pos="8355"/>
        </w:tabs>
        <w:spacing w:line="360" w:lineRule="auto"/>
      </w:pPr>
      <w:r>
        <w:t xml:space="preserve">Fig S2A:       </w:t>
      </w:r>
    </w:p>
    <w:p w14:paraId="5F960227" w14:textId="77777777" w:rsidR="004062A7" w:rsidRDefault="002F74C7">
      <w:pPr>
        <w:spacing w:line="360" w:lineRule="auto"/>
        <w:rPr>
          <w:highlight w:val="white"/>
        </w:rPr>
      </w:pPr>
      <w:r>
        <w:rPr>
          <w:highlight w:val="white"/>
        </w:rPr>
        <w:t xml:space="preserve">NP_850337.1 </w:t>
      </w:r>
      <w:r>
        <w:rPr>
          <w:i/>
          <w:highlight w:val="white"/>
        </w:rPr>
        <w:t>Arabidopsis thaliana</w:t>
      </w:r>
      <w:r>
        <w:rPr>
          <w:highlight w:val="white"/>
        </w:rPr>
        <w:t xml:space="preserve"> AtC3H, ABV80343.1 </w:t>
      </w:r>
      <w:r>
        <w:rPr>
          <w:i/>
          <w:highlight w:val="white"/>
        </w:rPr>
        <w:t xml:space="preserve">Selaginella </w:t>
      </w:r>
      <w:proofErr w:type="spellStart"/>
      <w:r>
        <w:rPr>
          <w:i/>
          <w:highlight w:val="white"/>
        </w:rPr>
        <w:t>moellendorffii</w:t>
      </w:r>
      <w:proofErr w:type="spellEnd"/>
      <w:r>
        <w:rPr>
          <w:highlight w:val="white"/>
        </w:rPr>
        <w:t xml:space="preserve"> SmF5H, CAP08841.1 </w:t>
      </w:r>
      <w:r>
        <w:rPr>
          <w:i/>
          <w:highlight w:val="white"/>
        </w:rPr>
        <w:t>Arabidopsis thaliana</w:t>
      </w:r>
      <w:r>
        <w:rPr>
          <w:highlight w:val="white"/>
        </w:rPr>
        <w:t xml:space="preserve"> AtC4H, Q42600.1 </w:t>
      </w:r>
      <w:r>
        <w:rPr>
          <w:i/>
          <w:highlight w:val="white"/>
        </w:rPr>
        <w:t>Arabidopsis thaliana</w:t>
      </w:r>
      <w:r>
        <w:rPr>
          <w:highlight w:val="white"/>
        </w:rPr>
        <w:t xml:space="preserve"> AtF5H.</w:t>
      </w:r>
    </w:p>
    <w:p w14:paraId="18DD7C32" w14:textId="77777777" w:rsidR="004062A7" w:rsidRDefault="004062A7">
      <w:pPr>
        <w:spacing w:line="360" w:lineRule="auto"/>
        <w:rPr>
          <w:highlight w:val="white"/>
        </w:rPr>
      </w:pPr>
    </w:p>
    <w:p w14:paraId="03F249EF" w14:textId="77777777" w:rsidR="004062A7" w:rsidRDefault="002F74C7">
      <w:pPr>
        <w:spacing w:line="360" w:lineRule="auto"/>
      </w:pPr>
      <w:r>
        <w:t xml:space="preserve">Fig S2B: </w:t>
      </w:r>
    </w:p>
    <w:p w14:paraId="010AF90B" w14:textId="77777777" w:rsidR="004062A7" w:rsidRDefault="002F74C7">
      <w:pPr>
        <w:spacing w:line="360" w:lineRule="auto"/>
      </w:pPr>
      <w:r>
        <w:t xml:space="preserve">AB005237, AB005248, AB007645, AB007647, AB007648, AB007649, AB009048, AB010073, AB010077, AB010692, AB010697, AB010697, AB011485, AB016885, AB016889, AB016893, AB017064, AB017064, AB017064, AB017064, AB017065, AB018112, AB018112, AB019226, AB019226, AB019233, AB019233, AB020744, AB022210, AB022210, AB023038, AB023038, AB023038, AB023038, AB023038, AB023038, AB023038, AB023038, AB023038, AB024024, AB024038, AB024038, AB024038, AB024038, AB024038, AB024038, AB024038, AB024038, AB024038, AB024038, AB024038, AB024038, AB024038, AB024038, AB025602, AB025602, AB025623, AB026647, AB026661, AC000098, AC000103, AC001229, AC001304, AC002304, AC002329, AC002340, AC002340, AC002388, AC002391, AC002391, AC002391, AC002409, AC002561, AC003105, AC003680, AC003680, AC003680, AC003680, AC003680, AC004077, AC004077, AC004136, AC004146, AC004411, AC004411, AC004484, AC004512, AC004665, AC005272, AC005315, AC005405, AC005623, AC005623, AC005700, AC005727, AC005819, AC005824, AC005897, AC005964, AC005964, AC005967, AC006193, AC006193, AC006193, AC006193, AC006259, AC006259, AC006341, AC006341, AC006592, AC006592, AC006931, AC007018, AC007019, AC007202, AC007260, AC007296, AC007296, AC007296, AC007296, AC007323, AC007357, AC007357, AC007357, AC007357, AC007357, AC007357, AC007357, AC007519, AC007519, AC007651, AC008051, AC008051, AC008051, AC009895, AC010155, AC010164, AC010164, AC010795, AC010797, AC011560, AC011560, AC011622, AC011765, AC011765, AC012561, AC012561, AC012561, AC013258, AC016662, AC023279, AC023628, AC024226, AC024609, AC025417, AC026480, AC027656, AC061957, AC073178, AC074025, AC079041, AC079733, AF069716, AF069716, AF069716, AF069716, AF195115, AHA51695, AL021635, AL021635, AL021636, AL021636, AL021636, AL021687, AL021811, AL022141, AL022224, AL022224, AL031369, AL035528, AL035601, AL035601, AL035601, AL035601, </w:t>
      </w:r>
      <w:r>
        <w:lastRenderedPageBreak/>
        <w:t>AL035601, AL035602, AL035708, AL049608, AL049608, AL049659, AL049659, AL049659, AL049659, AL049659, AL049659, AL078620, AL078620, AL078620, AL078620, AL080283, AL080318, AL080318, AL080318, AL080318, AL132958, AL132958, AL132958, AL132958, AL132958, AL132969, AL132979, AL133315, AL133421, AL138642, AL162875, AL162972, AL162973, AL163817, AL163972, AL353865, AL353992, AL353995, AL353995, AL357612, AL358732, AL358732, ANT70528, AP000383, AP000383, AP000383, AP000383, AP000383, AP000383, AP000383, AP000383, AP000383, AP000383, AP000414, AP000419, AP001298, AP001298, AP001298, AP001298, AP001298, AP001304, AP001304, AP001304, AP001304, AP001304, AP001307, AP001314, AP002033, AP002057, AP002060, c121208_g1_i1_4, c121947_g1_i1_5, c128384_g1_i1_5, c128448_g1_i1_3, c134457_g1_i1_3, c55657_g1_i1_3 , CYP720A1, CYP84A4, EWM30289, KAA8490514, KAA8492888, KAA8494777, KAF6001237, KAG5183231, OCC28276, OSX72062, OSX75164, OSX75165, PXF41140, PXF46519, QJT93736, TDX02322, U93215, KAA8494777_, KAF6001237_, KAG5183231_, OCC28276_, OSX72062_, OSX75164_, OSX75165_, PXF41140_, PXF46519_, QJT93736_, TDX02322_, XP_3074608, XP_5535456, XP_5703131, XP_5703132, Z97337, Z97338, Z97338, Z97338, Z97338, Z97338, Z97338, Z97338, Z97338, Z97338, Z97338, Z97339, Z99707, Z99707, Z99707, Z99707, Z99708</w:t>
      </w:r>
    </w:p>
    <w:p w14:paraId="1D00DCB6" w14:textId="77777777" w:rsidR="004062A7" w:rsidRDefault="004062A7">
      <w:pPr>
        <w:spacing w:line="360" w:lineRule="auto"/>
      </w:pPr>
    </w:p>
    <w:p w14:paraId="451FF10F" w14:textId="77777777" w:rsidR="004062A7" w:rsidRDefault="002F74C7">
      <w:pPr>
        <w:pStyle w:val="Heading4"/>
        <w:spacing w:before="0" w:after="0" w:line="360" w:lineRule="auto"/>
        <w:rPr>
          <w:i w:val="0"/>
        </w:rPr>
      </w:pPr>
      <w:r>
        <w:br w:type="page"/>
      </w:r>
    </w:p>
    <w:p w14:paraId="756FA19A" w14:textId="77777777" w:rsidR="004062A7" w:rsidRDefault="002F74C7">
      <w:pPr>
        <w:pStyle w:val="Heading4"/>
        <w:spacing w:before="0" w:after="0" w:line="360" w:lineRule="auto"/>
      </w:pPr>
      <w:r>
        <w:rPr>
          <w:i w:val="0"/>
        </w:rPr>
        <w:lastRenderedPageBreak/>
        <w:t>Identification of</w:t>
      </w:r>
      <w:r>
        <w:t xml:space="preserve"> </w:t>
      </w:r>
      <w:proofErr w:type="spellStart"/>
      <w:r>
        <w:t>CCoAOMT</w:t>
      </w:r>
      <w:proofErr w:type="spellEnd"/>
      <w:r>
        <w:t xml:space="preserve">          </w:t>
      </w:r>
    </w:p>
    <w:p w14:paraId="56978EAD" w14:textId="77777777" w:rsidR="004062A7" w:rsidRDefault="004062A7">
      <w:pPr>
        <w:spacing w:line="360" w:lineRule="auto"/>
      </w:pPr>
      <w:bookmarkStart w:id="12" w:name="_heading=h.3as4poj" w:colFirst="0" w:colLast="0"/>
      <w:bookmarkEnd w:id="12"/>
    </w:p>
    <w:p w14:paraId="0F4954E6" w14:textId="77777777" w:rsidR="004062A7" w:rsidRDefault="002F74C7">
      <w:pPr>
        <w:spacing w:line="360" w:lineRule="auto"/>
      </w:pPr>
      <w:r>
        <w:t>Caffeoyl CoA O-methyl-transferase (</w:t>
      </w:r>
      <w:proofErr w:type="spellStart"/>
      <w:r>
        <w:t>CCoAOMT</w:t>
      </w:r>
      <w:proofErr w:type="spellEnd"/>
      <w:r>
        <w:t xml:space="preserve">) converts Caffeoyl-CoA into Feruloyl-CoA [10] for one route in G and S lignin subunit production. We identified three transcripts as candidate </w:t>
      </w:r>
      <w:proofErr w:type="spellStart"/>
      <w:r>
        <w:t>CCoAOMT</w:t>
      </w:r>
      <w:proofErr w:type="spellEnd"/>
      <w:r>
        <w:t xml:space="preserve">-encoding sequences: two based on KEGG analysis and one additional sequence based on HMMER searches. A query of these sequences against the </w:t>
      </w:r>
      <w:r>
        <w:rPr>
          <w:i/>
        </w:rPr>
        <w:t>Arabidopsis</w:t>
      </w:r>
      <w:r>
        <w:t xml:space="preserve"> proteome returned </w:t>
      </w:r>
      <w:proofErr w:type="spellStart"/>
      <w:r>
        <w:t>CCoAOMT</w:t>
      </w:r>
      <w:proofErr w:type="spellEnd"/>
      <w:r>
        <w:t xml:space="preserve"> and putative </w:t>
      </w:r>
      <w:proofErr w:type="spellStart"/>
      <w:r>
        <w:t>CCoAOMT</w:t>
      </w:r>
      <w:proofErr w:type="spellEnd"/>
      <w:r>
        <w:t xml:space="preserve"> sequences (Table S2). Sequence conservation at substrate recognition sites [11, 12] are completely conserved at some sites (IS = 100%) and have little to no conservation at other sites (IS &lt;30%) (black triangles Fig S3A). Divalent metal binding sites also appear to be conserved (IS &gt;80%) (grey triangles Fig S3A) with the D203N204 critical for Ca</w:t>
      </w:r>
      <w:r>
        <w:rPr>
          <w:vertAlign w:val="superscript"/>
        </w:rPr>
        <w:t>+2</w:t>
      </w:r>
      <w:r>
        <w:t xml:space="preserve"> coordination. Residues thought to be important for catalytic activity (black square) and electrostatic interactions with the caffeoyl-CoA substrate (grey square) are completely conserved (IS = 100%) (Fig S3A). </w:t>
      </w:r>
    </w:p>
    <w:p w14:paraId="0B4AAB10" w14:textId="77777777" w:rsidR="004062A7" w:rsidRDefault="004062A7">
      <w:pPr>
        <w:spacing w:line="360" w:lineRule="auto"/>
      </w:pPr>
    </w:p>
    <w:p w14:paraId="4A913E6F" w14:textId="77777777" w:rsidR="004062A7" w:rsidRDefault="002F74C7">
      <w:pPr>
        <w:spacing w:line="360" w:lineRule="auto"/>
      </w:pPr>
      <w:r>
        <w:t xml:space="preserve">In </w:t>
      </w:r>
      <w:proofErr w:type="spellStart"/>
      <w:r>
        <w:t>CCoAOMT</w:t>
      </w:r>
      <w:proofErr w:type="spellEnd"/>
      <w:r>
        <w:t xml:space="preserve"> gene tree analysis, the </w:t>
      </w:r>
      <w:r>
        <w:rPr>
          <w:i/>
        </w:rPr>
        <w:t>C. tuberculosum</w:t>
      </w:r>
      <w:r>
        <w:t xml:space="preserve"> sequences group within two general clades (Fig S3B). One sequence is sister to the land plant </w:t>
      </w:r>
      <w:proofErr w:type="spellStart"/>
      <w:r>
        <w:t>CCoAOMT</w:t>
      </w:r>
      <w:proofErr w:type="spellEnd"/>
      <w:r>
        <w:t xml:space="preserve"> clade with low support (BS = 89%) and a likely </w:t>
      </w:r>
      <w:proofErr w:type="spellStart"/>
      <w:r>
        <w:t>CCoAOMT</w:t>
      </w:r>
      <w:proofErr w:type="spellEnd"/>
      <w:r>
        <w:t xml:space="preserve"> candidate. Another two </w:t>
      </w:r>
      <w:r>
        <w:rPr>
          <w:i/>
        </w:rPr>
        <w:t>C. tuberculosum</w:t>
      </w:r>
      <w:r>
        <w:t xml:space="preserve"> sequences are found within the algal OMT group (BS = 90%). The land plant </w:t>
      </w:r>
      <w:proofErr w:type="spellStart"/>
      <w:r>
        <w:t>CCoAOMTs</w:t>
      </w:r>
      <w:proofErr w:type="spellEnd"/>
      <w:r>
        <w:t xml:space="preserve"> are sister to and have a closer relationship with the algal OMT group (BS = 100%) than other plant OMTs such as the </w:t>
      </w:r>
      <w:proofErr w:type="spellStart"/>
      <w:r>
        <w:t>flavanoid</w:t>
      </w:r>
      <w:proofErr w:type="spellEnd"/>
      <w:r>
        <w:t xml:space="preserve"> OMT. This suggests that the ancestor of the algal OMT, including </w:t>
      </w:r>
      <w:r>
        <w:rPr>
          <w:i/>
        </w:rPr>
        <w:t>C. tuberculosum</w:t>
      </w:r>
      <w:r>
        <w:t xml:space="preserve"> sequences, and plant </w:t>
      </w:r>
      <w:proofErr w:type="spellStart"/>
      <w:r>
        <w:t>CCoAOMT</w:t>
      </w:r>
      <w:proofErr w:type="spellEnd"/>
      <w:r>
        <w:t xml:space="preserve"> sequences may have emerged prior to the divergence of these lineages. </w:t>
      </w:r>
    </w:p>
    <w:p w14:paraId="4114F5F3" w14:textId="77777777" w:rsidR="004062A7" w:rsidRDefault="004062A7">
      <w:pPr>
        <w:spacing w:line="360" w:lineRule="auto"/>
      </w:pPr>
    </w:p>
    <w:p w14:paraId="14D53424" w14:textId="77777777" w:rsidR="004062A7" w:rsidRDefault="004062A7" w:rsidP="004903BB">
      <w:pPr>
        <w:pBdr>
          <w:top w:val="nil"/>
          <w:left w:val="nil"/>
          <w:bottom w:val="nil"/>
          <w:right w:val="nil"/>
          <w:between w:val="nil"/>
        </w:pBdr>
        <w:spacing w:line="360" w:lineRule="auto"/>
      </w:pPr>
      <w:bookmarkStart w:id="13" w:name="_heading=h.1fob9te" w:colFirst="0" w:colLast="0"/>
      <w:bookmarkEnd w:id="13"/>
    </w:p>
    <w:p w14:paraId="6D7D219C" w14:textId="77777777" w:rsidR="00CB1ECA" w:rsidRDefault="00CB1ECA">
      <w:pPr>
        <w:spacing w:line="360" w:lineRule="auto"/>
      </w:pPr>
    </w:p>
    <w:p w14:paraId="69B604A5" w14:textId="77777777" w:rsidR="00CB1ECA" w:rsidRDefault="00CB1ECA">
      <w:pPr>
        <w:spacing w:line="360" w:lineRule="auto"/>
      </w:pPr>
    </w:p>
    <w:p w14:paraId="023EA896" w14:textId="77777777" w:rsidR="00CB1ECA" w:rsidRDefault="00CB1ECA">
      <w:pPr>
        <w:spacing w:line="360" w:lineRule="auto"/>
      </w:pPr>
    </w:p>
    <w:p w14:paraId="0782E70A" w14:textId="77777777" w:rsidR="00CB1ECA" w:rsidRDefault="00CB1ECA">
      <w:pPr>
        <w:spacing w:line="360" w:lineRule="auto"/>
      </w:pPr>
    </w:p>
    <w:p w14:paraId="0C5517DF" w14:textId="77777777" w:rsidR="00CB1ECA" w:rsidRDefault="00CB1ECA">
      <w:pPr>
        <w:spacing w:line="360" w:lineRule="auto"/>
      </w:pPr>
    </w:p>
    <w:p w14:paraId="5E1C0EAB" w14:textId="77777777" w:rsidR="00CB1ECA" w:rsidRDefault="00CB1ECA">
      <w:pPr>
        <w:spacing w:line="360" w:lineRule="auto"/>
      </w:pPr>
    </w:p>
    <w:p w14:paraId="63BE0D74" w14:textId="77777777" w:rsidR="00CB1ECA" w:rsidRDefault="00CB1ECA">
      <w:pPr>
        <w:spacing w:line="360" w:lineRule="auto"/>
      </w:pPr>
    </w:p>
    <w:p w14:paraId="4D7364B9" w14:textId="3C7FC6C0" w:rsidR="000B7B56" w:rsidRDefault="000B7B56">
      <w:pPr>
        <w:spacing w:line="360" w:lineRule="auto"/>
      </w:pPr>
      <w:r w:rsidRPr="004903BB">
        <w:rPr>
          <w:b/>
          <w:bCs/>
        </w:rPr>
        <w:lastRenderedPageBreak/>
        <w:t xml:space="preserve">Accession numbers for </w:t>
      </w:r>
      <w:proofErr w:type="spellStart"/>
      <w:r w:rsidRPr="004903BB">
        <w:rPr>
          <w:b/>
          <w:bCs/>
          <w:i/>
          <w:iCs/>
        </w:rPr>
        <w:t>CCoAOMT</w:t>
      </w:r>
      <w:proofErr w:type="spellEnd"/>
      <w:r w:rsidRPr="004903BB">
        <w:rPr>
          <w:b/>
          <w:bCs/>
        </w:rPr>
        <w:t xml:space="preserve"> </w:t>
      </w:r>
      <w:r>
        <w:rPr>
          <w:b/>
          <w:bCs/>
        </w:rPr>
        <w:t>a</w:t>
      </w:r>
      <w:r w:rsidRPr="004903BB">
        <w:rPr>
          <w:b/>
          <w:bCs/>
        </w:rPr>
        <w:t>nalysis (Fig S3)</w:t>
      </w:r>
    </w:p>
    <w:p w14:paraId="3543B1B7" w14:textId="77777777" w:rsidR="000B7B56" w:rsidRPr="004903BB" w:rsidRDefault="000B7B56">
      <w:pPr>
        <w:spacing w:line="360" w:lineRule="auto"/>
        <w:rPr>
          <w:b/>
          <w:bCs/>
        </w:rPr>
      </w:pPr>
    </w:p>
    <w:p w14:paraId="30593663" w14:textId="4E5EB3F6" w:rsidR="004062A7" w:rsidRDefault="002F74C7">
      <w:pPr>
        <w:spacing w:line="360" w:lineRule="auto"/>
      </w:pPr>
      <w:r>
        <w:t xml:space="preserve">Fig S3A: </w:t>
      </w:r>
    </w:p>
    <w:p w14:paraId="69883FCA" w14:textId="77777777" w:rsidR="004062A7" w:rsidRDefault="002F74C7">
      <w:pPr>
        <w:spacing w:line="360" w:lineRule="auto"/>
        <w:rPr>
          <w:highlight w:val="white"/>
        </w:rPr>
      </w:pPr>
      <w:r>
        <w:rPr>
          <w:highlight w:val="white"/>
        </w:rPr>
        <w:t xml:space="preserve">Q40313 </w:t>
      </w:r>
      <w:r>
        <w:rPr>
          <w:i/>
          <w:highlight w:val="white"/>
        </w:rPr>
        <w:t xml:space="preserve">Medicago sativa </w:t>
      </w:r>
      <w:proofErr w:type="spellStart"/>
      <w:r>
        <w:rPr>
          <w:highlight w:val="white"/>
        </w:rPr>
        <w:t>MsCCOAOMT</w:t>
      </w:r>
      <w:proofErr w:type="spellEnd"/>
      <w:r>
        <w:rPr>
          <w:highlight w:val="white"/>
        </w:rPr>
        <w:t xml:space="preserve">, Q43237 </w:t>
      </w:r>
      <w:r>
        <w:rPr>
          <w:i/>
          <w:highlight w:val="white"/>
        </w:rPr>
        <w:t>Vitis vinifera</w:t>
      </w:r>
      <w:r>
        <w:rPr>
          <w:highlight w:val="white"/>
        </w:rPr>
        <w:t xml:space="preserve"> </w:t>
      </w:r>
      <w:proofErr w:type="spellStart"/>
      <w:r>
        <w:rPr>
          <w:highlight w:val="white"/>
        </w:rPr>
        <w:t>VvCCOAOMT</w:t>
      </w:r>
      <w:proofErr w:type="spellEnd"/>
      <w:r>
        <w:rPr>
          <w:highlight w:val="white"/>
        </w:rPr>
        <w:t xml:space="preserve">, O65862 </w:t>
      </w:r>
      <w:r>
        <w:rPr>
          <w:i/>
          <w:highlight w:val="white"/>
        </w:rPr>
        <w:t xml:space="preserve">Populus </w:t>
      </w:r>
      <w:proofErr w:type="spellStart"/>
      <w:r>
        <w:rPr>
          <w:i/>
          <w:highlight w:val="white"/>
        </w:rPr>
        <w:t>trichocarpa</w:t>
      </w:r>
      <w:proofErr w:type="spellEnd"/>
      <w:r>
        <w:rPr>
          <w:i/>
          <w:highlight w:val="white"/>
        </w:rPr>
        <w:t xml:space="preserve"> </w:t>
      </w:r>
      <w:r>
        <w:rPr>
          <w:highlight w:val="white"/>
        </w:rPr>
        <w:t xml:space="preserve">PtCCoAOMT1, P28034 </w:t>
      </w:r>
      <w:r>
        <w:rPr>
          <w:i/>
          <w:highlight w:val="white"/>
        </w:rPr>
        <w:t xml:space="preserve">Petroselinum </w:t>
      </w:r>
      <w:proofErr w:type="spellStart"/>
      <w:r>
        <w:rPr>
          <w:i/>
          <w:highlight w:val="white"/>
        </w:rPr>
        <w:t>crispum</w:t>
      </w:r>
      <w:proofErr w:type="spellEnd"/>
      <w:r>
        <w:rPr>
          <w:highlight w:val="white"/>
        </w:rPr>
        <w:t xml:space="preserve"> </w:t>
      </w:r>
      <w:proofErr w:type="spellStart"/>
      <w:r>
        <w:rPr>
          <w:highlight w:val="white"/>
        </w:rPr>
        <w:t>PtCCoAOMT</w:t>
      </w:r>
      <w:proofErr w:type="spellEnd"/>
      <w:r>
        <w:rPr>
          <w:highlight w:val="white"/>
        </w:rPr>
        <w:t xml:space="preserve">, Q9ZTT5 </w:t>
      </w:r>
      <w:r>
        <w:rPr>
          <w:i/>
          <w:highlight w:val="white"/>
        </w:rPr>
        <w:t xml:space="preserve">Pinus </w:t>
      </w:r>
      <w:proofErr w:type="spellStart"/>
      <w:r>
        <w:rPr>
          <w:i/>
          <w:highlight w:val="white"/>
        </w:rPr>
        <w:t>taeda</w:t>
      </w:r>
      <w:proofErr w:type="spellEnd"/>
      <w:r>
        <w:rPr>
          <w:i/>
          <w:highlight w:val="white"/>
        </w:rPr>
        <w:t xml:space="preserve"> </w:t>
      </w:r>
      <w:proofErr w:type="spellStart"/>
      <w:r>
        <w:rPr>
          <w:highlight w:val="white"/>
        </w:rPr>
        <w:t>PtCCoAOMT</w:t>
      </w:r>
      <w:proofErr w:type="spellEnd"/>
      <w:r>
        <w:rPr>
          <w:highlight w:val="white"/>
        </w:rPr>
        <w:t xml:space="preserve">, O24144 </w:t>
      </w:r>
      <w:r>
        <w:rPr>
          <w:i/>
          <w:highlight w:val="white"/>
        </w:rPr>
        <w:t>Nicotiana tabacum</w:t>
      </w:r>
      <w:r>
        <w:rPr>
          <w:highlight w:val="white"/>
        </w:rPr>
        <w:t xml:space="preserve"> </w:t>
      </w:r>
      <w:proofErr w:type="spellStart"/>
      <w:r>
        <w:rPr>
          <w:highlight w:val="white"/>
        </w:rPr>
        <w:t>NtCCoAOMT</w:t>
      </w:r>
      <w:proofErr w:type="spellEnd"/>
      <w:r>
        <w:rPr>
          <w:highlight w:val="white"/>
        </w:rPr>
        <w:t xml:space="preserve">, Q41720 </w:t>
      </w:r>
      <w:r>
        <w:rPr>
          <w:i/>
          <w:highlight w:val="white"/>
        </w:rPr>
        <w:t xml:space="preserve">Zinnia </w:t>
      </w:r>
      <w:proofErr w:type="spellStart"/>
      <w:r>
        <w:rPr>
          <w:i/>
          <w:highlight w:val="white"/>
        </w:rPr>
        <w:t>violacea</w:t>
      </w:r>
      <w:proofErr w:type="spellEnd"/>
      <w:r>
        <w:rPr>
          <w:highlight w:val="white"/>
        </w:rPr>
        <w:t xml:space="preserve"> </w:t>
      </w:r>
      <w:proofErr w:type="spellStart"/>
      <w:r>
        <w:rPr>
          <w:highlight w:val="white"/>
        </w:rPr>
        <w:t>ZvCCoAOMT</w:t>
      </w:r>
      <w:proofErr w:type="spellEnd"/>
      <w:r>
        <w:rPr>
          <w:highlight w:val="white"/>
        </w:rPr>
        <w:t xml:space="preserve">, Q43161 </w:t>
      </w:r>
      <w:r>
        <w:rPr>
          <w:i/>
          <w:highlight w:val="white"/>
        </w:rPr>
        <w:t xml:space="preserve">Stellaria </w:t>
      </w:r>
      <w:proofErr w:type="spellStart"/>
      <w:r>
        <w:rPr>
          <w:i/>
          <w:highlight w:val="white"/>
        </w:rPr>
        <w:t>longipes</w:t>
      </w:r>
      <w:proofErr w:type="spellEnd"/>
      <w:r>
        <w:rPr>
          <w:highlight w:val="white"/>
        </w:rPr>
        <w:t xml:space="preserve"> </w:t>
      </w:r>
      <w:proofErr w:type="spellStart"/>
      <w:r>
        <w:rPr>
          <w:highlight w:val="white"/>
        </w:rPr>
        <w:t>SlCCoAOMT</w:t>
      </w:r>
      <w:proofErr w:type="spellEnd"/>
      <w:r>
        <w:rPr>
          <w:highlight w:val="white"/>
        </w:rPr>
        <w:t xml:space="preserve">, Q6YI95 </w:t>
      </w:r>
      <w:r>
        <w:rPr>
          <w:i/>
          <w:highlight w:val="white"/>
        </w:rPr>
        <w:t xml:space="preserve">Mesembryanthemum crystallinum </w:t>
      </w:r>
      <w:proofErr w:type="spellStart"/>
      <w:r>
        <w:rPr>
          <w:highlight w:val="white"/>
        </w:rPr>
        <w:t>McCCoAOMT</w:t>
      </w:r>
      <w:proofErr w:type="spellEnd"/>
      <w:r>
        <w:rPr>
          <w:highlight w:val="white"/>
        </w:rPr>
        <w:t>.</w:t>
      </w:r>
    </w:p>
    <w:p w14:paraId="2B0421B1" w14:textId="77777777" w:rsidR="004062A7" w:rsidRDefault="004062A7">
      <w:pPr>
        <w:spacing w:line="360" w:lineRule="auto"/>
        <w:rPr>
          <w:highlight w:val="white"/>
        </w:rPr>
      </w:pPr>
    </w:p>
    <w:p w14:paraId="588D6010" w14:textId="77777777" w:rsidR="004062A7" w:rsidRDefault="002F74C7">
      <w:pPr>
        <w:spacing w:line="360" w:lineRule="auto"/>
        <w:rPr>
          <w:highlight w:val="white"/>
        </w:rPr>
      </w:pPr>
      <w:r>
        <w:rPr>
          <w:highlight w:val="white"/>
        </w:rPr>
        <w:t>Fig S3B:</w:t>
      </w:r>
    </w:p>
    <w:p w14:paraId="42AB1AB5" w14:textId="77777777" w:rsidR="004062A7" w:rsidRDefault="002F74C7">
      <w:pPr>
        <w:spacing w:line="360" w:lineRule="auto"/>
      </w:pPr>
      <w:r>
        <w:t>ALX18653, ABF61767, c140748_g1_i1_5, c142188_g1_i1_2, c147617_g1_i1_1, CEM30980, EJK69238, EWM25750, GAX12418, GAX24973, KAA8497666, O04385, O22381, O24144, O24305, O24529, O65862, OSX70340, P28002, P28034, P45986, P93324, PXF42168, PXF46781, PXF47808, Q00763, Q06509, Q38J50, Q39522, Q40313, Q41720, Q42653, Q42654, Q42949, Q43096, Q43161, Q43237, Q43239, Q43771, Q6L8K4, Q6T1F5, Q6T1F6, Q6VMV8, Q6VMV9, Q6VMW0, Q6VMW1, Q6VMW2, Q6WUC1, Q6WUC2, Q6YI95, Q84KK4, Q84KK5, Q84KK6, Q84XW5, Q8GSN1, Q8H9A8, Q8L5K7, Q8L5K8, Q8W013, Q93WU2, Q93WU3, Q96565, Q9AR07, Q9FK25, Q9FYZ9, Q9LEL5, Q9LEL6, Q9SPV4, Q9SWR0, Q9SYR8, Q9SYR9, Q9XE90, Q9XE91, Q9ZTT5, TFJ85214, TRY76935, VEU41255, XP_001632538, XP_002185078, XP_005712596, XP_005712784, XP_005715311, XP_005718383, XP_020912350, XP_029206255, XP_031553077, XP_031553078</w:t>
      </w:r>
    </w:p>
    <w:p w14:paraId="392C63E0" w14:textId="77777777" w:rsidR="004062A7" w:rsidRDefault="004062A7">
      <w:pPr>
        <w:pBdr>
          <w:top w:val="nil"/>
          <w:left w:val="nil"/>
          <w:bottom w:val="nil"/>
          <w:right w:val="nil"/>
          <w:between w:val="nil"/>
        </w:pBdr>
        <w:spacing w:line="360" w:lineRule="auto"/>
        <w:rPr>
          <w:b/>
          <w:color w:val="000000"/>
        </w:rPr>
      </w:pPr>
      <w:bookmarkStart w:id="14" w:name="_heading=h.1pxezwc" w:colFirst="0" w:colLast="0"/>
      <w:bookmarkEnd w:id="14"/>
    </w:p>
    <w:p w14:paraId="77006535" w14:textId="77777777" w:rsidR="004062A7" w:rsidRDefault="002F74C7">
      <w:pPr>
        <w:pStyle w:val="Heading4"/>
        <w:spacing w:before="0" w:after="0" w:line="360" w:lineRule="auto"/>
        <w:rPr>
          <w:i w:val="0"/>
        </w:rPr>
      </w:pPr>
      <w:r>
        <w:br w:type="page"/>
      </w:r>
    </w:p>
    <w:p w14:paraId="6537A47A" w14:textId="77777777" w:rsidR="004062A7" w:rsidRDefault="002F74C7">
      <w:pPr>
        <w:pStyle w:val="Heading4"/>
        <w:spacing w:before="0" w:after="0" w:line="360" w:lineRule="auto"/>
        <w:rPr>
          <w:i w:val="0"/>
        </w:rPr>
      </w:pPr>
      <w:r>
        <w:rPr>
          <w:i w:val="0"/>
          <w:color w:val="000000"/>
        </w:rPr>
        <w:lastRenderedPageBreak/>
        <w:t xml:space="preserve">Identification of </w:t>
      </w:r>
      <w:r>
        <w:t xml:space="preserve">CSE           </w:t>
      </w:r>
    </w:p>
    <w:p w14:paraId="22ADD0D6" w14:textId="77777777" w:rsidR="004062A7" w:rsidRDefault="004062A7">
      <w:pPr>
        <w:spacing w:line="360" w:lineRule="auto"/>
      </w:pPr>
    </w:p>
    <w:p w14:paraId="01316688" w14:textId="77777777" w:rsidR="004062A7" w:rsidRDefault="002F74C7">
      <w:pPr>
        <w:spacing w:line="360" w:lineRule="auto"/>
      </w:pPr>
      <w:r>
        <w:t xml:space="preserve">Caffeoyl shikimate esterase (CSE) removes the shikimate decoration and converts caffeoyl shikimate into caffeic acid, shifting monolignol production towards G and S lignin subunits [14, 15]. We identified eight transcripts as candidate CSE-encoding transcripts based on HMMER searches, but the KEGG analysis did not identify any CSE candidates. A query of these sequences against the </w:t>
      </w:r>
      <w:r>
        <w:rPr>
          <w:i/>
        </w:rPr>
        <w:t>Arabidopsis</w:t>
      </w:r>
      <w:r>
        <w:t xml:space="preserve"> proteome returned CSE and other proteins within the α/β</w:t>
      </w:r>
      <w:r>
        <w:rPr>
          <w:rFonts w:ascii="Cutive" w:eastAsia="Cutive" w:hAnsi="Cutive" w:cs="Cutive"/>
        </w:rPr>
        <w:t>‐</w:t>
      </w:r>
      <w:r>
        <w:t xml:space="preserve">hydrolase superfamily that CSE belongs to (Table S2). The </w:t>
      </w:r>
      <w:r>
        <w:rPr>
          <w:i/>
        </w:rPr>
        <w:t xml:space="preserve">C. tuberculosum </w:t>
      </w:r>
      <w:r>
        <w:t xml:space="preserve">sequences have large insertions in domains such as the first GXSXG conserved motif (Fig S4A). </w:t>
      </w:r>
    </w:p>
    <w:p w14:paraId="5F371924" w14:textId="77777777" w:rsidR="004062A7" w:rsidRDefault="004062A7">
      <w:pPr>
        <w:spacing w:line="360" w:lineRule="auto"/>
      </w:pPr>
    </w:p>
    <w:p w14:paraId="5FCC5A96" w14:textId="77777777" w:rsidR="004062A7" w:rsidRDefault="002F74C7">
      <w:pPr>
        <w:spacing w:line="360" w:lineRule="auto"/>
      </w:pPr>
      <w:r>
        <w:t xml:space="preserve">In gene tree analysis of the </w:t>
      </w:r>
      <w:r>
        <w:rPr>
          <w:i/>
        </w:rPr>
        <w:t xml:space="preserve">C. tuberculosum </w:t>
      </w:r>
      <w:r>
        <w:t xml:space="preserve">sequences and sequences from </w:t>
      </w:r>
      <w:r>
        <w:rPr>
          <w:i/>
        </w:rPr>
        <w:t xml:space="preserve">A. thaliana, </w:t>
      </w:r>
      <w:r>
        <w:t>the α/β</w:t>
      </w:r>
      <w:r>
        <w:rPr>
          <w:rFonts w:ascii="Cutive" w:eastAsia="Cutive" w:hAnsi="Cutive" w:cs="Cutive"/>
        </w:rPr>
        <w:t>‐</w:t>
      </w:r>
      <w:r>
        <w:t xml:space="preserve">hydrolase superfamily, to which CSE belongs, two </w:t>
      </w:r>
      <w:r>
        <w:rPr>
          <w:i/>
        </w:rPr>
        <w:t xml:space="preserve">C. tuberculosum </w:t>
      </w:r>
      <w:r>
        <w:t xml:space="preserve">sequences group with other red algal sequences and the </w:t>
      </w:r>
      <w:r>
        <w:rPr>
          <w:i/>
        </w:rPr>
        <w:t xml:space="preserve">A. thaliana </w:t>
      </w:r>
      <w:r>
        <w:t xml:space="preserve">monoacylglycerol lipase (MAGL) clade with low support (BS = 80; Fig S4B). These two identified </w:t>
      </w:r>
      <w:r>
        <w:rPr>
          <w:i/>
        </w:rPr>
        <w:t xml:space="preserve">C. tuberculosum </w:t>
      </w:r>
      <w:r>
        <w:t xml:space="preserve">sequences are our best CSE homolog candidates, as CSE belongs to the MAGL subfamily (Fig S4B). Additional </w:t>
      </w:r>
      <w:r>
        <w:rPr>
          <w:i/>
        </w:rPr>
        <w:t>C. tuberculosum</w:t>
      </w:r>
      <w:r>
        <w:t xml:space="preserve"> sequences are found throughout the tree with very low support in the backbone, preventing functional predictions of these candidates. </w:t>
      </w:r>
    </w:p>
    <w:p w14:paraId="3DBC0FFF" w14:textId="77777777" w:rsidR="004062A7" w:rsidRDefault="004062A7">
      <w:pPr>
        <w:spacing w:line="360" w:lineRule="auto"/>
      </w:pPr>
    </w:p>
    <w:p w14:paraId="72BE8BDD" w14:textId="77777777" w:rsidR="004062A7" w:rsidRDefault="002F74C7">
      <w:pPr>
        <w:pBdr>
          <w:top w:val="nil"/>
          <w:left w:val="nil"/>
          <w:bottom w:val="nil"/>
          <w:right w:val="nil"/>
          <w:between w:val="nil"/>
        </w:pBdr>
        <w:spacing w:line="360" w:lineRule="auto"/>
        <w:rPr>
          <w:b/>
        </w:rPr>
      </w:pPr>
      <w:bookmarkStart w:id="15" w:name="_heading=h.3j2qqm3" w:colFirst="0" w:colLast="0"/>
      <w:bookmarkEnd w:id="15"/>
      <w:r>
        <w:br w:type="page"/>
      </w:r>
    </w:p>
    <w:p w14:paraId="01582EC3" w14:textId="39CEB11C" w:rsidR="000B7B56" w:rsidRDefault="000B7B56">
      <w:pPr>
        <w:spacing w:line="360" w:lineRule="auto"/>
        <w:rPr>
          <w:b/>
          <w:bCs/>
        </w:rPr>
      </w:pPr>
      <w:bookmarkStart w:id="16" w:name="_heading=h.zaq8aczfplam" w:colFirst="0" w:colLast="0"/>
      <w:bookmarkStart w:id="17" w:name="_heading=h.3znysh7" w:colFirst="0" w:colLast="0"/>
      <w:bookmarkEnd w:id="16"/>
      <w:bookmarkEnd w:id="17"/>
      <w:r w:rsidRPr="00F31C36">
        <w:rPr>
          <w:b/>
          <w:bCs/>
        </w:rPr>
        <w:lastRenderedPageBreak/>
        <w:t xml:space="preserve">Accession numbers for </w:t>
      </w:r>
      <w:r>
        <w:rPr>
          <w:b/>
          <w:bCs/>
          <w:i/>
          <w:iCs/>
        </w:rPr>
        <w:t>CSE</w:t>
      </w:r>
      <w:r w:rsidRPr="00F31C36">
        <w:rPr>
          <w:b/>
          <w:bCs/>
        </w:rPr>
        <w:t xml:space="preserve"> </w:t>
      </w:r>
      <w:r>
        <w:rPr>
          <w:b/>
          <w:bCs/>
        </w:rPr>
        <w:t>a</w:t>
      </w:r>
      <w:r w:rsidRPr="00F31C36">
        <w:rPr>
          <w:b/>
          <w:bCs/>
        </w:rPr>
        <w:t>nalysis (Fig S</w:t>
      </w:r>
      <w:r>
        <w:rPr>
          <w:b/>
          <w:bCs/>
        </w:rPr>
        <w:t>4</w:t>
      </w:r>
      <w:r w:rsidRPr="00F31C36">
        <w:rPr>
          <w:b/>
          <w:bCs/>
        </w:rPr>
        <w:t>)</w:t>
      </w:r>
    </w:p>
    <w:p w14:paraId="0C0A4B5A" w14:textId="77777777" w:rsidR="000B7B56" w:rsidRDefault="000B7B56">
      <w:pPr>
        <w:spacing w:line="360" w:lineRule="auto"/>
      </w:pPr>
    </w:p>
    <w:p w14:paraId="17FB9F12" w14:textId="55F6F52C" w:rsidR="004062A7" w:rsidRDefault="002F74C7">
      <w:pPr>
        <w:spacing w:line="360" w:lineRule="auto"/>
      </w:pPr>
      <w:r>
        <w:t xml:space="preserve">Fig S4A:      </w:t>
      </w:r>
    </w:p>
    <w:p w14:paraId="2B123382" w14:textId="77777777" w:rsidR="004062A7" w:rsidRDefault="002F74C7">
      <w:pPr>
        <w:spacing w:line="360" w:lineRule="auto"/>
      </w:pPr>
      <w:r>
        <w:t xml:space="preserve">XP_002298118.1 Populus </w:t>
      </w:r>
      <w:proofErr w:type="spellStart"/>
      <w:r>
        <w:t>trichocarpa</w:t>
      </w:r>
      <w:proofErr w:type="spellEnd"/>
      <w:r>
        <w:t xml:space="preserve">, AAP42742.1 Arabidopsis thaliana, c134094_g1_i1_1, c77395_g1_i2_6, c77395_g1_i1_6, c46429_g1_i1_3, c141919_g1_i1_2, c139612_g1_i1_2, c141828_g1_i2_1, c141828_g1_i3_3 </w:t>
      </w:r>
    </w:p>
    <w:p w14:paraId="744EBE04" w14:textId="77777777" w:rsidR="004062A7" w:rsidRDefault="004062A7">
      <w:pPr>
        <w:spacing w:line="360" w:lineRule="auto"/>
      </w:pPr>
    </w:p>
    <w:p w14:paraId="0BDC9DB6" w14:textId="77777777" w:rsidR="004062A7" w:rsidRDefault="002F74C7">
      <w:pPr>
        <w:spacing w:line="360" w:lineRule="auto"/>
      </w:pPr>
      <w:r>
        <w:t xml:space="preserve">Fig S4B: </w:t>
      </w:r>
    </w:p>
    <w:p w14:paraId="299B0524" w14:textId="77777777" w:rsidR="004062A7" w:rsidRDefault="002F74C7">
      <w:pPr>
        <w:spacing w:line="360" w:lineRule="auto"/>
      </w:pPr>
      <w:r>
        <w:t xml:space="preserve">AB00639, AT1G11090, AT1G18360, AT1G52760, AT1G73480, AT1G77420, AT2G39400, AT2G39410, AT2G39420, AT2G47630, AT3G55180, AT3G55190, AT3G62860, AT5G11650, AT5G14980, AT5G16120, AT5G19290, c134094_g1_i1_1, c139612_g1_i1_2, c141828_g1_i2_1, c141828_g1_i3_3, c141919_g1_i1_2, c46429_g1_i1_3, c77395_g1_i1_6, c77395_g1_i2_6, CBJ28544, CBJ28545, CDW72798, EOY26593, F4HXL0, F4I0K9, F4IE65, F4IMK2, F4IMK4, F4JFU8, F4JRA6, GAQ79936, GBG27369, HGX14611, KAA8491713, KAA8495708, KAA8528800, KAF6003208, KAG2495972, KAG2500907, KAG2692888, KXZ48785, KXZ55885, KYR00280, MAY36621, MBC13192, MBN2296663, MBN2580056, MBO9367125, MBQ0758220, NEQ98214, NLB71918, O04084, O22527, O22975, O22977, O23171, O23364, O23512, O23522, O49523, O64640, O64641, O64810, O64811, O80472, O80474, O80475, O80476, O80477, O81009, O82229, O82274, OFW63598, OSX75617, P32826, P93732, PXF40937, PXF43372, PXF43429, PXF43616, PXF46973, PXF47053, Q0WPR4, Q0WRX3, Q15KI9, Q1PET6, Q1PF08, Q1PF50, Q2V465, Q3EBR6, Q4F883, Q4PSY2, Q4VCM1, Q56WF8, Q67Y83, Q67ZU1, Q680C0, Q6DBP4, Q700D5, Q71DJ5, Q71N54, Q7Y220, Q84LM4, Q84W27, Q84WF0, Q84WK4, Q8GYK2, Q8H780, Q8L7B2, Q8L9Y0, Q8LAS8, Q8LED9, Q8LFX7, Q8RUW5, Q8RWJ6, Q8RXP6, Q8S8K6, Q8S8P0, Q8S8S9, Q8S9K8, Q8VY01, Q8VYP9, Q8VZF3, Q8VZU3, Q8W5R2, Q93V61, Q93Y09, Q940G6, Q940H7, Q940L4, Q941F1, Q948R1, Q949Q7, Q94AC1, Q94AS5, Q9ASU8, Q9C7D2, Q9C7D3, Q9C7D4, Q9C7D6, Q9C7Z9, Q9C8J6, Q9CAU0, Q9CAU1, Q9CAU2, Q9CAU3, Q9CAU4, Q9FFB0, Q9FFB2, Q9FFZ1, Q9FG13, Q9FH05, Q9FH06, Q9FJ24, Q9FJT7, Q9FN79, Q9FNA9, Q9FVW3, Q9FW03, Q9FX92, Q9FX93, Q9FX94, Q9FYC7, Q9FZ33, Q9FZI8, Q9LEY1, Q9LFR7, Q9LFT6, Q9LK21, Q9LMA7, Q9LNC2, Q9LSM9, Q9LSV8, Q9LT10, Q9LVB8, Q9LVL9, Q9LW26, Q9LXY6, Q9LYC1, Q9M099, Q9M7I7, </w:t>
      </w:r>
      <w:r>
        <w:lastRenderedPageBreak/>
        <w:t>Q9M9Q6, Q9MA46, Q9MAA7, Q9MAR8, Q9S745, Q9SFB5, Q9SG92, Q9SIN9, Q9SJI7, Q9SMM9, Q9SMN0, Q9SQR3, Q9SQX6, Q9SR22, Q9SR23, Q9SU71, Q9SU72, Q9SV02, Q9SV04, Q9SX25, Q9SX78, Q9SZU7, Q9XF23, Q9ZQ91, Q9ZQQ0, Q9ZUG3, Q9ZUN1, Q9ZVN2, RPH51899, WP_113953187, WP_118956249, WP_118981493, WP_135574293, WP_135684980, WP_135778549, WP_147167049, WP_68335717, WP_84122819, WP_84406699, WP_98075253, XP_12750889, XP_1701466, XP_17603429, XP_18838334, XP_20435393, XP_21678655, XP_2298118, XP_26193674, XP_30950868, XP_34901907, XP_3610038, XP_5538874, XP_5705377, XP_5712425, XP_5714234, XP_5714441, XP_5717076, XP_644406,</w:t>
      </w:r>
    </w:p>
    <w:p w14:paraId="3B210E7E" w14:textId="77777777" w:rsidR="004062A7" w:rsidRDefault="004062A7">
      <w:pPr>
        <w:spacing w:line="360" w:lineRule="auto"/>
      </w:pPr>
    </w:p>
    <w:p w14:paraId="30AF9E5C" w14:textId="0A84B88D" w:rsidR="004062A7" w:rsidRDefault="002F74C7" w:rsidP="004903BB">
      <w:pPr>
        <w:pBdr>
          <w:top w:val="nil"/>
          <w:left w:val="nil"/>
          <w:bottom w:val="nil"/>
          <w:right w:val="nil"/>
          <w:between w:val="nil"/>
        </w:pBdr>
        <w:spacing w:line="360" w:lineRule="auto"/>
      </w:pPr>
      <w:bookmarkStart w:id="18" w:name="_heading=h.4i7ojhp" w:colFirst="0" w:colLast="0"/>
      <w:bookmarkEnd w:id="18"/>
      <w:r>
        <w:br w:type="page"/>
      </w:r>
      <w:bookmarkStart w:id="19" w:name="_heading=h.86ft685rku2j" w:colFirst="0" w:colLast="0"/>
      <w:bookmarkStart w:id="20" w:name="_heading=h.tyjcwt" w:colFirst="0" w:colLast="0"/>
      <w:bookmarkEnd w:id="19"/>
      <w:bookmarkEnd w:id="20"/>
    </w:p>
    <w:p w14:paraId="2A684D8F" w14:textId="77777777" w:rsidR="004062A7" w:rsidRDefault="002F74C7">
      <w:pPr>
        <w:spacing w:line="360" w:lineRule="auto"/>
        <w:rPr>
          <w:b/>
          <w:i/>
        </w:rPr>
      </w:pPr>
      <w:r>
        <w:rPr>
          <w:b/>
        </w:rPr>
        <w:lastRenderedPageBreak/>
        <w:t xml:space="preserve">Benefits and limitations of extracting KEGG metabolic pathways </w:t>
      </w:r>
    </w:p>
    <w:p w14:paraId="7E742A15" w14:textId="77777777" w:rsidR="004062A7" w:rsidRDefault="004062A7">
      <w:pPr>
        <w:spacing w:line="360" w:lineRule="auto"/>
        <w:rPr>
          <w:b/>
          <w:i/>
        </w:rPr>
      </w:pPr>
    </w:p>
    <w:p w14:paraId="497F5E3D" w14:textId="42359204" w:rsidR="004062A7" w:rsidRDefault="002F74C7">
      <w:pPr>
        <w:spacing w:line="360" w:lineRule="auto"/>
      </w:pPr>
      <w:r>
        <w:t xml:space="preserve">We identified gene candidates involved in starch and sucrose metabolism by comparing their recovery against the established KEGG metabolic pathway (Fig S5, Table S3). The benefit of this graphic method is that users can get a broad overview and then extract genes present in </w:t>
      </w:r>
      <w:r>
        <w:rPr>
          <w:i/>
        </w:rPr>
        <w:t xml:space="preserve">C. tuberculosum </w:t>
      </w:r>
      <w:r>
        <w:t xml:space="preserve">(Fig S5, Table S3, Table S4). At a glance, several genes in this pathway are involved in the production of glucose-based polymers, likely including </w:t>
      </w:r>
      <w:proofErr w:type="spellStart"/>
      <w:r>
        <w:t>Floridean</w:t>
      </w:r>
      <w:proofErr w:type="spellEnd"/>
      <w:r>
        <w:t xml:space="preserve"> starch, and can be identified for further sequence characterization or experimental follow up. However, KEGG annotations are based on a limited number of datasets composed predominantly from model-organism. Therefore, the utility of KEGG annotations for gene discovery in non-model organisms such as </w:t>
      </w:r>
      <w:r>
        <w:rPr>
          <w:i/>
        </w:rPr>
        <w:t>C. tuberculosum</w:t>
      </w:r>
      <w:r>
        <w:t xml:space="preserve"> is limited. Algal specific genes not present in the starch and sucrose metabolic pathways would require manual identification and verification. This could be achieved by creating algal gene specific hidden Markov models constructed based on alignment of conserved sequences or search using BLAST against the transcriptome. For this reason, the methods described here are best utilized as a first pass screening to identify sequences of interest from established a priori metabolic pathways. </w:t>
      </w:r>
    </w:p>
    <w:p w14:paraId="1C2F872F" w14:textId="7927A0D4" w:rsidR="007133CC" w:rsidRDefault="007133CC">
      <w:pPr>
        <w:spacing w:line="360" w:lineRule="auto"/>
      </w:pPr>
    </w:p>
    <w:p w14:paraId="17AED4F1" w14:textId="77777777" w:rsidR="007133CC" w:rsidRDefault="007133CC" w:rsidP="007133CC"/>
    <w:p w14:paraId="13306CDB" w14:textId="77777777" w:rsidR="007133CC" w:rsidRDefault="007133CC" w:rsidP="007133CC"/>
    <w:p w14:paraId="1F8F5988" w14:textId="77777777" w:rsidR="007133CC" w:rsidRDefault="007133CC" w:rsidP="007133CC"/>
    <w:p w14:paraId="65DC6D33" w14:textId="77777777" w:rsidR="007133CC" w:rsidRDefault="007133CC" w:rsidP="007133CC"/>
    <w:p w14:paraId="0677BB11" w14:textId="77777777" w:rsidR="007133CC" w:rsidRDefault="007133CC" w:rsidP="007133CC"/>
    <w:p w14:paraId="2E79EC9A" w14:textId="77777777" w:rsidR="007133CC" w:rsidRDefault="007133CC" w:rsidP="007133CC"/>
    <w:p w14:paraId="62144D6A" w14:textId="77777777" w:rsidR="007133CC" w:rsidRDefault="007133CC" w:rsidP="007133CC"/>
    <w:p w14:paraId="2AE2A181" w14:textId="77777777" w:rsidR="007133CC" w:rsidRDefault="007133CC" w:rsidP="007133CC"/>
    <w:p w14:paraId="57157A19" w14:textId="77777777" w:rsidR="007133CC" w:rsidRDefault="007133CC" w:rsidP="007133CC"/>
    <w:p w14:paraId="297C5CF9" w14:textId="77777777" w:rsidR="007133CC" w:rsidRDefault="007133CC" w:rsidP="007133CC"/>
    <w:p w14:paraId="7534B23E" w14:textId="77777777" w:rsidR="007133CC" w:rsidRDefault="007133CC" w:rsidP="007133CC"/>
    <w:p w14:paraId="7DC50CC7" w14:textId="77777777" w:rsidR="007133CC" w:rsidRDefault="007133CC" w:rsidP="007133CC"/>
    <w:p w14:paraId="02E2760D" w14:textId="77777777" w:rsidR="007133CC" w:rsidRDefault="007133CC" w:rsidP="007133CC"/>
    <w:p w14:paraId="186AE790" w14:textId="77777777" w:rsidR="007133CC" w:rsidRDefault="007133CC" w:rsidP="007133CC"/>
    <w:p w14:paraId="7E7B02DD" w14:textId="77777777" w:rsidR="007133CC" w:rsidRDefault="007133CC" w:rsidP="007133CC"/>
    <w:p w14:paraId="6D77A6C7" w14:textId="77777777" w:rsidR="007133CC" w:rsidRDefault="007133CC" w:rsidP="007133CC"/>
    <w:p w14:paraId="77EC135C" w14:textId="77777777" w:rsidR="007133CC" w:rsidRDefault="007133CC" w:rsidP="007133CC"/>
    <w:p w14:paraId="0C5CE45B" w14:textId="77777777" w:rsidR="007133CC" w:rsidRDefault="007133CC" w:rsidP="007133CC"/>
    <w:p w14:paraId="1D91E5BE" w14:textId="36AFABC1" w:rsidR="007133CC" w:rsidRPr="007133CC" w:rsidRDefault="007133CC" w:rsidP="007133CC">
      <w:r>
        <w:lastRenderedPageBreak/>
        <w:t xml:space="preserve"> </w:t>
      </w:r>
      <w:r>
        <w:rPr>
          <w:b/>
        </w:rPr>
        <w:t>References</w:t>
      </w:r>
    </w:p>
    <w:p w14:paraId="012761D9" w14:textId="77777777" w:rsidR="007133CC" w:rsidRDefault="007133CC" w:rsidP="007133CC">
      <w:pPr>
        <w:spacing w:line="360" w:lineRule="auto"/>
      </w:pPr>
      <w:r>
        <w:t xml:space="preserve">     </w:t>
      </w:r>
    </w:p>
    <w:p w14:paraId="5EE181AB" w14:textId="77777777" w:rsidR="007133CC" w:rsidRDefault="007133CC" w:rsidP="007133CC">
      <w:pPr>
        <w:spacing w:line="360" w:lineRule="auto"/>
        <w:ind w:left="1280" w:hanging="640"/>
      </w:pPr>
      <w:r>
        <w:t xml:space="preserve">1.    </w:t>
      </w:r>
      <w:r>
        <w:tab/>
        <w:t xml:space="preserve">Parra G, </w:t>
      </w:r>
      <w:proofErr w:type="spellStart"/>
      <w:r>
        <w:t>Bradnam</w:t>
      </w:r>
      <w:proofErr w:type="spellEnd"/>
      <w:r>
        <w:t xml:space="preserve"> K, Korf I. CEGMA: A pipeline to accurately annotate core genes in eukaryotic genomes. Bioinformatics. 2007;23: 1061–1067. doi:10.1093/bioinformatics/btm071</w:t>
      </w:r>
    </w:p>
    <w:p w14:paraId="0C387409" w14:textId="77777777" w:rsidR="007133CC" w:rsidRDefault="007133CC" w:rsidP="007133CC">
      <w:pPr>
        <w:spacing w:line="360" w:lineRule="auto"/>
        <w:ind w:left="1280" w:hanging="640"/>
      </w:pPr>
      <w:r>
        <w:t xml:space="preserve">2.    </w:t>
      </w:r>
      <w:r>
        <w:tab/>
      </w:r>
      <w:proofErr w:type="spellStart"/>
      <w:r>
        <w:t>Simão</w:t>
      </w:r>
      <w:proofErr w:type="spellEnd"/>
      <w:r>
        <w:t xml:space="preserve"> FA, Waterhouse RM, Ioannidis P, </w:t>
      </w:r>
      <w:proofErr w:type="spellStart"/>
      <w:r>
        <w:t>Kriventseva</w:t>
      </w:r>
      <w:proofErr w:type="spellEnd"/>
      <w:r>
        <w:t xml:space="preserve"> E V., </w:t>
      </w:r>
      <w:proofErr w:type="spellStart"/>
      <w:r>
        <w:t>Zdobnov</w:t>
      </w:r>
      <w:proofErr w:type="spellEnd"/>
      <w:r>
        <w:t xml:space="preserve"> EM. BUSCO: Assessing genome assembly and annotation completeness with </w:t>
      </w:r>
      <w:proofErr w:type="gramStart"/>
      <w:r>
        <w:t>single-copy</w:t>
      </w:r>
      <w:proofErr w:type="gramEnd"/>
      <w:r>
        <w:t xml:space="preserve"> orthologs. Bioinformatics. 2015;31: 3210–3212. doi:10.1093/bioinformatics/btv351</w:t>
      </w:r>
    </w:p>
    <w:p w14:paraId="6CC84652" w14:textId="77777777" w:rsidR="007133CC" w:rsidRDefault="007133CC" w:rsidP="007133CC">
      <w:pPr>
        <w:spacing w:line="360" w:lineRule="auto"/>
        <w:ind w:left="1280" w:hanging="640"/>
      </w:pPr>
      <w:r>
        <w:t xml:space="preserve">3.    </w:t>
      </w:r>
      <w:r>
        <w:tab/>
        <w:t xml:space="preserve">Brawley SH, Blouin NA, </w:t>
      </w:r>
      <w:proofErr w:type="spellStart"/>
      <w:r>
        <w:t>Ficko-Blean</w:t>
      </w:r>
      <w:proofErr w:type="spellEnd"/>
      <w:r>
        <w:t xml:space="preserve"> E, Wheeler GL, </w:t>
      </w:r>
      <w:proofErr w:type="spellStart"/>
      <w:r>
        <w:t>Lohr</w:t>
      </w:r>
      <w:proofErr w:type="spellEnd"/>
      <w:r>
        <w:t xml:space="preserve"> M, Goodson H V., et al. Insights into the red algae and eukaryotic evolution from the genome of </w:t>
      </w:r>
      <w:proofErr w:type="spellStart"/>
      <w:r>
        <w:t>Porphyra</w:t>
      </w:r>
      <w:proofErr w:type="spellEnd"/>
      <w:r>
        <w:t xml:space="preserve"> </w:t>
      </w:r>
      <w:proofErr w:type="spellStart"/>
      <w:r>
        <w:t>umbilicalis</w:t>
      </w:r>
      <w:proofErr w:type="spellEnd"/>
      <w:r>
        <w:t xml:space="preserve"> (</w:t>
      </w:r>
      <w:proofErr w:type="spellStart"/>
      <w:r>
        <w:t>Bangiophyceae</w:t>
      </w:r>
      <w:proofErr w:type="spellEnd"/>
      <w:r>
        <w:t>, Rhodophyta). Proceedings of the National Academy of Sciences of the United States of America. 2017;114: E6361–E6370. doi:10.1073/pnas.1703088114</w:t>
      </w:r>
    </w:p>
    <w:p w14:paraId="5A3EBBD0" w14:textId="77777777" w:rsidR="007133CC" w:rsidRDefault="007133CC" w:rsidP="007133CC">
      <w:pPr>
        <w:spacing w:line="360" w:lineRule="auto"/>
        <w:ind w:left="1280" w:hanging="640"/>
      </w:pPr>
      <w:r>
        <w:t xml:space="preserve">4.    </w:t>
      </w:r>
      <w:r>
        <w:tab/>
      </w:r>
      <w:proofErr w:type="spellStart"/>
      <w:r>
        <w:t>Boerjan</w:t>
      </w:r>
      <w:proofErr w:type="spellEnd"/>
      <w:r>
        <w:t xml:space="preserve"> W, Ralph J, </w:t>
      </w:r>
      <w:proofErr w:type="spellStart"/>
      <w:r>
        <w:t>Baucher</w:t>
      </w:r>
      <w:proofErr w:type="spellEnd"/>
      <w:r>
        <w:t xml:space="preserve"> M. Lignin Biosynthesis. Annual Review of Plant Biology. 2003;54: 519–546. </w:t>
      </w:r>
      <w:proofErr w:type="gramStart"/>
      <w:r>
        <w:t>doi:10.1146/annurev.arplant</w:t>
      </w:r>
      <w:proofErr w:type="gramEnd"/>
      <w:r>
        <w:t>.54.031902.134938</w:t>
      </w:r>
    </w:p>
    <w:p w14:paraId="33B7F680" w14:textId="77777777" w:rsidR="007133CC" w:rsidRDefault="007133CC" w:rsidP="007133CC">
      <w:pPr>
        <w:spacing w:line="360" w:lineRule="auto"/>
        <w:ind w:left="1280" w:hanging="640"/>
      </w:pPr>
      <w:r>
        <w:t xml:space="preserve">5.    </w:t>
      </w:r>
      <w:r>
        <w:tab/>
        <w:t xml:space="preserve">Vogt T. Phenylpropanoid Biosynthesis. Molecular Plant. 2010;3: 2–20. </w:t>
      </w:r>
      <w:proofErr w:type="spellStart"/>
      <w:proofErr w:type="gramStart"/>
      <w:r>
        <w:t>doi:https</w:t>
      </w:r>
      <w:proofErr w:type="spellEnd"/>
      <w:r>
        <w:t>://doi.org/10.1093/</w:t>
      </w:r>
      <w:proofErr w:type="spellStart"/>
      <w:r>
        <w:t>mp</w:t>
      </w:r>
      <w:proofErr w:type="spellEnd"/>
      <w:r>
        <w:t>/ssp106</w:t>
      </w:r>
      <w:proofErr w:type="gramEnd"/>
    </w:p>
    <w:p w14:paraId="33786178" w14:textId="77777777" w:rsidR="007133CC" w:rsidRDefault="007133CC" w:rsidP="007133CC">
      <w:pPr>
        <w:spacing w:line="360" w:lineRule="auto"/>
        <w:ind w:left="1280" w:hanging="640"/>
      </w:pPr>
      <w:r>
        <w:t xml:space="preserve">6.    </w:t>
      </w:r>
      <w:r>
        <w:tab/>
      </w:r>
      <w:proofErr w:type="spellStart"/>
      <w:r>
        <w:t>Hamberger</w:t>
      </w:r>
      <w:proofErr w:type="spellEnd"/>
      <w:r>
        <w:t xml:space="preserve"> B, </w:t>
      </w:r>
      <w:proofErr w:type="spellStart"/>
      <w:r>
        <w:t>Bak</w:t>
      </w:r>
      <w:proofErr w:type="spellEnd"/>
      <w:r>
        <w:t xml:space="preserve"> S. Plant P450s as versatile drivers for evolution of species-specific </w:t>
      </w:r>
      <w:proofErr w:type="gramStart"/>
      <w:r>
        <w:t>chemical  diversity</w:t>
      </w:r>
      <w:proofErr w:type="gramEnd"/>
      <w:r>
        <w:t xml:space="preserve">. Philosophical transactions of the Royal Society of London Series B, </w:t>
      </w:r>
      <w:proofErr w:type="gramStart"/>
      <w:r>
        <w:t>Biological  sciences</w:t>
      </w:r>
      <w:proofErr w:type="gramEnd"/>
      <w:r>
        <w:t>. 2013;368: 20120426. doi:10.1098/rstb.2012.0426</w:t>
      </w:r>
    </w:p>
    <w:p w14:paraId="2C4011AF" w14:textId="77777777" w:rsidR="007133CC" w:rsidRDefault="007133CC" w:rsidP="007133CC">
      <w:pPr>
        <w:spacing w:line="360" w:lineRule="auto"/>
        <w:ind w:left="1280" w:hanging="640"/>
      </w:pPr>
      <w:r>
        <w:t xml:space="preserve">7.    </w:t>
      </w:r>
      <w:r>
        <w:tab/>
        <w:t xml:space="preserve">Quinlan RF, </w:t>
      </w:r>
      <w:proofErr w:type="spellStart"/>
      <w:r>
        <w:t>Shumskaya</w:t>
      </w:r>
      <w:proofErr w:type="spellEnd"/>
      <w:r>
        <w:t xml:space="preserve"> M, Bradbury LMT, </w:t>
      </w:r>
      <w:proofErr w:type="spellStart"/>
      <w:r>
        <w:t>Beltrán</w:t>
      </w:r>
      <w:proofErr w:type="spellEnd"/>
      <w:r>
        <w:t xml:space="preserve"> J, Ma C, Kennelly EJ, et al. Synergistic Interactions between Carotene Ring Hydroxylases Drive Lutein Formation in Plant Carotenoid Biosynthesis. Plant Physiology. 2012;160: 204 LP – 214. doi:10.1104/pp.112.198556</w:t>
      </w:r>
    </w:p>
    <w:p w14:paraId="30F33F4A" w14:textId="77777777" w:rsidR="007133CC" w:rsidRDefault="007133CC" w:rsidP="007133CC">
      <w:pPr>
        <w:spacing w:line="360" w:lineRule="auto"/>
        <w:ind w:left="1280" w:hanging="640"/>
      </w:pPr>
      <w:r>
        <w:t xml:space="preserve">8.    </w:t>
      </w:r>
      <w:r>
        <w:tab/>
      </w:r>
      <w:proofErr w:type="spellStart"/>
      <w:r>
        <w:t>Hasemann</w:t>
      </w:r>
      <w:proofErr w:type="spellEnd"/>
      <w:r>
        <w:t xml:space="preserve"> CA, </w:t>
      </w:r>
      <w:proofErr w:type="spellStart"/>
      <w:r>
        <w:t>Kurumbail</w:t>
      </w:r>
      <w:proofErr w:type="spellEnd"/>
      <w:r>
        <w:t xml:space="preserve"> RG, </w:t>
      </w:r>
      <w:proofErr w:type="spellStart"/>
      <w:r>
        <w:t>Boddupalli</w:t>
      </w:r>
      <w:proofErr w:type="spellEnd"/>
      <w:r>
        <w:t xml:space="preserve"> SS, Peterson JA, Deisenhofer J. </w:t>
      </w:r>
      <w:proofErr w:type="gramStart"/>
      <w:r>
        <w:t>Structure</w:t>
      </w:r>
      <w:proofErr w:type="gramEnd"/>
      <w:r>
        <w:t xml:space="preserve"> and function of cytochromes P450: a comparative analysis of three crystal structures. Structure (London, </w:t>
      </w:r>
      <w:proofErr w:type="gramStart"/>
      <w:r>
        <w:t>England :</w:t>
      </w:r>
      <w:proofErr w:type="gramEnd"/>
      <w:r>
        <w:t xml:space="preserve"> 1993). 1995;3: 41–62. doi:10.1016/s0969-2126(01)00134-4</w:t>
      </w:r>
    </w:p>
    <w:p w14:paraId="7ECFD61E" w14:textId="77777777" w:rsidR="007133CC" w:rsidRDefault="007133CC" w:rsidP="007133CC">
      <w:pPr>
        <w:spacing w:line="360" w:lineRule="auto"/>
        <w:ind w:left="1280" w:hanging="640"/>
      </w:pPr>
      <w:r>
        <w:lastRenderedPageBreak/>
        <w:t xml:space="preserve">9.    </w:t>
      </w:r>
      <w:r>
        <w:tab/>
      </w:r>
      <w:proofErr w:type="spellStart"/>
      <w:r>
        <w:t>Bak</w:t>
      </w:r>
      <w:proofErr w:type="spellEnd"/>
      <w:r>
        <w:t xml:space="preserve"> S, </w:t>
      </w:r>
      <w:proofErr w:type="spellStart"/>
      <w:r>
        <w:t>Beisson</w:t>
      </w:r>
      <w:proofErr w:type="spellEnd"/>
      <w:r>
        <w:t xml:space="preserve"> F, Bishop G, </w:t>
      </w:r>
      <w:proofErr w:type="spellStart"/>
      <w:r>
        <w:t>Hamberger</w:t>
      </w:r>
      <w:proofErr w:type="spellEnd"/>
      <w:r>
        <w:t xml:space="preserve"> B, </w:t>
      </w:r>
      <w:proofErr w:type="spellStart"/>
      <w:r>
        <w:t>Höfer</w:t>
      </w:r>
      <w:proofErr w:type="spellEnd"/>
      <w:r>
        <w:t xml:space="preserve"> R, Paquette S, et al. Cytochromes p450. The </w:t>
      </w:r>
      <w:proofErr w:type="spellStart"/>
      <w:r>
        <w:t>arabidopsis</w:t>
      </w:r>
      <w:proofErr w:type="spellEnd"/>
      <w:r>
        <w:t xml:space="preserve"> book. 2011/10/06. 2011;9: e0144–e0144. doi:10.1199/tab.0144</w:t>
      </w:r>
    </w:p>
    <w:p w14:paraId="06562DBF" w14:textId="77777777" w:rsidR="007133CC" w:rsidRDefault="007133CC" w:rsidP="007133CC">
      <w:pPr>
        <w:spacing w:line="360" w:lineRule="auto"/>
        <w:ind w:left="1280" w:hanging="640"/>
      </w:pPr>
      <w:r>
        <w:t xml:space="preserve">10.  </w:t>
      </w:r>
      <w:r>
        <w:tab/>
        <w:t xml:space="preserve">Ye ZH, </w:t>
      </w:r>
      <w:proofErr w:type="spellStart"/>
      <w:r>
        <w:t>Kneusel</w:t>
      </w:r>
      <w:proofErr w:type="spellEnd"/>
      <w:r>
        <w:t xml:space="preserve"> RE, </w:t>
      </w:r>
      <w:proofErr w:type="spellStart"/>
      <w:r>
        <w:t>Matern</w:t>
      </w:r>
      <w:proofErr w:type="spellEnd"/>
      <w:r>
        <w:t xml:space="preserve"> U, Varner JE. An alternative methylation pathway in lignin biosynthesis in Zinnia. The Plant Cell. 1994;6: 1427 LP – 1439. doi:10.1105/tpc.6.10.1427</w:t>
      </w:r>
    </w:p>
    <w:p w14:paraId="33259AC8" w14:textId="77777777" w:rsidR="007133CC" w:rsidRDefault="007133CC" w:rsidP="007133CC">
      <w:pPr>
        <w:spacing w:line="360" w:lineRule="auto"/>
        <w:ind w:left="1280" w:hanging="640"/>
      </w:pPr>
      <w:r>
        <w:t xml:space="preserve">11.  </w:t>
      </w:r>
      <w:r>
        <w:tab/>
        <w:t xml:space="preserve">Ferrer J-L, </w:t>
      </w:r>
      <w:proofErr w:type="spellStart"/>
      <w:r>
        <w:t>Zubieta</w:t>
      </w:r>
      <w:proofErr w:type="spellEnd"/>
      <w:r>
        <w:t xml:space="preserve"> C, Dixon RA, Noel JP. Crystal Structures of Alfalfa Caffeoyl Coenzyme A 3-O-Methyltransferase. Plant Physiology. 2005;137: 1009 LP – 1017. doi:10.1104/pp.104.048751</w:t>
      </w:r>
    </w:p>
    <w:p w14:paraId="44AFAC71" w14:textId="77777777" w:rsidR="007133CC" w:rsidRDefault="007133CC" w:rsidP="007133CC">
      <w:pPr>
        <w:spacing w:line="360" w:lineRule="auto"/>
        <w:ind w:left="1280" w:hanging="640"/>
      </w:pPr>
      <w:r>
        <w:t xml:space="preserve">12.  </w:t>
      </w:r>
      <w:r>
        <w:tab/>
        <w:t xml:space="preserve">Walker AM, Sattler SA, </w:t>
      </w:r>
      <w:proofErr w:type="spellStart"/>
      <w:r>
        <w:t>Regner</w:t>
      </w:r>
      <w:proofErr w:type="spellEnd"/>
      <w:r>
        <w:t xml:space="preserve"> M, Jones JP, Ralph J, </w:t>
      </w:r>
      <w:proofErr w:type="spellStart"/>
      <w:r>
        <w:t>Vermerris</w:t>
      </w:r>
      <w:proofErr w:type="spellEnd"/>
      <w:r>
        <w:t xml:space="preserve"> W, et al. The Structure and Catalytic Mechanism of Sorghum bicolor Caffeoyl-CoA O-Methyltransferase. Plant physiology. 2016/07/25. 2016;172: 78–92. doi:10.1104/pp.16.00845</w:t>
      </w:r>
    </w:p>
    <w:p w14:paraId="22775753" w14:textId="77777777" w:rsidR="007133CC" w:rsidRDefault="007133CC" w:rsidP="007133CC">
      <w:pPr>
        <w:spacing w:line="360" w:lineRule="auto"/>
        <w:ind w:left="1280" w:hanging="640"/>
      </w:pPr>
      <w:r>
        <w:t xml:space="preserve">13.  </w:t>
      </w:r>
      <w:r>
        <w:tab/>
        <w:t xml:space="preserve">Lam KC, Ibrahim RK, </w:t>
      </w:r>
      <w:proofErr w:type="spellStart"/>
      <w:r>
        <w:t>Behdad</w:t>
      </w:r>
      <w:proofErr w:type="spellEnd"/>
      <w:r>
        <w:t xml:space="preserve"> B, </w:t>
      </w:r>
      <w:proofErr w:type="spellStart"/>
      <w:r>
        <w:t>Dayanandan</w:t>
      </w:r>
      <w:proofErr w:type="spellEnd"/>
      <w:r>
        <w:t xml:space="preserve"> S. Structure, function, and evolution of plant O-methyltransferases. Genome. 2007;50: 1001–1013. doi:10.1139/G07-077</w:t>
      </w:r>
    </w:p>
    <w:p w14:paraId="575DD0AF" w14:textId="77777777" w:rsidR="007133CC" w:rsidRDefault="007133CC" w:rsidP="007133CC">
      <w:pPr>
        <w:spacing w:line="360" w:lineRule="auto"/>
        <w:ind w:left="1280" w:hanging="640"/>
      </w:pPr>
      <w:r>
        <w:t xml:space="preserve">14.  </w:t>
      </w:r>
      <w:r>
        <w:tab/>
      </w:r>
      <w:proofErr w:type="spellStart"/>
      <w:r>
        <w:t>Vanholme</w:t>
      </w:r>
      <w:proofErr w:type="spellEnd"/>
      <w:r>
        <w:t xml:space="preserve"> R, </w:t>
      </w:r>
      <w:proofErr w:type="spellStart"/>
      <w:r>
        <w:t>Cesarino</w:t>
      </w:r>
      <w:proofErr w:type="spellEnd"/>
      <w:r>
        <w:t xml:space="preserve"> I, </w:t>
      </w:r>
      <w:proofErr w:type="spellStart"/>
      <w:r>
        <w:t>Rataj</w:t>
      </w:r>
      <w:proofErr w:type="spellEnd"/>
      <w:r>
        <w:t xml:space="preserve"> K, Xiao Y, </w:t>
      </w:r>
      <w:proofErr w:type="spellStart"/>
      <w:r>
        <w:t>Sundin</w:t>
      </w:r>
      <w:proofErr w:type="spellEnd"/>
      <w:r>
        <w:t xml:space="preserve"> L, </w:t>
      </w:r>
      <w:proofErr w:type="spellStart"/>
      <w:r>
        <w:t>Goeminne</w:t>
      </w:r>
      <w:proofErr w:type="spellEnd"/>
      <w:r>
        <w:t xml:space="preserve"> G, et al. Caffeoyl Shikimate Esterase (CSE) Is an Enzyme in the Lignin Biosynthetic Pathway in Arabidopsis. Science. 2013;341: 1103 LP – 1106. doi:10.1126/science.1241602</w:t>
      </w:r>
    </w:p>
    <w:p w14:paraId="451BB8FE" w14:textId="77777777" w:rsidR="007133CC" w:rsidRDefault="007133CC" w:rsidP="007133CC">
      <w:pPr>
        <w:spacing w:line="360" w:lineRule="auto"/>
        <w:ind w:left="1280" w:hanging="640"/>
      </w:pPr>
      <w:r>
        <w:t xml:space="preserve">15.  </w:t>
      </w:r>
      <w:r>
        <w:tab/>
      </w:r>
      <w:proofErr w:type="spellStart"/>
      <w:r>
        <w:t>Saleme</w:t>
      </w:r>
      <w:proofErr w:type="spellEnd"/>
      <w:r>
        <w:t xml:space="preserve"> M de LS, </w:t>
      </w:r>
      <w:proofErr w:type="spellStart"/>
      <w:r>
        <w:t>Cesarino</w:t>
      </w:r>
      <w:proofErr w:type="spellEnd"/>
      <w:r>
        <w:t xml:space="preserve"> I, Vargas L, Kim H, </w:t>
      </w:r>
      <w:proofErr w:type="spellStart"/>
      <w:r>
        <w:t>Vanholme</w:t>
      </w:r>
      <w:proofErr w:type="spellEnd"/>
      <w:r>
        <w:t xml:space="preserve"> R, </w:t>
      </w:r>
      <w:proofErr w:type="spellStart"/>
      <w:r>
        <w:t>Goeminne</w:t>
      </w:r>
      <w:proofErr w:type="spellEnd"/>
      <w:r>
        <w:t xml:space="preserve"> G, et al. Silencing Caffeoyl Shikimate Esterase Affects Lignification and Improves Saccharification in Poplar. Plant Physiology. 2017;175: 1040 LP – 1057. doi:10.1104/pp.17.00</w:t>
      </w:r>
      <w:bookmarkStart w:id="21" w:name="_heading=h.3dy6vkm" w:colFirst="0" w:colLast="0"/>
      <w:bookmarkStart w:id="22" w:name="_heading=h.17dp8vu" w:colFirst="0" w:colLast="0"/>
      <w:bookmarkStart w:id="23" w:name="_heading=h.3rdcrjn" w:colFirst="0" w:colLast="0"/>
      <w:bookmarkEnd w:id="21"/>
      <w:bookmarkEnd w:id="22"/>
      <w:bookmarkEnd w:id="23"/>
      <w:r>
        <w:t>920</w:t>
      </w:r>
    </w:p>
    <w:p w14:paraId="5394C5EF" w14:textId="77777777" w:rsidR="007133CC" w:rsidRDefault="007133CC" w:rsidP="007133CC">
      <w:pPr>
        <w:spacing w:line="360" w:lineRule="auto"/>
        <w:ind w:left="1280" w:hanging="640"/>
        <w:rPr>
          <w:b/>
        </w:rPr>
      </w:pPr>
      <w:r>
        <w:rPr>
          <w:b/>
        </w:rPr>
        <w:t xml:space="preserve"> </w:t>
      </w:r>
    </w:p>
    <w:p w14:paraId="7A70AEA9" w14:textId="6703650D" w:rsidR="004062A7" w:rsidRDefault="004062A7" w:rsidP="007133CC">
      <w:pPr>
        <w:keepNext/>
        <w:pBdr>
          <w:top w:val="nil"/>
          <w:left w:val="nil"/>
          <w:bottom w:val="nil"/>
          <w:right w:val="nil"/>
          <w:between w:val="nil"/>
        </w:pBdr>
        <w:spacing w:after="200" w:line="360" w:lineRule="auto"/>
        <w:rPr>
          <w:b/>
        </w:rPr>
      </w:pPr>
    </w:p>
    <w:sectPr w:rsidR="004062A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D3E4" w14:textId="77777777" w:rsidR="00C428ED" w:rsidRDefault="00C428ED">
      <w:pPr>
        <w:spacing w:line="240" w:lineRule="auto"/>
      </w:pPr>
      <w:r>
        <w:separator/>
      </w:r>
    </w:p>
  </w:endnote>
  <w:endnote w:type="continuationSeparator" w:id="0">
    <w:p w14:paraId="3AC891D4" w14:textId="77777777" w:rsidR="00C428ED" w:rsidRDefault="00C42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utiv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5C63" w14:textId="77777777" w:rsidR="004062A7" w:rsidRDefault="004062A7">
    <w:pPr>
      <w:pBdr>
        <w:top w:val="nil"/>
        <w:left w:val="nil"/>
        <w:bottom w:val="nil"/>
        <w:right w:val="nil"/>
        <w:between w:val="nil"/>
      </w:pBdr>
      <w:tabs>
        <w:tab w:val="center" w:pos="4320"/>
        <w:tab w:val="right" w:pos="8640"/>
      </w:tabs>
      <w:spacing w:line="240" w:lineRule="auto"/>
      <w:jc w:val="right"/>
      <w:rPr>
        <w:color w:val="000000"/>
      </w:rPr>
    </w:pPr>
  </w:p>
  <w:p w14:paraId="19B4ECC0" w14:textId="77777777" w:rsidR="004062A7" w:rsidRDefault="002F74C7">
    <w:pPr>
      <w:pBdr>
        <w:top w:val="nil"/>
        <w:left w:val="nil"/>
        <w:bottom w:val="nil"/>
        <w:right w:val="nil"/>
        <w:between w:val="nil"/>
      </w:pBdr>
      <w:tabs>
        <w:tab w:val="center" w:pos="4320"/>
        <w:tab w:val="right" w:pos="8640"/>
      </w:tabs>
      <w:spacing w:line="240" w:lineRule="auto"/>
      <w:ind w:right="360"/>
      <w:rPr>
        <w:color w:val="000000"/>
      </w:rPr>
    </w:pPr>
    <w:r>
      <w:rPr>
        <w:color w:val="000000"/>
      </w:rPr>
      <w:fldChar w:fldCharType="begin"/>
    </w:r>
    <w:r>
      <w:rPr>
        <w:color w:val="000000"/>
      </w:rPr>
      <w:instrText>PAGE</w:instrText>
    </w:r>
    <w:r w:rsidR="00C428ED">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B447" w14:textId="77777777" w:rsidR="004062A7" w:rsidRDefault="002F74C7">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F2053">
      <w:rPr>
        <w:noProof/>
        <w:color w:val="000000"/>
      </w:rPr>
      <w:t>1</w:t>
    </w:r>
    <w:r>
      <w:rPr>
        <w:color w:val="000000"/>
      </w:rPr>
      <w:fldChar w:fldCharType="end"/>
    </w:r>
  </w:p>
  <w:p w14:paraId="5004F749" w14:textId="77777777" w:rsidR="004062A7" w:rsidRDefault="004062A7">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A4F2" w14:textId="77777777" w:rsidR="00C428ED" w:rsidRDefault="00C428ED">
      <w:pPr>
        <w:spacing w:line="240" w:lineRule="auto"/>
      </w:pPr>
      <w:r>
        <w:separator/>
      </w:r>
    </w:p>
  </w:footnote>
  <w:footnote w:type="continuationSeparator" w:id="0">
    <w:p w14:paraId="1D977BC9" w14:textId="77777777" w:rsidR="00C428ED" w:rsidRDefault="00C428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A7"/>
    <w:rsid w:val="000B7B56"/>
    <w:rsid w:val="001048AC"/>
    <w:rsid w:val="00166579"/>
    <w:rsid w:val="001A11C7"/>
    <w:rsid w:val="001A18D5"/>
    <w:rsid w:val="002217B7"/>
    <w:rsid w:val="002841E2"/>
    <w:rsid w:val="002F74C7"/>
    <w:rsid w:val="004062A7"/>
    <w:rsid w:val="004903BB"/>
    <w:rsid w:val="006421AA"/>
    <w:rsid w:val="006E3B57"/>
    <w:rsid w:val="007133CC"/>
    <w:rsid w:val="007814EB"/>
    <w:rsid w:val="00921D91"/>
    <w:rsid w:val="00A802F8"/>
    <w:rsid w:val="00AB547D"/>
    <w:rsid w:val="00B11E8F"/>
    <w:rsid w:val="00B84075"/>
    <w:rsid w:val="00C428ED"/>
    <w:rsid w:val="00CB1ECA"/>
    <w:rsid w:val="00D7264F"/>
    <w:rsid w:val="00DF2053"/>
    <w:rsid w:val="00E661E7"/>
    <w:rsid w:val="00EE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D399"/>
  <w15:docId w15:val="{BEC5057B-B1DD-4F93-A158-D7A0EC1B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87"/>
  </w:style>
  <w:style w:type="paragraph" w:styleId="Heading1">
    <w:name w:val="heading 1"/>
    <w:basedOn w:val="Normal1"/>
    <w:next w:val="Normal1"/>
    <w:uiPriority w:val="9"/>
    <w:qFormat/>
    <w:rsid w:val="00511CC3"/>
    <w:pPr>
      <w:keepNext/>
      <w:keepLines/>
      <w:spacing w:before="400" w:after="120"/>
      <w:outlineLvl w:val="0"/>
    </w:pPr>
    <w:rPr>
      <w:b/>
      <w:szCs w:val="40"/>
    </w:rPr>
  </w:style>
  <w:style w:type="paragraph" w:styleId="Heading2">
    <w:name w:val="heading 2"/>
    <w:basedOn w:val="Normal1"/>
    <w:next w:val="Normal1"/>
    <w:uiPriority w:val="9"/>
    <w:unhideWhenUsed/>
    <w:qFormat/>
    <w:rsid w:val="00511CC3"/>
    <w:pPr>
      <w:keepNext/>
      <w:keepLines/>
      <w:spacing w:before="360" w:after="120"/>
      <w:outlineLvl w:val="1"/>
    </w:pPr>
    <w:rPr>
      <w:b/>
      <w:szCs w:val="32"/>
    </w:rPr>
  </w:style>
  <w:style w:type="paragraph" w:styleId="Heading3">
    <w:name w:val="heading 3"/>
    <w:basedOn w:val="Heading2"/>
    <w:next w:val="Normal1"/>
    <w:uiPriority w:val="9"/>
    <w:unhideWhenUsed/>
    <w:qFormat/>
    <w:rsid w:val="007F4B1F"/>
    <w:pPr>
      <w:outlineLvl w:val="2"/>
    </w:pPr>
  </w:style>
  <w:style w:type="paragraph" w:styleId="Heading4">
    <w:name w:val="heading 4"/>
    <w:basedOn w:val="Heading3"/>
    <w:next w:val="Normal1"/>
    <w:uiPriority w:val="9"/>
    <w:unhideWhenUsed/>
    <w:qFormat/>
    <w:rsid w:val="007F4B1F"/>
    <w:pPr>
      <w:outlineLvl w:val="3"/>
    </w:pPr>
    <w:rPr>
      <w:i/>
    </w:rPr>
  </w:style>
  <w:style w:type="paragraph" w:styleId="Heading5">
    <w:name w:val="heading 5"/>
    <w:basedOn w:val="Normal1"/>
    <w:next w:val="Normal1"/>
    <w:uiPriority w:val="9"/>
    <w:semiHidden/>
    <w:unhideWhenUsed/>
    <w:qFormat/>
    <w:pPr>
      <w:keepNext/>
      <w:keepLines/>
      <w:spacing w:before="240" w:after="80"/>
      <w:outlineLvl w:val="4"/>
    </w:pPr>
    <w:rPr>
      <w:color w:val="666666"/>
    </w:rPr>
  </w:style>
  <w:style w:type="paragraph" w:styleId="Heading6">
    <w:name w:val="heading 6"/>
    <w:basedOn w:val="Normal1"/>
    <w:next w:val="Normal1"/>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82C3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2C3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character" w:customStyle="1" w:styleId="Heading7Char">
    <w:name w:val="Heading 7 Char"/>
    <w:basedOn w:val="DefaultParagraphFont"/>
    <w:link w:val="Heading7"/>
    <w:uiPriority w:val="9"/>
    <w:rsid w:val="00B82C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2C3C"/>
    <w:rPr>
      <w:rFonts w:asciiTheme="majorHAnsi" w:eastAsiaTheme="majorEastAsia" w:hAnsiTheme="majorHAnsi" w:cstheme="majorBidi"/>
      <w:color w:val="404040" w:themeColor="text1" w:themeTint="BF"/>
      <w:sz w:val="20"/>
      <w:szCs w:val="20"/>
    </w:rPr>
  </w:style>
  <w:style w:type="paragraph" w:styleId="Subtitle">
    <w:name w:val="Subtitle"/>
    <w:basedOn w:val="Normal"/>
    <w:next w:val="Normal"/>
    <w:uiPriority w:val="11"/>
    <w:qFormat/>
    <w:pPr>
      <w:keepNext/>
      <w:keepLines/>
      <w:pBdr>
        <w:top w:val="nil"/>
        <w:left w:val="nil"/>
        <w:bottom w:val="nil"/>
        <w:right w:val="nil"/>
        <w:between w:val="nil"/>
      </w:pBdr>
      <w:spacing w:after="320"/>
    </w:pPr>
    <w:rPr>
      <w:rFonts w:ascii="Arial" w:eastAsia="Arial" w:hAnsi="Arial" w:cs="Arial"/>
      <w:color w:val="666666"/>
      <w:sz w:val="30"/>
      <w:szCs w:val="30"/>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82C3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C3C"/>
    <w:rPr>
      <w:rFonts w:ascii="Lucida Grande" w:hAnsi="Lucida Grande" w:cs="Lucida Grande"/>
      <w:sz w:val="18"/>
      <w:szCs w:val="18"/>
    </w:rPr>
  </w:style>
  <w:style w:type="paragraph" w:styleId="TOC2">
    <w:name w:val="toc 2"/>
    <w:basedOn w:val="Normal"/>
    <w:next w:val="Normal"/>
    <w:autoRedefine/>
    <w:uiPriority w:val="39"/>
    <w:unhideWhenUsed/>
    <w:rsid w:val="00B82C3C"/>
    <w:pPr>
      <w:spacing w:after="100"/>
      <w:ind w:left="220"/>
    </w:pPr>
  </w:style>
  <w:style w:type="paragraph" w:styleId="TOC3">
    <w:name w:val="toc 3"/>
    <w:basedOn w:val="Normal"/>
    <w:next w:val="Normal"/>
    <w:autoRedefine/>
    <w:uiPriority w:val="39"/>
    <w:unhideWhenUsed/>
    <w:rsid w:val="005628A5"/>
    <w:pPr>
      <w:spacing w:after="100"/>
      <w:ind w:left="440"/>
    </w:pPr>
  </w:style>
  <w:style w:type="paragraph" w:styleId="TOC4">
    <w:name w:val="toc 4"/>
    <w:basedOn w:val="Normal"/>
    <w:next w:val="Normal"/>
    <w:autoRedefine/>
    <w:uiPriority w:val="39"/>
    <w:unhideWhenUsed/>
    <w:rsid w:val="00B82C3C"/>
    <w:pPr>
      <w:spacing w:after="100"/>
      <w:ind w:left="660"/>
    </w:pPr>
  </w:style>
  <w:style w:type="paragraph" w:styleId="Footer">
    <w:name w:val="footer"/>
    <w:basedOn w:val="Normal"/>
    <w:link w:val="FooterChar"/>
    <w:uiPriority w:val="99"/>
    <w:unhideWhenUsed/>
    <w:rsid w:val="00B82C3C"/>
    <w:pPr>
      <w:tabs>
        <w:tab w:val="center" w:pos="4320"/>
        <w:tab w:val="right" w:pos="8640"/>
      </w:tabs>
      <w:spacing w:line="240" w:lineRule="auto"/>
    </w:pPr>
  </w:style>
  <w:style w:type="character" w:customStyle="1" w:styleId="FooterChar">
    <w:name w:val="Footer Char"/>
    <w:basedOn w:val="DefaultParagraphFont"/>
    <w:link w:val="Footer"/>
    <w:uiPriority w:val="99"/>
    <w:rsid w:val="00B82C3C"/>
  </w:style>
  <w:style w:type="character" w:styleId="PageNumber">
    <w:name w:val="page number"/>
    <w:basedOn w:val="DefaultParagraphFont"/>
    <w:uiPriority w:val="99"/>
    <w:semiHidden/>
    <w:unhideWhenUsed/>
    <w:rsid w:val="00B82C3C"/>
  </w:style>
  <w:style w:type="paragraph" w:styleId="TOC7">
    <w:name w:val="toc 7"/>
    <w:basedOn w:val="Normal"/>
    <w:next w:val="Normal"/>
    <w:autoRedefine/>
    <w:uiPriority w:val="39"/>
    <w:unhideWhenUsed/>
    <w:rsid w:val="00407FB2"/>
    <w:pPr>
      <w:spacing w:after="100"/>
      <w:ind w:left="1320"/>
    </w:pPr>
  </w:style>
  <w:style w:type="paragraph" w:styleId="TOC8">
    <w:name w:val="toc 8"/>
    <w:basedOn w:val="Normal"/>
    <w:next w:val="Normal"/>
    <w:autoRedefine/>
    <w:uiPriority w:val="39"/>
    <w:unhideWhenUsed/>
    <w:rsid w:val="00407FB2"/>
    <w:pPr>
      <w:spacing w:after="100"/>
      <w:ind w:left="1540"/>
    </w:pPr>
  </w:style>
  <w:style w:type="paragraph" w:styleId="Caption">
    <w:name w:val="caption"/>
    <w:basedOn w:val="Normal"/>
    <w:next w:val="Normal"/>
    <w:uiPriority w:val="35"/>
    <w:unhideWhenUsed/>
    <w:qFormat/>
    <w:rsid w:val="00803B0C"/>
    <w:pPr>
      <w:spacing w:after="200" w:line="240" w:lineRule="auto"/>
    </w:pPr>
    <w:rPr>
      <w:b/>
      <w:bCs/>
      <w:szCs w:val="18"/>
    </w:rPr>
  </w:style>
  <w:style w:type="paragraph" w:styleId="TOC1">
    <w:name w:val="toc 1"/>
    <w:basedOn w:val="Normal"/>
    <w:next w:val="Normal"/>
    <w:autoRedefine/>
    <w:uiPriority w:val="39"/>
    <w:unhideWhenUsed/>
    <w:rsid w:val="000D22B4"/>
  </w:style>
  <w:style w:type="paragraph" w:styleId="TOC5">
    <w:name w:val="toc 5"/>
    <w:basedOn w:val="Normal"/>
    <w:next w:val="Normal"/>
    <w:autoRedefine/>
    <w:uiPriority w:val="39"/>
    <w:unhideWhenUsed/>
    <w:rsid w:val="000D22B4"/>
    <w:pPr>
      <w:ind w:left="960"/>
    </w:pPr>
  </w:style>
  <w:style w:type="paragraph" w:styleId="TOC6">
    <w:name w:val="toc 6"/>
    <w:basedOn w:val="Normal"/>
    <w:next w:val="Normal"/>
    <w:autoRedefine/>
    <w:uiPriority w:val="39"/>
    <w:unhideWhenUsed/>
    <w:rsid w:val="000D22B4"/>
    <w:pPr>
      <w:ind w:left="1200"/>
    </w:pPr>
  </w:style>
  <w:style w:type="paragraph" w:styleId="TOC9">
    <w:name w:val="toc 9"/>
    <w:basedOn w:val="Normal"/>
    <w:next w:val="Normal"/>
    <w:autoRedefine/>
    <w:uiPriority w:val="39"/>
    <w:unhideWhenUsed/>
    <w:rsid w:val="000D22B4"/>
    <w:pPr>
      <w:ind w:left="1920"/>
    </w:pPr>
  </w:style>
  <w:style w:type="paragraph" w:styleId="DocumentMap">
    <w:name w:val="Document Map"/>
    <w:basedOn w:val="Normal"/>
    <w:link w:val="DocumentMapChar"/>
    <w:uiPriority w:val="99"/>
    <w:semiHidden/>
    <w:unhideWhenUsed/>
    <w:rsid w:val="00E95B47"/>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95B47"/>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5F4C73"/>
    <w:rPr>
      <w:b/>
      <w:bCs/>
      <w:sz w:val="20"/>
      <w:szCs w:val="20"/>
    </w:rPr>
  </w:style>
  <w:style w:type="character" w:customStyle="1" w:styleId="CommentSubjectChar">
    <w:name w:val="Comment Subject Char"/>
    <w:basedOn w:val="CommentTextChar"/>
    <w:link w:val="CommentSubject"/>
    <w:uiPriority w:val="99"/>
    <w:semiHidden/>
    <w:rsid w:val="005F4C73"/>
    <w:rPr>
      <w:rFonts w:ascii="Times New Roman" w:hAnsi="Times New Roman"/>
      <w:b/>
      <w:bCs/>
      <w:sz w:val="20"/>
      <w:szCs w:val="20"/>
    </w:rPr>
  </w:style>
  <w:style w:type="character" w:styleId="Hyperlink">
    <w:name w:val="Hyperlink"/>
    <w:basedOn w:val="DefaultParagraphFont"/>
    <w:uiPriority w:val="99"/>
    <w:unhideWhenUsed/>
    <w:rsid w:val="009A57FF"/>
    <w:rPr>
      <w:color w:val="0000FF"/>
      <w:u w:val="single"/>
    </w:rPr>
  </w:style>
  <w:style w:type="paragraph" w:styleId="ListParagraph">
    <w:name w:val="List Paragraph"/>
    <w:basedOn w:val="Normal"/>
    <w:uiPriority w:val="34"/>
    <w:qFormat/>
    <w:rsid w:val="00D176D5"/>
    <w:pPr>
      <w:ind w:left="720"/>
      <w:contextualSpacing/>
    </w:p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F18AF"/>
    <w:pPr>
      <w:spacing w:line="240" w:lineRule="auto"/>
    </w:pPr>
  </w:style>
  <w:style w:type="character" w:styleId="LineNumber">
    <w:name w:val="line number"/>
    <w:basedOn w:val="DefaultParagraphFont"/>
    <w:uiPriority w:val="99"/>
    <w:semiHidden/>
    <w:unhideWhenUsed/>
    <w:rsid w:val="00225898"/>
  </w:style>
  <w:style w:type="table" w:styleId="TableGrid">
    <w:name w:val="Table Grid"/>
    <w:basedOn w:val="TableNormal"/>
    <w:uiPriority w:val="39"/>
    <w:rsid w:val="001972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C80"/>
    <w:pPr>
      <w:spacing w:line="240" w:lineRule="auto"/>
    </w:pPr>
  </w:style>
  <w:style w:type="table" w:customStyle="1" w:styleId="5">
    <w:name w:val="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left w:w="14" w:type="dxa"/>
        <w:right w:w="14" w:type="dxa"/>
      </w:tblCellMar>
    </w:tblPr>
  </w:style>
  <w:style w:type="table" w:customStyle="1" w:styleId="3">
    <w:name w:val="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C41CA"/>
    <w:pPr>
      <w:tabs>
        <w:tab w:val="center" w:pos="4680"/>
        <w:tab w:val="right" w:pos="9360"/>
      </w:tabs>
      <w:spacing w:line="240" w:lineRule="auto"/>
    </w:pPr>
  </w:style>
  <w:style w:type="character" w:customStyle="1" w:styleId="HeaderChar">
    <w:name w:val="Header Char"/>
    <w:basedOn w:val="DefaultParagraphFont"/>
    <w:link w:val="Header"/>
    <w:uiPriority w:val="99"/>
    <w:rsid w:val="00FC41CA"/>
  </w:style>
  <w:style w:type="paragraph" w:styleId="TOCHeading">
    <w:name w:val="TOC Heading"/>
    <w:basedOn w:val="Heading1"/>
    <w:next w:val="Normal"/>
    <w:uiPriority w:val="39"/>
    <w:unhideWhenUsed/>
    <w:qFormat/>
    <w:rsid w:val="00F6336D"/>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PlainTable1">
    <w:name w:val="Plain Table 1"/>
    <w:basedOn w:val="TableNormal"/>
    <w:uiPriority w:val="41"/>
    <w:rsid w:val="00CB1EC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5GTbddXP8xh8mnfo2tqx58TTjw==">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Jourdain</dc:creator>
  <cp:lastModifiedBy>Emma Jourdain</cp:lastModifiedBy>
  <cp:revision>2</cp:revision>
  <dcterms:created xsi:type="dcterms:W3CDTF">2022-03-09T19:31:00Z</dcterms:created>
  <dcterms:modified xsi:type="dcterms:W3CDTF">2022-03-09T19:31:00Z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http://www.zotero.org/styles/plos-one</vt:lpwstr>
  </property>
  <property fmtid="{D5CDD505-2E9C-101B-9397-08002B2CF9AE}" pid="3" name="Mendeley Document_1">
    <vt:lpwstr>True</vt:lpwstr>
  </property>
  <property fmtid="{D5CDD505-2E9C-101B-9397-08002B2CF9AE}" pid="4" name="Mendeley Unique User Id_1">
    <vt:lpwstr>0bcd50b0-0169-3e9a-bb6e-db1d30ef6fba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http://www.zotero.org/styles/current-biology</vt:lpwstr>
  </property>
  <property fmtid="{D5CDD505-2E9C-101B-9397-08002B2CF9AE}" pid="8" name="Mendeley Recent Style Name 1_1">
    <vt:lpwstr>Current Biology</vt:lpwstr>
  </property>
  <property fmtid="{D5CDD505-2E9C-101B-9397-08002B2CF9AE}" pid="9" name="Mendeley Recent Style Id 2_1">
    <vt:lpwstr>http://www.zotero.org/styles/elsevier-harvard</vt:lpwstr>
  </property>
  <property fmtid="{D5CDD505-2E9C-101B-9397-08002B2CF9AE}" pid="10" name="Mendeley Recent Style Name 2_1">
    <vt:lpwstr>Elsevier - Harvard (with titles)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http://www.zotero.org/styles/journal-of-experimental-botany</vt:lpwstr>
  </property>
  <property fmtid="{D5CDD505-2E9C-101B-9397-08002B2CF9AE}" pid="14" name="Mendeley Recent Style Name 4_1">
    <vt:lpwstr>Journal of Experimental Botany</vt:lpwstr>
  </property>
  <property fmtid="{D5CDD505-2E9C-101B-9397-08002B2CF9AE}" pid="15" name="Mendeley Recent Style Id 5_1">
    <vt:lpwstr>http://www.zotero.org/styles/plos-one</vt:lpwstr>
  </property>
  <property fmtid="{D5CDD505-2E9C-101B-9397-08002B2CF9AE}" pid="16" name="Mendeley Recent Style Name 5_1">
    <vt:lpwstr>PLOS ONE</vt:lpwstr>
  </property>
  <property fmtid="{D5CDD505-2E9C-101B-9397-08002B2CF9AE}" pid="17" name="Mendeley Recent Style Id 6_1">
    <vt:lpwstr>http://www.zotero.org/styles/plant-and-cell-physiology</vt:lpwstr>
  </property>
  <property fmtid="{D5CDD505-2E9C-101B-9397-08002B2CF9AE}" pid="18" name="Mendeley Recent Style Name 6_1">
    <vt:lpwstr>Plant &amp; Cell Physiology</vt:lpwstr>
  </property>
  <property fmtid="{D5CDD505-2E9C-101B-9397-08002B2CF9AE}" pid="19" name="Mendeley Recent Style Id 7_1">
    <vt:lpwstr>http://csl.mendeley.com/styles/510722641/plant-and-cell-physiology-2</vt:lpwstr>
  </property>
  <property fmtid="{D5CDD505-2E9C-101B-9397-08002B2CF9AE}" pid="20" name="Mendeley Recent Style Name 7_1">
    <vt:lpwstr>Plant &amp; Cell Physiology - jan xue</vt:lpwstr>
  </property>
  <property fmtid="{D5CDD505-2E9C-101B-9397-08002B2CF9AE}" pid="21" name="Mendeley Recent Style Id 8_1">
    <vt:lpwstr>https://csl.mendeley.com/styles/510722641/plant-and-cell-physiology-2</vt:lpwstr>
  </property>
  <property fmtid="{D5CDD505-2E9C-101B-9397-08002B2CF9AE}" pid="22" name="Mendeley Recent Style Name 8_1">
    <vt:lpwstr>Plant &amp; Cell Physiology - jan xue</vt:lpwstr>
  </property>
  <property fmtid="{D5CDD505-2E9C-101B-9397-08002B2CF9AE}" pid="23" name="Mendeley Recent Style Id 9_1">
    <vt:lpwstr>http://www.zotero.org/styles/plant-physiology</vt:lpwstr>
  </property>
  <property fmtid="{D5CDD505-2E9C-101B-9397-08002B2CF9AE}" pid="24" name="Mendeley Recent Style Name 9_1">
    <vt:lpwstr>Plant Physiology</vt:lpwstr>
  </property>
</Properties>
</file>