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4C07" w14:textId="301B86E5" w:rsidR="004258A8" w:rsidRPr="00DB7E0C" w:rsidRDefault="004258A8" w:rsidP="004258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S13 </w:t>
      </w:r>
      <w:r w:rsidRPr="002F6B5C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F6B5C">
        <w:rPr>
          <w:rFonts w:ascii="Times New Roman" w:hAnsi="Times New Roman" w:cs="Times New Roman"/>
          <w:b/>
          <w:sz w:val="24"/>
          <w:szCs w:val="24"/>
        </w:rPr>
        <w:t xml:space="preserve"> Mean comparisons </w:t>
      </w:r>
      <w:r>
        <w:rPr>
          <w:rFonts w:ascii="Times New Roman" w:hAnsi="Times New Roman" w:cs="Times New Roman"/>
          <w:b/>
          <w:sz w:val="24"/>
          <w:szCs w:val="24"/>
        </w:rPr>
        <w:t>for</w:t>
      </w:r>
      <w:r w:rsidRPr="002F6B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environmental preferences by sexual orientation.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666"/>
        <w:gridCol w:w="850"/>
        <w:gridCol w:w="928"/>
      </w:tblGrid>
      <w:tr w:rsidR="004258A8" w:rsidRPr="00E77F2C" w14:paraId="3C434E46" w14:textId="77777777" w:rsidTr="00497444">
        <w:trPr>
          <w:trHeight w:val="10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C296D8E" w14:textId="77777777" w:rsidR="004258A8" w:rsidRPr="00DB7E0C" w:rsidRDefault="004258A8" w:rsidP="004974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C5C9F3A" w14:textId="77777777" w:rsidR="004258A8" w:rsidRPr="00DB7E0C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554836" w14:textId="77777777" w:rsidR="004258A8" w:rsidRPr="00DB7E0C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C03F24" w14:textId="77777777" w:rsidR="004258A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8A8" w:rsidRPr="00E77F2C" w14:paraId="7CCD5379" w14:textId="77777777" w:rsidTr="00497444">
        <w:trPr>
          <w:trHeight w:val="10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D1EB98E" w14:textId="77777777" w:rsidR="004258A8" w:rsidRPr="00884E27" w:rsidRDefault="004258A8" w:rsidP="004974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27">
              <w:rPr>
                <w:rFonts w:ascii="Times New Roman" w:hAnsi="Times New Roman" w:cs="Times New Roman"/>
                <w:bCs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C16C88" w14:textId="77777777" w:rsidR="004258A8" w:rsidRPr="00DB7E0C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6D5F44" w14:textId="77777777" w:rsidR="004258A8" w:rsidRPr="00DB7E0C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ECA6F1" w14:textId="77777777" w:rsidR="004258A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</w:p>
        </w:tc>
      </w:tr>
      <w:tr w:rsidR="004258A8" w:rsidRPr="00E77F2C" w14:paraId="544ACF70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C0846AF" w14:textId="77777777" w:rsidR="004258A8" w:rsidRPr="00EA2262" w:rsidRDefault="004258A8" w:rsidP="0049744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Improving and protecting environment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48C9FFD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1E25C7D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4030E5D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58A8" w:rsidRPr="00E77F2C" w14:paraId="6B5E0857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504EABB" w14:textId="77777777" w:rsidR="004258A8" w:rsidRPr="00DB7E0C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Spending too little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ADE91E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4EDEF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B8889F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***</w:t>
            </w:r>
          </w:p>
        </w:tc>
      </w:tr>
      <w:tr w:rsidR="004258A8" w:rsidRPr="00E77F2C" w14:paraId="0832D03D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172D484" w14:textId="77777777" w:rsidR="004258A8" w:rsidRPr="00DB7E0C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Spending about 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4F766F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7F8026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642D82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-0.060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***</w:t>
            </w:r>
          </w:p>
        </w:tc>
      </w:tr>
      <w:tr w:rsidR="004258A8" w:rsidRPr="00E77F2C" w14:paraId="49719B73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6B58F4" w14:textId="77777777" w:rsidR="004258A8" w:rsidRPr="00DB7E0C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Spending too much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140433C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9603049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29320A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-0.015</w:t>
            </w:r>
          </w:p>
        </w:tc>
      </w:tr>
      <w:tr w:rsidR="004258A8" w:rsidRPr="002F6B5C" w14:paraId="4D112A16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665613F" w14:textId="77777777" w:rsidR="004258A8" w:rsidRPr="002F6B5C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</w:t>
            </w:r>
            <w:r w:rsidRPr="002F6B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eveloping alternative energy sources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A5078E4" w14:textId="77777777" w:rsidR="004258A8" w:rsidRPr="002F6B5C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C3A95DA" w14:textId="77777777" w:rsidR="004258A8" w:rsidRPr="002F6B5C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E938991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58A8" w:rsidRPr="00E77F2C" w14:paraId="4B05546E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688607D" w14:textId="77777777" w:rsidR="004258A8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Spending too little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EA74B9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8CCAD4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DF6E3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***</w:t>
            </w:r>
          </w:p>
        </w:tc>
      </w:tr>
      <w:tr w:rsidR="004258A8" w:rsidRPr="00E77F2C" w14:paraId="0BC31076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684E471" w14:textId="77777777" w:rsidR="004258A8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Spending about 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3C8CC8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F1A44E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392165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-0.105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***</w:t>
            </w:r>
          </w:p>
        </w:tc>
      </w:tr>
      <w:tr w:rsidR="004258A8" w:rsidRPr="00E77F2C" w14:paraId="1CC8D149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55B4081" w14:textId="77777777" w:rsidR="004258A8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Spending too much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8C67333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03E394D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E292DA4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0.001</w:t>
            </w:r>
          </w:p>
        </w:tc>
      </w:tr>
      <w:tr w:rsidR="004258A8" w:rsidRPr="00E77F2C" w14:paraId="7E981F7E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F1195CA" w14:textId="77777777" w:rsidR="004258A8" w:rsidRPr="002F6B5C" w:rsidRDefault="004258A8" w:rsidP="0049744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Interested in issues on environmental pollution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0AC5008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D872118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40D558F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58A8" w:rsidRPr="00E77F2C" w14:paraId="468A4805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CFD2F18" w14:textId="77777777" w:rsidR="004258A8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interested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046B30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0.542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90BE25" w14:textId="77777777" w:rsidR="004258A8" w:rsidRPr="00AF3B6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DB63A3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0.088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**</w:t>
            </w:r>
          </w:p>
        </w:tc>
      </w:tr>
      <w:tr w:rsidR="004258A8" w:rsidRPr="00E77F2C" w14:paraId="098E7287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F9BF8F" w14:textId="77777777" w:rsidR="004258A8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Moderately interested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369F54" w14:textId="77777777" w:rsidR="004258A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8B0CD8" w14:textId="77777777" w:rsidR="004258A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787E34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-0.073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258A8" w:rsidRPr="00E77F2C" w14:paraId="3C3B4665" w14:textId="77777777" w:rsidTr="00497444">
        <w:trPr>
          <w:trHeight w:val="23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8CC4C28" w14:textId="77777777" w:rsidR="004258A8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at all interested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926D55" w14:textId="77777777" w:rsidR="004258A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78FE57" w14:textId="77777777" w:rsidR="004258A8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C22CBE" w14:textId="77777777" w:rsidR="004258A8" w:rsidRPr="0067631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-0.014</w:t>
            </w:r>
          </w:p>
        </w:tc>
      </w:tr>
      <w:tr w:rsidR="004258A8" w:rsidRPr="00093964" w14:paraId="7040BB2C" w14:textId="77777777" w:rsidTr="00497444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9087492" w14:textId="77777777" w:rsidR="004258A8" w:rsidRPr="00093964" w:rsidRDefault="004258A8" w:rsidP="004974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96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6CE3BF" w14:textId="77777777" w:rsidR="004258A8" w:rsidRPr="0009396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6A0701" w14:textId="77777777" w:rsidR="004258A8" w:rsidRPr="0009396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9B8B6D" w14:textId="77777777" w:rsidR="004258A8" w:rsidRPr="00093964" w:rsidRDefault="004258A8" w:rsidP="004974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597A5F" w14:textId="77777777" w:rsidR="004258A8" w:rsidRDefault="004258A8" w:rsidP="004258A8">
      <w:pPr>
        <w:spacing w:before="240"/>
        <w:ind w:left="1418" w:right="1424"/>
        <w:jc w:val="both"/>
        <w:rPr>
          <w:rFonts w:ascii="Times New Roman" w:hAnsi="Times New Roman"/>
          <w:sz w:val="20"/>
          <w:szCs w:val="20"/>
        </w:rPr>
      </w:pPr>
      <w:r w:rsidRPr="00FF49FF">
        <w:rPr>
          <w:rFonts w:ascii="Times New Roman" w:hAnsi="Times New Roman" w:cs="Times New Roman"/>
          <w:sz w:val="20"/>
          <w:szCs w:val="20"/>
        </w:rPr>
        <w:t>Weighted means.</w:t>
      </w:r>
      <w:r>
        <w:rPr>
          <w:rFonts w:ascii="Times New Roman" w:hAnsi="Times New Roman" w:cs="Times New Roman"/>
          <w:sz w:val="20"/>
          <w:szCs w:val="20"/>
        </w:rPr>
        <w:t xml:space="preserve"> “GLB” refers to individual who identifies as gay, lesbian, homosexual, or bisexual when asked about their sexual orientation.</w:t>
      </w:r>
      <w:r w:rsidRPr="00FF49FF">
        <w:rPr>
          <w:rFonts w:ascii="Times New Roman" w:hAnsi="Times New Roman" w:cs="Times New Roman"/>
          <w:sz w:val="20"/>
          <w:szCs w:val="20"/>
        </w:rPr>
        <w:t xml:space="preserve"> Sample size (N) refers to the total number of respondents in the relevant sub-group.</w:t>
      </w:r>
      <w:r>
        <w:rPr>
          <w:rFonts w:ascii="Times New Roman" w:hAnsi="Times New Roman" w:cs="Times New Roman"/>
          <w:sz w:val="20"/>
          <w:szCs w:val="20"/>
        </w:rPr>
        <w:t xml:space="preserve"> Respondents younger than 18 or older than 64 have been excluded.</w:t>
      </w:r>
      <w:r w:rsidRPr="00FF49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Respondents who </w:t>
      </w:r>
      <w:proofErr w:type="gramStart"/>
      <w:r>
        <w:rPr>
          <w:rFonts w:ascii="Times New Roman" w:hAnsi="Times New Roman" w:cs="Times New Roman"/>
          <w:sz w:val="20"/>
          <w:szCs w:val="20"/>
        </w:rPr>
        <w:t>answered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“don’t know”, who refused to answer, or who were not asked the relevant questions are not included in the above comparisons. </w:t>
      </w:r>
      <w:r w:rsidRPr="00FF49FF">
        <w:rPr>
          <w:rFonts w:ascii="Times New Roman" w:hAnsi="Times New Roman" w:cs="Times New Roman"/>
          <w:sz w:val="20"/>
          <w:szCs w:val="20"/>
        </w:rPr>
        <w:t xml:space="preserve">Source: </w:t>
      </w:r>
      <w:r>
        <w:rPr>
          <w:rFonts w:ascii="Times New Roman" w:hAnsi="Times New Roman"/>
          <w:bCs/>
          <w:sz w:val="20"/>
          <w:szCs w:val="20"/>
        </w:rPr>
        <w:t>GSS</w:t>
      </w:r>
      <w:r w:rsidRPr="00FF49FF">
        <w:rPr>
          <w:rFonts w:ascii="Times New Roman" w:hAnsi="Times New Roman"/>
          <w:bCs/>
          <w:sz w:val="20"/>
          <w:szCs w:val="20"/>
        </w:rPr>
        <w:t xml:space="preserve"> 200</w:t>
      </w:r>
      <w:r>
        <w:rPr>
          <w:rFonts w:ascii="Times New Roman" w:hAnsi="Times New Roman"/>
          <w:bCs/>
          <w:sz w:val="20"/>
          <w:szCs w:val="20"/>
        </w:rPr>
        <w:t>8</w:t>
      </w:r>
      <w:r w:rsidRPr="00FF49FF">
        <w:rPr>
          <w:rFonts w:ascii="Times New Roman" w:hAnsi="Times New Roman"/>
          <w:bCs/>
          <w:sz w:val="20"/>
          <w:szCs w:val="20"/>
        </w:rPr>
        <w:t>-201</w:t>
      </w:r>
      <w:r>
        <w:rPr>
          <w:rFonts w:ascii="Times New Roman" w:hAnsi="Times New Roman"/>
          <w:bCs/>
          <w:sz w:val="20"/>
          <w:szCs w:val="20"/>
        </w:rPr>
        <w:t>8</w:t>
      </w:r>
      <w:r w:rsidRPr="00FF49FF">
        <w:rPr>
          <w:rFonts w:ascii="Times New Roman" w:hAnsi="Times New Roman"/>
          <w:bCs/>
          <w:sz w:val="20"/>
          <w:szCs w:val="20"/>
        </w:rPr>
        <w:t xml:space="preserve">. </w:t>
      </w:r>
      <w:r w:rsidRPr="00FF49FF">
        <w:rPr>
          <w:rFonts w:ascii="Times New Roman" w:hAnsi="Times New Roman"/>
          <w:sz w:val="20"/>
          <w:szCs w:val="20"/>
          <w:vertAlign w:val="superscript"/>
        </w:rPr>
        <w:t>*</w:t>
      </w:r>
      <w:r w:rsidRPr="00FF49FF">
        <w:rPr>
          <w:rFonts w:ascii="Times New Roman" w:hAnsi="Times New Roman"/>
          <w:sz w:val="20"/>
          <w:szCs w:val="20"/>
        </w:rPr>
        <w:t xml:space="preserve"> </w:t>
      </w:r>
      <w:r w:rsidRPr="00FF49FF">
        <w:rPr>
          <w:rFonts w:ascii="Times New Roman" w:hAnsi="Times New Roman"/>
          <w:i/>
          <w:iCs/>
          <w:sz w:val="20"/>
          <w:szCs w:val="20"/>
        </w:rPr>
        <w:t>p</w:t>
      </w:r>
      <w:r w:rsidRPr="00FF49FF">
        <w:rPr>
          <w:rFonts w:ascii="Times New Roman" w:hAnsi="Times New Roman"/>
          <w:sz w:val="20"/>
          <w:szCs w:val="20"/>
        </w:rPr>
        <w:t xml:space="preserve"> &lt; 0.10, </w:t>
      </w:r>
      <w:r w:rsidRPr="00FF49FF">
        <w:rPr>
          <w:rFonts w:ascii="Times New Roman" w:hAnsi="Times New Roman"/>
          <w:sz w:val="20"/>
          <w:szCs w:val="20"/>
          <w:vertAlign w:val="superscript"/>
        </w:rPr>
        <w:t>**</w:t>
      </w:r>
      <w:r w:rsidRPr="00FF49FF">
        <w:rPr>
          <w:rFonts w:ascii="Times New Roman" w:hAnsi="Times New Roman"/>
          <w:sz w:val="20"/>
          <w:szCs w:val="20"/>
        </w:rPr>
        <w:t xml:space="preserve"> </w:t>
      </w:r>
      <w:r w:rsidRPr="00FF49FF">
        <w:rPr>
          <w:rFonts w:ascii="Times New Roman" w:hAnsi="Times New Roman"/>
          <w:i/>
          <w:iCs/>
          <w:sz w:val="20"/>
          <w:szCs w:val="20"/>
        </w:rPr>
        <w:t>p</w:t>
      </w:r>
      <w:r w:rsidRPr="00FF49FF">
        <w:rPr>
          <w:rFonts w:ascii="Times New Roman" w:hAnsi="Times New Roman"/>
          <w:sz w:val="20"/>
          <w:szCs w:val="20"/>
        </w:rPr>
        <w:t xml:space="preserve"> &lt; 0.05, </w:t>
      </w:r>
      <w:r w:rsidRPr="00FF49FF">
        <w:rPr>
          <w:rFonts w:ascii="Times New Roman" w:hAnsi="Times New Roman"/>
          <w:sz w:val="20"/>
          <w:szCs w:val="20"/>
          <w:vertAlign w:val="superscript"/>
        </w:rPr>
        <w:t>***</w:t>
      </w:r>
      <w:r w:rsidRPr="00FF49FF">
        <w:rPr>
          <w:rFonts w:ascii="Times New Roman" w:hAnsi="Times New Roman"/>
          <w:sz w:val="20"/>
          <w:szCs w:val="20"/>
        </w:rPr>
        <w:t xml:space="preserve"> </w:t>
      </w:r>
      <w:r w:rsidRPr="00FF49FF">
        <w:rPr>
          <w:rFonts w:ascii="Times New Roman" w:hAnsi="Times New Roman"/>
          <w:i/>
          <w:iCs/>
          <w:sz w:val="20"/>
          <w:szCs w:val="20"/>
        </w:rPr>
        <w:t>p</w:t>
      </w:r>
      <w:r w:rsidRPr="00FF49FF">
        <w:rPr>
          <w:rFonts w:ascii="Times New Roman" w:hAnsi="Times New Roman"/>
          <w:sz w:val="20"/>
          <w:szCs w:val="20"/>
        </w:rPr>
        <w:t xml:space="preserve"> &lt; 0.01</w:t>
      </w:r>
    </w:p>
    <w:p w14:paraId="788824C8" w14:textId="77777777" w:rsidR="00616667" w:rsidRDefault="00616667"/>
    <w:sectPr w:rsidR="00616667" w:rsidSect="00F038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8"/>
    <w:rsid w:val="004258A8"/>
    <w:rsid w:val="00616667"/>
    <w:rsid w:val="00F0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0BB0"/>
  <w15:chartTrackingRefBased/>
  <w15:docId w15:val="{22455DE8-1A1F-42B2-A7E1-2FDB6B4B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Sansone, Dario</dc:creator>
  <cp:keywords/>
  <dc:description/>
  <cp:lastModifiedBy>Sansone, Dario</cp:lastModifiedBy>
  <cp:revision>1</cp:revision>
  <dcterms:created xsi:type="dcterms:W3CDTF">2022-01-31T11:58:00Z</dcterms:created>
  <dcterms:modified xsi:type="dcterms:W3CDTF">2022-01-31T11:58:00Z</dcterms:modified>
</cp:coreProperties>
</file>