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F9B2" w14:textId="03C13BA1" w:rsidR="00D26DCD" w:rsidRPr="00D26DCD" w:rsidRDefault="00D26DCD" w:rsidP="00D26DCD">
      <w:pPr>
        <w:pStyle w:val="Caption"/>
        <w:rPr>
          <w:b/>
          <w:bCs/>
          <w:i w:val="0"/>
          <w:iCs w:val="0"/>
          <w:color w:val="000000"/>
          <w:sz w:val="22"/>
          <w:szCs w:val="22"/>
        </w:rPr>
      </w:pPr>
      <w:bookmarkStart w:id="0" w:name="_Ref47905213"/>
      <w:r w:rsidRPr="00D26DCD">
        <w:rPr>
          <w:b/>
          <w:bCs/>
          <w:i w:val="0"/>
          <w:iCs w:val="0"/>
          <w:color w:val="000000"/>
          <w:sz w:val="22"/>
          <w:szCs w:val="22"/>
        </w:rPr>
        <w:t>S</w:t>
      </w:r>
      <w:r w:rsidRPr="00D26DCD">
        <w:rPr>
          <w:b/>
          <w:bCs/>
          <w:i w:val="0"/>
          <w:iCs w:val="0"/>
          <w:color w:val="000000"/>
          <w:sz w:val="22"/>
          <w:szCs w:val="22"/>
        </w:rPr>
        <w:fldChar w:fldCharType="begin"/>
      </w:r>
      <w:r w:rsidRPr="00D26DCD">
        <w:rPr>
          <w:b/>
          <w:bCs/>
          <w:i w:val="0"/>
          <w:iCs w:val="0"/>
          <w:color w:val="000000"/>
          <w:sz w:val="22"/>
          <w:szCs w:val="22"/>
        </w:rPr>
        <w:instrText xml:space="preserve"> SEQ Figure_S \* ARABIC </w:instrText>
      </w:r>
      <w:r w:rsidRPr="00D26DCD">
        <w:rPr>
          <w:b/>
          <w:bCs/>
          <w:i w:val="0"/>
          <w:iCs w:val="0"/>
          <w:color w:val="000000"/>
          <w:sz w:val="22"/>
          <w:szCs w:val="22"/>
        </w:rPr>
        <w:fldChar w:fldCharType="separate"/>
      </w:r>
      <w:r w:rsidRPr="00D26DCD">
        <w:rPr>
          <w:b/>
          <w:bCs/>
          <w:i w:val="0"/>
          <w:iCs w:val="0"/>
          <w:noProof/>
          <w:color w:val="000000"/>
          <w:sz w:val="22"/>
          <w:szCs w:val="22"/>
        </w:rPr>
        <w:t>2</w:t>
      </w:r>
      <w:r w:rsidRPr="00D26DCD">
        <w:rPr>
          <w:b/>
          <w:bCs/>
          <w:i w:val="0"/>
          <w:iCs w:val="0"/>
          <w:color w:val="000000"/>
          <w:sz w:val="22"/>
          <w:szCs w:val="22"/>
        </w:rPr>
        <w:fldChar w:fldCharType="end"/>
      </w:r>
      <w:bookmarkEnd w:id="0"/>
      <w:r w:rsidRPr="00D26DCD">
        <w:rPr>
          <w:b/>
          <w:bCs/>
          <w:i w:val="0"/>
          <w:iCs w:val="0"/>
          <w:color w:val="000000"/>
          <w:sz w:val="22"/>
          <w:szCs w:val="22"/>
        </w:rPr>
        <w:t xml:space="preserve"> Fig Cost-effectiveness acceptability curve showing the probability that </w:t>
      </w:r>
      <w:proofErr w:type="spellStart"/>
      <w:r w:rsidRPr="00D26DCD">
        <w:rPr>
          <w:b/>
          <w:bCs/>
          <w:i w:val="0"/>
          <w:iCs w:val="0"/>
          <w:color w:val="000000"/>
          <w:sz w:val="22"/>
          <w:szCs w:val="22"/>
        </w:rPr>
        <w:t>COTiD</w:t>
      </w:r>
      <w:proofErr w:type="spellEnd"/>
      <w:r w:rsidRPr="00D26DCD">
        <w:rPr>
          <w:b/>
          <w:bCs/>
          <w:i w:val="0"/>
          <w:iCs w:val="0"/>
          <w:color w:val="000000"/>
          <w:sz w:val="22"/>
          <w:szCs w:val="22"/>
        </w:rPr>
        <w:t xml:space="preserve">-UK vs TAU is cost-effective at different values of the maximum willingness to pay for a QALY. </w:t>
      </w:r>
    </w:p>
    <w:p w14:paraId="6136FA87" w14:textId="77777777" w:rsidR="00D26DCD" w:rsidRPr="00034B6D" w:rsidRDefault="00D26DCD" w:rsidP="00D26DCD">
      <w:pPr>
        <w:jc w:val="both"/>
        <w:rPr>
          <w:rFonts w:eastAsia="Calibri" w:cs="Calibri"/>
          <w:b/>
          <w:sz w:val="20"/>
        </w:rPr>
      </w:pPr>
      <w:bookmarkStart w:id="1" w:name="_Hlk92891304"/>
      <w:r w:rsidRPr="00034B6D">
        <w:rPr>
          <w:rFonts w:eastAsia="Calibri" w:cs="Calibri"/>
          <w:sz w:val="20"/>
        </w:rPr>
        <w:t xml:space="preserve">QALY=quality adjusted life year. The probability TUA is cost-effective is one minus the probability </w:t>
      </w:r>
      <w:proofErr w:type="spellStart"/>
      <w:r w:rsidRPr="00034B6D">
        <w:rPr>
          <w:rFonts w:eastAsia="Calibri" w:cs="Calibri"/>
          <w:sz w:val="20"/>
        </w:rPr>
        <w:t>COTiD</w:t>
      </w:r>
      <w:proofErr w:type="spellEnd"/>
      <w:r w:rsidRPr="00034B6D">
        <w:rPr>
          <w:rFonts w:eastAsia="Calibri" w:cs="Calibri"/>
          <w:sz w:val="20"/>
        </w:rPr>
        <w:t xml:space="preserve">-UK is cost-effective at each value of the maximum willingness to pay for a QALY. </w:t>
      </w:r>
    </w:p>
    <w:bookmarkEnd w:id="1"/>
    <w:p w14:paraId="1535F738" w14:textId="77777777" w:rsidR="00D26DCD" w:rsidRPr="00034B6D" w:rsidRDefault="00D26DCD" w:rsidP="00D26DC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034B6D">
        <w:rPr>
          <w:rFonts w:eastAsia="Calibri"/>
          <w:b/>
        </w:rPr>
        <w:t>NHS costs person with dementia only, EQ-5D-5L</w:t>
      </w:r>
    </w:p>
    <w:p w14:paraId="5259E194" w14:textId="42A3901F" w:rsidR="00D26DCD" w:rsidRPr="00744904" w:rsidRDefault="00273DDE" w:rsidP="00D26DCD">
      <w:pPr>
        <w:spacing w:line="480" w:lineRule="auto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pict w14:anchorId="54F4F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7" o:spid="_x0000_i1025" type="#_x0000_t75" style="width:341.25pt;height:247.5pt;visibility:visible;mso-wrap-style:square">
            <v:imagedata r:id="rId5" o:title=""/>
          </v:shape>
        </w:pict>
      </w:r>
    </w:p>
    <w:p w14:paraId="5D2FDA7B" w14:textId="77777777" w:rsidR="00D26DCD" w:rsidRPr="00034B6D" w:rsidRDefault="00D26DCD" w:rsidP="00D26DCD">
      <w:pPr>
        <w:pStyle w:val="ListParagraph"/>
        <w:numPr>
          <w:ilvl w:val="0"/>
          <w:numId w:val="1"/>
        </w:numPr>
        <w:rPr>
          <w:rFonts w:cs="Calibri"/>
          <w:b/>
        </w:rPr>
      </w:pPr>
      <w:r w:rsidRPr="00034B6D">
        <w:rPr>
          <w:rFonts w:cs="Calibri"/>
          <w:b/>
        </w:rPr>
        <w:t xml:space="preserve">NHS costs person with dementia  only, DEMQOL- Proxy </w:t>
      </w:r>
    </w:p>
    <w:p w14:paraId="0FDD9A38" w14:textId="77777777" w:rsidR="00D26DCD" w:rsidRDefault="00D26DCD" w:rsidP="00D26DCD">
      <w:pPr>
        <w:spacing w:after="200" w:line="276" w:lineRule="auto"/>
        <w:ind w:left="360"/>
        <w:rPr>
          <w:rFonts w:eastAsia="Calibri" w:cs="Calibri"/>
          <w:b/>
        </w:rPr>
      </w:pPr>
    </w:p>
    <w:p w14:paraId="437221A6" w14:textId="70E0B54B" w:rsidR="00D26DCD" w:rsidRDefault="00273DDE" w:rsidP="00D26DCD">
      <w:pPr>
        <w:spacing w:after="200" w:line="276" w:lineRule="auto"/>
        <w:ind w:left="360"/>
        <w:rPr>
          <w:b/>
        </w:rPr>
      </w:pPr>
      <w:r>
        <w:rPr>
          <w:noProof/>
        </w:rPr>
        <w:pict w14:anchorId="201ADB59">
          <v:shape id="Picture 148" o:spid="_x0000_i1026" type="#_x0000_t75" style="width:345.25pt;height:251.25pt;visibility:visible;mso-wrap-style:square">
            <v:imagedata r:id="rId6" o:title=""/>
          </v:shape>
        </w:pict>
      </w:r>
      <w:r w:rsidR="00D26DCD" w:rsidRPr="00034B6D">
        <w:rPr>
          <w:rFonts w:eastAsia="Calibri" w:cs="Calibri"/>
          <w:b/>
        </w:rPr>
        <w:br w:type="page"/>
      </w:r>
      <w:r w:rsidR="00D26DCD">
        <w:rPr>
          <w:rFonts w:eastAsia="Calibri" w:cs="Calibri"/>
          <w:b/>
        </w:rPr>
        <w:lastRenderedPageBreak/>
        <w:t xml:space="preserve">c) </w:t>
      </w:r>
      <w:r w:rsidR="00D26DCD" w:rsidRPr="00034B6D">
        <w:rPr>
          <w:b/>
        </w:rPr>
        <w:t>Societal costs person with dementia only, EQ-5D-5L</w:t>
      </w:r>
    </w:p>
    <w:p w14:paraId="0C81A5D7" w14:textId="62B90376" w:rsidR="00D26DCD" w:rsidRPr="00034B6D" w:rsidRDefault="00273DDE" w:rsidP="00D26DCD">
      <w:pPr>
        <w:spacing w:after="200" w:line="276" w:lineRule="auto"/>
        <w:ind w:left="360"/>
        <w:rPr>
          <w:b/>
        </w:rPr>
      </w:pPr>
      <w:r>
        <w:rPr>
          <w:b/>
          <w:noProof/>
        </w:rPr>
        <w:pict w14:anchorId="1F5032C9">
          <v:shape id="Picture 149" o:spid="_x0000_i1027" type="#_x0000_t75" style="width:399.75pt;height:291pt;visibility:visible;mso-wrap-style:square">
            <v:imagedata r:id="rId7" o:title=""/>
          </v:shape>
        </w:pict>
      </w:r>
    </w:p>
    <w:p w14:paraId="64C3D5FC" w14:textId="77777777" w:rsidR="00D26DCD" w:rsidRDefault="00D26DCD" w:rsidP="00D26DCD">
      <w:pPr>
        <w:spacing w:after="200" w:line="276" w:lineRule="auto"/>
        <w:ind w:left="360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d)  </w:t>
      </w:r>
      <w:r w:rsidRPr="00034B6D">
        <w:rPr>
          <w:rFonts w:eastAsia="Calibri"/>
          <w:b/>
        </w:rPr>
        <w:t>Societal costs person with dementia only, DEMQOL</w:t>
      </w:r>
    </w:p>
    <w:p w14:paraId="47F51D2E" w14:textId="77777777" w:rsidR="00D26DCD" w:rsidRPr="00034B6D" w:rsidRDefault="00D26DCD" w:rsidP="00D26DCD">
      <w:pPr>
        <w:spacing w:after="200" w:line="276" w:lineRule="auto"/>
        <w:ind w:left="360"/>
        <w:contextualSpacing/>
        <w:rPr>
          <w:rFonts w:eastAsia="Calibri"/>
          <w:b/>
        </w:rPr>
      </w:pPr>
    </w:p>
    <w:p w14:paraId="216D587C" w14:textId="708CB40A" w:rsidR="00D26DCD" w:rsidRDefault="00273DDE" w:rsidP="00D26DCD">
      <w:pPr>
        <w:ind w:left="360"/>
        <w:rPr>
          <w:b/>
        </w:rPr>
      </w:pPr>
      <w:r>
        <w:rPr>
          <w:rFonts w:eastAsia="Calibri" w:cs="Calibri"/>
          <w:b/>
          <w:i/>
          <w:noProof/>
          <w:sz w:val="24"/>
          <w:szCs w:val="24"/>
        </w:rPr>
        <w:pict w14:anchorId="18C8F5DC">
          <v:shape id="Picture 150" o:spid="_x0000_i1028" type="#_x0000_t75" style="width:379.75pt;height:276pt;visibility:visible;mso-wrap-style:square">
            <v:imagedata r:id="rId8" o:title=""/>
          </v:shape>
        </w:pict>
      </w:r>
      <w:r w:rsidR="00D26DCD" w:rsidRPr="00034B6D">
        <w:rPr>
          <w:rFonts w:eastAsia="Calibri" w:cs="Calibri"/>
          <w:b/>
          <w:i/>
          <w:sz w:val="24"/>
          <w:szCs w:val="24"/>
        </w:rPr>
        <w:br w:type="page"/>
      </w:r>
      <w:r w:rsidR="00D26DCD" w:rsidRPr="00034B6D">
        <w:rPr>
          <w:rFonts w:eastAsia="Calibri" w:cs="Calibri"/>
          <w:b/>
          <w:sz w:val="24"/>
          <w:szCs w:val="24"/>
        </w:rPr>
        <w:lastRenderedPageBreak/>
        <w:t xml:space="preserve">e) </w:t>
      </w:r>
      <w:r w:rsidR="00D26DCD" w:rsidRPr="00034B6D">
        <w:rPr>
          <w:b/>
        </w:rPr>
        <w:t>Societal</w:t>
      </w:r>
      <w:r w:rsidR="00D26DCD" w:rsidRPr="00E56871">
        <w:rPr>
          <w:b/>
        </w:rPr>
        <w:t xml:space="preserve"> costs </w:t>
      </w:r>
      <w:r w:rsidR="00D26DCD">
        <w:rPr>
          <w:b/>
        </w:rPr>
        <w:t>person with dementia</w:t>
      </w:r>
      <w:r w:rsidR="00D26DCD" w:rsidRPr="00E56871">
        <w:rPr>
          <w:b/>
        </w:rPr>
        <w:t xml:space="preserve"> only, DEMQOL-P</w:t>
      </w:r>
      <w:r w:rsidR="00D26DCD">
        <w:rPr>
          <w:b/>
        </w:rPr>
        <w:t>roxy</w:t>
      </w:r>
    </w:p>
    <w:p w14:paraId="7AE860AA" w14:textId="7A4232AE" w:rsidR="00D26DCD" w:rsidRDefault="00273DDE" w:rsidP="00D26DCD">
      <w:pPr>
        <w:ind w:left="360" w:firstLine="36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noProof/>
          <w:sz w:val="24"/>
          <w:szCs w:val="24"/>
        </w:rPr>
        <w:pict w14:anchorId="2FF416F5">
          <v:shape id="Picture 151" o:spid="_x0000_i1029" type="#_x0000_t75" style="width:375pt;height:273.75pt;visibility:visible;mso-wrap-style:square">
            <v:imagedata r:id="rId9" o:title=""/>
          </v:shape>
        </w:pict>
      </w:r>
    </w:p>
    <w:p w14:paraId="3FD14EDF" w14:textId="77777777" w:rsidR="00D26DCD" w:rsidRDefault="00D26DCD" w:rsidP="00D26DCD">
      <w:pPr>
        <w:tabs>
          <w:tab w:val="left" w:pos="1464"/>
        </w:tabs>
        <w:ind w:left="360"/>
        <w:rPr>
          <w:rFonts w:eastAsia="Calibri" w:cs="Calibri"/>
          <w:b/>
          <w:sz w:val="24"/>
          <w:szCs w:val="24"/>
        </w:rPr>
      </w:pPr>
    </w:p>
    <w:p w14:paraId="5BCB9741" w14:textId="77777777" w:rsidR="00D26DCD" w:rsidRDefault="00D26DCD" w:rsidP="00D26DCD">
      <w:pPr>
        <w:tabs>
          <w:tab w:val="left" w:pos="1464"/>
        </w:tabs>
        <w:ind w:left="36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f)</w:t>
      </w:r>
      <w:r w:rsidRPr="00EB7F9A">
        <w:rPr>
          <w:rFonts w:eastAsia="Calibri" w:cs="Calibri"/>
          <w:b/>
          <w:sz w:val="24"/>
          <w:szCs w:val="24"/>
        </w:rPr>
        <w:t xml:space="preserve">   NHS costs both, EQ-5D-5L</w:t>
      </w:r>
    </w:p>
    <w:p w14:paraId="2C767514" w14:textId="77777777" w:rsidR="00D26DCD" w:rsidRDefault="00D26DCD" w:rsidP="00D26DCD">
      <w:pPr>
        <w:rPr>
          <w:rFonts w:eastAsia="Calibri" w:cs="Calibri"/>
          <w:sz w:val="24"/>
          <w:szCs w:val="24"/>
        </w:rPr>
      </w:pPr>
    </w:p>
    <w:p w14:paraId="57763949" w14:textId="7890781E" w:rsidR="00D26DCD" w:rsidRDefault="00273DDE" w:rsidP="00D26DCD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pict w14:anchorId="12A5B909">
          <v:shape id="Picture 154" o:spid="_x0000_i1030" type="#_x0000_t75" style="width:381.5pt;height:277.5pt;visibility:visible;mso-wrap-style:square">
            <v:imagedata r:id="rId10" o:title=""/>
          </v:shape>
        </w:pict>
      </w:r>
    </w:p>
    <w:p w14:paraId="6D80881F" w14:textId="77777777" w:rsidR="00D26DCD" w:rsidRPr="00EB7F9A" w:rsidRDefault="00D26DCD" w:rsidP="00D26DCD">
      <w:pPr>
        <w:rPr>
          <w:rFonts w:eastAsia="Calibri" w:cs="Calibri"/>
          <w:b/>
        </w:rPr>
      </w:pPr>
      <w:r w:rsidRPr="00EB7F9A">
        <w:rPr>
          <w:rFonts w:eastAsia="Calibri" w:cs="Calibri"/>
          <w:b/>
        </w:rPr>
        <w:lastRenderedPageBreak/>
        <w:t>g)</w:t>
      </w:r>
      <w:r w:rsidRPr="00EB7F9A">
        <w:rPr>
          <w:rFonts w:eastAsia="Calibri" w:cs="Calibri"/>
          <w:b/>
        </w:rPr>
        <w:tab/>
        <w:t xml:space="preserve"> NHS costs both, DEMQOL</w:t>
      </w:r>
    </w:p>
    <w:p w14:paraId="76F30EF6" w14:textId="1F7E85EF" w:rsidR="00D26DCD" w:rsidRDefault="00273DDE" w:rsidP="00D26DCD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pict w14:anchorId="289E6FA7">
          <v:shape id="Picture 155" o:spid="_x0000_i1031" type="#_x0000_t75" style="width:399.75pt;height:291pt;visibility:visible;mso-wrap-style:square">
            <v:imagedata r:id="rId11" o:title=""/>
          </v:shape>
        </w:pict>
      </w:r>
    </w:p>
    <w:p w14:paraId="6591DD64" w14:textId="77777777" w:rsidR="00D26DCD" w:rsidRPr="00EB7F9A" w:rsidRDefault="00D26DCD" w:rsidP="00D26DCD">
      <w:pPr>
        <w:rPr>
          <w:rFonts w:eastAsia="Calibri" w:cs="Calibri"/>
          <w:b/>
        </w:rPr>
      </w:pPr>
      <w:r w:rsidRPr="00EB7F9A">
        <w:rPr>
          <w:rFonts w:eastAsia="Calibri" w:cs="Calibri"/>
          <w:b/>
        </w:rPr>
        <w:t>h)</w:t>
      </w:r>
      <w:r w:rsidRPr="00EB7F9A">
        <w:rPr>
          <w:rFonts w:eastAsia="Calibri" w:cs="Calibri"/>
          <w:b/>
        </w:rPr>
        <w:tab/>
        <w:t>NHS costs both, DEMQOL-Proxy</w:t>
      </w:r>
    </w:p>
    <w:p w14:paraId="27E72011" w14:textId="7DBC1DB6" w:rsidR="00D26DCD" w:rsidRDefault="00273DDE" w:rsidP="00D26DCD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noProof/>
          <w:sz w:val="24"/>
          <w:szCs w:val="24"/>
        </w:rPr>
        <w:pict w14:anchorId="4C2D37A2">
          <v:shape id="Picture 159" o:spid="_x0000_i1032" type="#_x0000_t75" style="width:420.75pt;height:306pt;visibility:visible;mso-wrap-style:square">
            <v:imagedata r:id="rId12" o:title=""/>
          </v:shape>
        </w:pict>
      </w:r>
    </w:p>
    <w:p w14:paraId="68C604BD" w14:textId="77777777" w:rsidR="00D26DCD" w:rsidRDefault="00D26DCD" w:rsidP="00D26DCD">
      <w:pPr>
        <w:rPr>
          <w:rFonts w:eastAsia="Calibri" w:cs="Calibri"/>
          <w:sz w:val="24"/>
          <w:szCs w:val="24"/>
        </w:rPr>
      </w:pPr>
    </w:p>
    <w:p w14:paraId="0FB0BB54" w14:textId="77777777" w:rsidR="00D26DCD" w:rsidRDefault="00D26DCD" w:rsidP="00D26DCD">
      <w:pPr>
        <w:rPr>
          <w:rFonts w:eastAsia="Calibri" w:cs="Calibri"/>
          <w:b/>
        </w:rPr>
      </w:pPr>
      <w:proofErr w:type="spellStart"/>
      <w:r w:rsidRPr="00EB7F9A">
        <w:rPr>
          <w:rFonts w:eastAsia="Calibri" w:cs="Calibri"/>
          <w:b/>
        </w:rPr>
        <w:t>i</w:t>
      </w:r>
      <w:proofErr w:type="spellEnd"/>
      <w:r w:rsidRPr="00EB7F9A">
        <w:rPr>
          <w:rFonts w:eastAsia="Calibri" w:cs="Calibri"/>
          <w:b/>
        </w:rPr>
        <w:t>)</w:t>
      </w:r>
      <w:r w:rsidRPr="00EB7F9A">
        <w:rPr>
          <w:rFonts w:eastAsia="Calibri" w:cs="Calibri"/>
          <w:b/>
        </w:rPr>
        <w:tab/>
        <w:t>Societal costs both, EQ-5D-5L</w:t>
      </w:r>
    </w:p>
    <w:p w14:paraId="0A0F31E0" w14:textId="48B2D797" w:rsidR="00D26DCD" w:rsidRDefault="00273DDE" w:rsidP="00D26DCD">
      <w:pPr>
        <w:rPr>
          <w:rFonts w:eastAsia="Calibri" w:cs="Calibri"/>
          <w:b/>
        </w:rPr>
      </w:pPr>
      <w:r>
        <w:rPr>
          <w:rFonts w:eastAsia="Calibri" w:cs="Calibri"/>
          <w:b/>
          <w:noProof/>
        </w:rPr>
        <w:pict w14:anchorId="07CFC485">
          <v:shape id="Picture 160" o:spid="_x0000_i1033" type="#_x0000_t75" style="width:377.75pt;height:275.25pt;visibility:visible;mso-wrap-style:square">
            <v:imagedata r:id="rId13" o:title=""/>
          </v:shape>
        </w:pict>
      </w:r>
    </w:p>
    <w:p w14:paraId="03F9263C" w14:textId="77777777" w:rsidR="00D26DCD" w:rsidRDefault="00D26DCD" w:rsidP="00D26DCD">
      <w:pPr>
        <w:rPr>
          <w:rFonts w:eastAsia="Calibri" w:cs="Calibri"/>
        </w:rPr>
      </w:pPr>
    </w:p>
    <w:p w14:paraId="083C86B2" w14:textId="77777777" w:rsidR="00D26DCD" w:rsidRDefault="00D26DCD" w:rsidP="00D26DCD">
      <w:pPr>
        <w:rPr>
          <w:rFonts w:eastAsia="Calibri" w:cs="Calibri"/>
          <w:b/>
        </w:rPr>
      </w:pPr>
      <w:r w:rsidRPr="00EB7F9A">
        <w:rPr>
          <w:rFonts w:eastAsia="Calibri" w:cs="Calibri"/>
          <w:b/>
        </w:rPr>
        <w:t>j)</w:t>
      </w:r>
      <w:r w:rsidRPr="00EB7F9A">
        <w:rPr>
          <w:rFonts w:eastAsia="Calibri" w:cs="Calibri"/>
          <w:b/>
        </w:rPr>
        <w:tab/>
        <w:t xml:space="preserve"> Societal costs both, DEMQOL</w:t>
      </w:r>
    </w:p>
    <w:p w14:paraId="73F8A842" w14:textId="04EB6518" w:rsidR="00D04E89" w:rsidRPr="00D26DCD" w:rsidRDefault="00273DDE" w:rsidP="00D26DCD">
      <w:r>
        <w:rPr>
          <w:rFonts w:eastAsia="Calibri" w:cs="Calibri"/>
          <w:b/>
          <w:noProof/>
        </w:rPr>
        <w:pict w14:anchorId="74BCE921">
          <v:shape id="Picture 161" o:spid="_x0000_i1034" type="#_x0000_t75" style="width:370.5pt;height:270pt;visibility:visible;mso-wrap-style:square">
            <v:imagedata r:id="rId14" o:title=""/>
          </v:shape>
        </w:pict>
      </w:r>
    </w:p>
    <w:sectPr w:rsidR="00D04E89" w:rsidRPr="00D26DCD" w:rsidSect="00E51DAE">
      <w:pgSz w:w="12240" w:h="15840"/>
      <w:pgMar w:top="1440" w:right="1440" w:bottom="12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9AA"/>
    <w:multiLevelType w:val="hybridMultilevel"/>
    <w:tmpl w:val="A232D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B2A"/>
    <w:rsid w:val="00095331"/>
    <w:rsid w:val="00273DDE"/>
    <w:rsid w:val="00B135EB"/>
    <w:rsid w:val="00CD4114"/>
    <w:rsid w:val="00D00B2A"/>
    <w:rsid w:val="00D04E89"/>
    <w:rsid w:val="00D26DCD"/>
    <w:rsid w:val="00E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E40B4"/>
  <w14:defaultImageDpi w14:val="0"/>
  <w15:docId w15:val="{248F334E-7AF4-4F56-8F26-B07AC1F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4114"/>
    <w:pPr>
      <w:spacing w:after="200" w:line="240" w:lineRule="auto"/>
    </w:pPr>
    <w:rPr>
      <w:rFonts w:eastAsia="Calibri"/>
      <w:i/>
      <w:iCs/>
      <w:color w:val="44546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6DC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Elena</dc:creator>
  <cp:keywords/>
  <dc:description/>
  <cp:lastModifiedBy>Pizzo, Elena</cp:lastModifiedBy>
  <cp:revision>4</cp:revision>
  <dcterms:created xsi:type="dcterms:W3CDTF">2022-01-13T18:01:00Z</dcterms:created>
  <dcterms:modified xsi:type="dcterms:W3CDTF">2022-01-13T18:15:00Z</dcterms:modified>
</cp:coreProperties>
</file>