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3EDE" w14:textId="77777777" w:rsidR="006B23A9" w:rsidRDefault="006B23A9" w:rsidP="006B23A9">
      <w:r>
        <w:t>Supplemental Table 3: Standardized differences of cohort characteristics before and after weighting, for the primary (full) cohort. Standardized differences for sensitivity cohorts are available on request.</w:t>
      </w:r>
    </w:p>
    <w:p w14:paraId="01B5A637" w14:textId="77777777" w:rsidR="006B23A9" w:rsidRDefault="006B23A9" w:rsidP="006B23A9"/>
    <w:p w14:paraId="30B63E1C" w14:textId="77777777" w:rsidR="006B23A9" w:rsidRDefault="006B23A9" w:rsidP="006B23A9"/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6"/>
        <w:gridCol w:w="2252"/>
        <w:gridCol w:w="1173"/>
        <w:gridCol w:w="1173"/>
        <w:gridCol w:w="1173"/>
        <w:gridCol w:w="1173"/>
      </w:tblGrid>
      <w:tr w:rsidR="006B23A9" w14:paraId="57F18D19" w14:textId="77777777" w:rsidTr="00522BBC">
        <w:trPr>
          <w:trHeight w:val="525"/>
        </w:trPr>
        <w:tc>
          <w:tcPr>
            <w:tcW w:w="4668" w:type="dxa"/>
            <w:gridSpan w:val="2"/>
            <w:vMerge w:val="restart"/>
            <w:tcBorders>
              <w:top w:val="dashed" w:sz="6" w:space="0" w:color="999999"/>
              <w:left w:val="single" w:sz="6" w:space="0" w:color="26344D"/>
              <w:bottom w:val="single" w:sz="12" w:space="0" w:color="26344D"/>
              <w:right w:val="single" w:sz="6" w:space="0" w:color="26344D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97F81" w14:textId="77777777" w:rsidR="006B23A9" w:rsidRDefault="006B23A9" w:rsidP="00522BBC">
            <w:pPr>
              <w:widowControl w:val="0"/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26344D"/>
              <w:left w:val="single" w:sz="6" w:space="0" w:color="CCCCCC"/>
              <w:bottom w:val="single" w:sz="6" w:space="0" w:color="CCCCCC"/>
              <w:right w:val="single" w:sz="12" w:space="0" w:color="26344D"/>
            </w:tcBorders>
            <w:shd w:val="clear" w:color="auto" w:fill="26344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1D65B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COVID-19 cohort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FDD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3B588" w14:textId="77777777" w:rsidR="006B23A9" w:rsidRDefault="006B23A9" w:rsidP="00522BBC">
            <w:pPr>
              <w:widowControl w:val="0"/>
              <w:jc w:val="center"/>
              <w:rPr>
                <w:b/>
                <w:color w:val="26344D"/>
                <w:sz w:val="20"/>
                <w:szCs w:val="20"/>
              </w:rPr>
            </w:pPr>
            <w:r>
              <w:rPr>
                <w:b/>
                <w:color w:val="26344D"/>
                <w:sz w:val="20"/>
                <w:szCs w:val="20"/>
              </w:rPr>
              <w:t>Influenza</w:t>
            </w:r>
          </w:p>
          <w:p w14:paraId="20E80803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26344D"/>
                <w:sz w:val="20"/>
                <w:szCs w:val="20"/>
              </w:rPr>
              <w:t>cohort</w:t>
            </w:r>
          </w:p>
        </w:tc>
        <w:tc>
          <w:tcPr>
            <w:tcW w:w="1172" w:type="dxa"/>
            <w:tcBorders>
              <w:top w:val="single" w:sz="6" w:space="0" w:color="26344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883143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68679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</w:tr>
      <w:tr w:rsidR="006B23A9" w14:paraId="1C171D1D" w14:textId="77777777" w:rsidTr="00522BBC">
        <w:trPr>
          <w:trHeight w:val="1095"/>
        </w:trPr>
        <w:tc>
          <w:tcPr>
            <w:tcW w:w="4668" w:type="dxa"/>
            <w:gridSpan w:val="2"/>
            <w:vMerge/>
            <w:tcBorders>
              <w:bottom w:val="single" w:sz="12" w:space="0" w:color="26344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E5CF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9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831C19" w14:textId="77777777" w:rsidR="006B23A9" w:rsidRDefault="006B23A9" w:rsidP="00522BBC">
            <w:pPr>
              <w:widowControl w:val="0"/>
              <w:jc w:val="center"/>
              <w:rPr>
                <w:color w:val="26344D"/>
                <w:sz w:val="20"/>
                <w:szCs w:val="20"/>
              </w:rPr>
            </w:pPr>
            <w:r>
              <w:rPr>
                <w:color w:val="26344D"/>
                <w:sz w:val="20"/>
                <w:szCs w:val="20"/>
              </w:rPr>
              <w:t>N = 417,969</w:t>
            </w:r>
          </w:p>
          <w:p w14:paraId="06D9EC7D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26344D"/>
                <w:sz w:val="20"/>
                <w:szCs w:val="20"/>
              </w:rPr>
              <w:t>(</w:t>
            </w:r>
            <w:proofErr w:type="gramStart"/>
            <w:r>
              <w:rPr>
                <w:color w:val="26344D"/>
                <w:sz w:val="20"/>
                <w:szCs w:val="20"/>
              </w:rPr>
              <w:t>after</w:t>
            </w:r>
            <w:proofErr w:type="gramEnd"/>
            <w:r>
              <w:rPr>
                <w:color w:val="26344D"/>
                <w:sz w:val="20"/>
                <w:szCs w:val="20"/>
              </w:rPr>
              <w:t xml:space="preserve"> trimming the tails)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7FF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21F32" w14:textId="77777777" w:rsidR="006B23A9" w:rsidRDefault="006B23A9" w:rsidP="00522BBC">
            <w:pPr>
              <w:widowControl w:val="0"/>
              <w:jc w:val="center"/>
              <w:rPr>
                <w:color w:val="26344D"/>
                <w:sz w:val="20"/>
                <w:szCs w:val="20"/>
              </w:rPr>
            </w:pPr>
            <w:r>
              <w:rPr>
                <w:color w:val="26344D"/>
                <w:sz w:val="20"/>
                <w:szCs w:val="20"/>
              </w:rPr>
              <w:t>N = 345,934</w:t>
            </w:r>
          </w:p>
          <w:p w14:paraId="7683AC4F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26344D"/>
                <w:sz w:val="20"/>
                <w:szCs w:val="20"/>
              </w:rPr>
              <w:t>(</w:t>
            </w:r>
            <w:proofErr w:type="gramStart"/>
            <w:r>
              <w:rPr>
                <w:color w:val="26344D"/>
                <w:sz w:val="20"/>
                <w:szCs w:val="20"/>
              </w:rPr>
              <w:t>after</w:t>
            </w:r>
            <w:proofErr w:type="gramEnd"/>
            <w:r>
              <w:rPr>
                <w:color w:val="26344D"/>
                <w:sz w:val="20"/>
                <w:szCs w:val="20"/>
              </w:rPr>
              <w:t xml:space="preserve"> trimming the tails)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6495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color w:val="26344D"/>
                <w:sz w:val="20"/>
                <w:szCs w:val="20"/>
              </w:rPr>
              <w:t>Standardized difference (before weighting)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74A3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color w:val="26344D"/>
                <w:sz w:val="20"/>
                <w:szCs w:val="20"/>
              </w:rPr>
              <w:t>Standardized difference (after weighting)</w:t>
            </w:r>
          </w:p>
        </w:tc>
      </w:tr>
      <w:tr w:rsidR="006B23A9" w14:paraId="63C1A06A" w14:textId="77777777" w:rsidTr="00522BBC">
        <w:trPr>
          <w:trHeight w:val="315"/>
        </w:trPr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26344D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C4A20D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98F42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9BC3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128,424 (31)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C5FFF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161,165 (47)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88D5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539681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</w:tr>
      <w:tr w:rsidR="006B23A9" w14:paraId="65141CC8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DC46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63422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45-54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5AD9DD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60,179 (14)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64C12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58,547 (17)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22AF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80C7F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6B23A9" w14:paraId="09E57C2F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0AC8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278A99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55-64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CF7A9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73,553 (18)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B5CD6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62,051 (18)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605C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81B2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</w:tr>
      <w:tr w:rsidR="006B23A9" w14:paraId="7682073F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DD95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6740C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65-74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6EBED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64,416 (15)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AEBD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34,519 (10)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7168A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867C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</w:tr>
      <w:tr w:rsidR="006B23A9" w14:paraId="5BE037ED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E083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1DFFB3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75-84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71E1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50,892 (12)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B1F31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18,382 (5.3)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6880C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1344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  <w:tr w:rsidR="006B23A9" w14:paraId="2398CDED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63BA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D4AE3C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≥85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D219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40,505 (9.7)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D957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11,270 (3.3)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0C9FC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A2DB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</w:tr>
      <w:tr w:rsidR="006B23A9" w14:paraId="77FEFD23" w14:textId="77777777" w:rsidTr="00522BBC">
        <w:trPr>
          <w:trHeight w:val="315"/>
        </w:trPr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26344D"/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0CE05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C763F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A14652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160,795 (38)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13A62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118,043 (34)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A3BC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4F74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</w:tr>
      <w:tr w:rsidR="006B23A9" w14:paraId="68BB7BD3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1736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130E2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D25C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256,710 (61)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EBDF9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227,594 (66)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2AD74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1356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</w:tr>
      <w:tr w:rsidR="006B23A9" w14:paraId="3DC1E548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36B3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616432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Other/unknown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D8CAF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(0.11)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1AEA1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(0.086)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937EC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2520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</w:tr>
      <w:tr w:rsidR="006B23A9" w14:paraId="4B0EB4DF" w14:textId="77777777" w:rsidTr="00522BBC">
        <w:trPr>
          <w:trHeight w:val="315"/>
        </w:trPr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26344D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85D60B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Severity of infection</w:t>
            </w:r>
          </w:p>
          <w:p w14:paraId="73714A7F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  <w:p w14:paraId="5C43D68E" w14:textId="77777777" w:rsidR="006B23A9" w:rsidRDefault="006B23A9" w:rsidP="00522BBC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Time frame:</w:t>
            </w:r>
            <w:r>
              <w:rPr>
                <w:i/>
                <w:sz w:val="18"/>
                <w:szCs w:val="18"/>
              </w:rPr>
              <w:t xml:space="preserve"> date of diagnosis (start of hospitalization) until end of hospitalization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8AFF7F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hospitalized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872E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371,878 (89)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DD7BA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328,280 (95)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DDD78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1A39D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0.079</w:t>
            </w:r>
          </w:p>
        </w:tc>
      </w:tr>
      <w:tr w:rsidR="006B23A9" w14:paraId="4EFF7C39" w14:textId="77777777" w:rsidTr="00522BBC">
        <w:trPr>
          <w:trHeight w:val="900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AC00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C3F6F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Hospitalized, no evidence of ICU/ventilator during hospitalization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A7172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33,437 (8)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7F0073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12,863 (3.7)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1140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AC2C9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0.065</w:t>
            </w:r>
          </w:p>
        </w:tc>
      </w:tr>
      <w:tr w:rsidR="006B23A9" w14:paraId="79FDECD6" w14:textId="77777777" w:rsidTr="00522BBC">
        <w:trPr>
          <w:trHeight w:val="960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836E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B7DBF1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Hospitalized with evidence of ICU/ventilator during hospitalization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D833F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12,654 (3)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20C16F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4,791 (1.4)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A985F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85D30A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0.041</w:t>
            </w:r>
          </w:p>
        </w:tc>
      </w:tr>
      <w:tr w:rsidR="006B23A9" w14:paraId="3E38A903" w14:textId="77777777" w:rsidTr="00522BBC">
        <w:trPr>
          <w:trHeight w:val="315"/>
        </w:trPr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26344D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73D584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setting of diagnosis</w:t>
            </w:r>
          </w:p>
          <w:p w14:paraId="7FD2E185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  <w:p w14:paraId="5822B0D6" w14:textId="77777777" w:rsidR="006B23A9" w:rsidRDefault="006B23A9" w:rsidP="00522BBC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Time frame:</w:t>
            </w:r>
            <w:r>
              <w:rPr>
                <w:i/>
                <w:sz w:val="18"/>
                <w:szCs w:val="18"/>
              </w:rPr>
              <w:t xml:space="preserve"> date of diagnosis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6F5F5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Ambulatory/outpatient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68747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194,346 (46)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08F61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252,001 (73)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934E3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6EA83A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0.359</w:t>
            </w:r>
          </w:p>
        </w:tc>
      </w:tr>
      <w:tr w:rsidR="006B23A9" w14:paraId="2E7D45C8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C02B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0F090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98DF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46,091 (11)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982BC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17,654 (5.1)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42C1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AD1EA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0.079</w:t>
            </w:r>
          </w:p>
        </w:tc>
      </w:tr>
      <w:tr w:rsidR="006B23A9" w14:paraId="52511A2D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D915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96C2C9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BB6FCA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49,611 (12)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C58E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56,025 (16)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AB3217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AD819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</w:t>
            </w:r>
          </w:p>
        </w:tc>
      </w:tr>
      <w:tr w:rsidR="006B23A9" w14:paraId="5666BB23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2384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6D3966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SNF or long-term care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FCB9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15,244 (3.6)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2D312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1,206 (0.35)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184A9A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2F9D1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0.120</w:t>
            </w:r>
          </w:p>
        </w:tc>
      </w:tr>
      <w:tr w:rsidR="006B23A9" w14:paraId="129D3E72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236D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9F426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Unknown/not reported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8830B1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112,677 (27)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0DCCD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19,048 (5.5)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390E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A74BD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0.483</w:t>
            </w:r>
          </w:p>
        </w:tc>
      </w:tr>
      <w:tr w:rsidR="006B23A9" w14:paraId="02ED7D71" w14:textId="77777777" w:rsidTr="00522BBC">
        <w:trPr>
          <w:trHeight w:val="780"/>
        </w:trPr>
        <w:tc>
          <w:tcPr>
            <w:tcW w:w="2416" w:type="dxa"/>
            <w:tcBorders>
              <w:top w:val="single" w:sz="6" w:space="0" w:color="CCCCCC"/>
              <w:left w:val="single" w:sz="6" w:space="0" w:color="26344D"/>
              <w:bottom w:val="single" w:sz="12" w:space="0" w:color="FFFFFF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14F57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Recent institutional stay encounter (90 - 1 day before index)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D91B9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CC4D3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53,607 (13)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BC74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18,001 (5.2)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D87F0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EFF8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6B23A9" w14:paraId="554E6734" w14:textId="77777777" w:rsidTr="00522BBC">
        <w:trPr>
          <w:trHeight w:val="660"/>
        </w:trPr>
        <w:tc>
          <w:tcPr>
            <w:tcW w:w="2416" w:type="dxa"/>
            <w:tcBorders>
              <w:top w:val="single" w:sz="6" w:space="0" w:color="CCCCCC"/>
              <w:left w:val="single" w:sz="6" w:space="0" w:color="26344D"/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20FA5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Time frame:</w:t>
            </w:r>
            <w:r>
              <w:rPr>
                <w:i/>
                <w:sz w:val="18"/>
                <w:szCs w:val="18"/>
              </w:rPr>
              <w:t xml:space="preserve"> 90 - 1 day before diagnosis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F249B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C1BD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364,362 (87)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5A0B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327,933 (95)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24AA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65317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6B23A9" w14:paraId="7B188F06" w14:textId="77777777" w:rsidTr="00522BBC">
        <w:trPr>
          <w:trHeight w:val="315"/>
        </w:trPr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26344D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DA2B87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medications/transfusions</w:t>
            </w:r>
          </w:p>
          <w:p w14:paraId="3BC4BAA0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  <w:p w14:paraId="05386B23" w14:textId="77777777" w:rsidR="006B23A9" w:rsidRDefault="006B23A9" w:rsidP="00522BBC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Time frame:</w:t>
            </w:r>
            <w:r>
              <w:rPr>
                <w:i/>
                <w:sz w:val="18"/>
                <w:szCs w:val="18"/>
              </w:rPr>
              <w:t xml:space="preserve"> 183 - 3 days before diagnosis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2DD7A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Anticoagulants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A7814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10,079 (2.4)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16CF6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6,401 (1.9)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FFAD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5C739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</w:tr>
      <w:tr w:rsidR="006B23A9" w14:paraId="0C7CC6D7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D7A8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5393F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Antiplatelet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21169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18,887 (4.5)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2B5C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11,397 (3.3)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525F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EE3FA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</w:tr>
      <w:tr w:rsidR="006B23A9" w14:paraId="277FB689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E87E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80110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Statins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DB41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64,733 (15)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C33BD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45,419 (13)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C4EC7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C6D25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</w:tr>
      <w:tr w:rsidR="006B23A9" w14:paraId="519968FF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6D53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0F4E5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chemotherapeutics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FFD0A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5,312 (1.3)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B283F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11,169 (3.2)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3DAE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14D2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</w:tr>
      <w:tr w:rsidR="006B23A9" w14:paraId="7CAB0984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CF57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E7E1C4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Tamoxifen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CD2001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2,179 (0.52)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18D52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2,166 (0.63)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75D27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D7D41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6B23A9" w14:paraId="69EA0185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042A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198CC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contraceptives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8FA64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4,979 (1.2)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A8EF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12,088 (3.5)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A8047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7FDA2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</w:tr>
      <w:tr w:rsidR="006B23A9" w14:paraId="7EF3F74E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4B12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1BFC5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Estrogen replacement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B68DF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(0.014)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0BBF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(0.042)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E86D1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CF9B2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6B23A9" w14:paraId="2410277A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5CC6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B186F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Testosterone replacement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15219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(0.12)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B62101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1,137 (0.33)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26344D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CEEF7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85E22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6B23A9" w14:paraId="2B630C47" w14:textId="77777777" w:rsidTr="00522BBC">
        <w:trPr>
          <w:trHeight w:val="1215"/>
        </w:trPr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26344D"/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C74718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comorbidities</w:t>
            </w:r>
          </w:p>
          <w:p w14:paraId="69FF1A0A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  <w:p w14:paraId="7A96E5EB" w14:textId="77777777" w:rsidR="006B23A9" w:rsidRDefault="006B23A9" w:rsidP="00522BBC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Time frame:</w:t>
            </w:r>
          </w:p>
          <w:p w14:paraId="09FF64FB" w14:textId="77777777" w:rsidR="006B23A9" w:rsidRDefault="006B23A9" w:rsidP="00522BBC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365 - 1 day before diagnosis for comorbidities,</w:t>
            </w:r>
          </w:p>
          <w:p w14:paraId="25D1A75C" w14:textId="77777777" w:rsidR="006B23A9" w:rsidRDefault="006B23A9" w:rsidP="00522BBC">
            <w:pPr>
              <w:widowContro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days before - 7 days after diagnosis for labs</w:t>
            </w: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E3468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Cardiovascular disease 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D7EA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225,980 (54)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FC24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142,789 (41)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FCE4E7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633E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6B23A9" w14:paraId="44D8A5B9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B8F7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6A5EA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Venous thromboembolism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7AEB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14,056 (3.4)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7735D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6,614 (1.9)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15D13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C74C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</w:tr>
      <w:tr w:rsidR="006B23A9" w14:paraId="764B6BB7" w14:textId="77777777" w:rsidTr="00522BBC">
        <w:trPr>
          <w:trHeight w:val="52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8339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8F375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 disease that promotes stasis/immobility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50897F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57,662 (14)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B7BD9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15,253 (4.4)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F1AF6F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4242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6B23A9" w14:paraId="3ADF5823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483C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01045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Obesity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D052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104,144 (25)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4C6E9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84,457 (24)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B1EC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95BB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</w:tr>
      <w:tr w:rsidR="006B23A9" w14:paraId="73C6E7D6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1174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BB67B4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abuse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6590D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11,816 (2.8)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340C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7,767 (2.2)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AA0D0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3B36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  <w:tr w:rsidR="006B23A9" w14:paraId="303EE32A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E006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71395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tobacco use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706F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56,925 (14)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2B7F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59,818 (17)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7C20A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BCE8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  <w:tr w:rsidR="006B23A9" w14:paraId="39D49BE2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9F17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D3794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7A1D47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14,435 (3.5)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2180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22,349 (6.5)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0288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BF52B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</w:tr>
      <w:tr w:rsidR="006B23A9" w14:paraId="04E4C00A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F46F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EA1D2A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kidney disease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DC21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66,574 (16)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C446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29,906 (8.6)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97E40D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4A401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</w:tr>
      <w:tr w:rsidR="006B23A9" w14:paraId="3F3E89B0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F4E8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B47BE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C073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35,379 (8.5)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E600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26,486 (7.7)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63D6A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EDBAF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</w:tr>
      <w:tr w:rsidR="006B23A9" w14:paraId="4AFD4D7A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F8DB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3BD42E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7D4C3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54,389 (13)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9ED7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40,825 (12)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D7EA03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951A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</w:tr>
      <w:tr w:rsidR="006B23A9" w14:paraId="30340814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1FF4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E0BD4A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CA9E3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110,485 (26)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49831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56,633 (16)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F857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DEFA4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</w:tr>
      <w:tr w:rsidR="006B23A9" w14:paraId="518D8C48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A707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2A77D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hyperlipidemia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0282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154,459 (37)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01291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100,661 (29)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E519D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CD7BF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  <w:tr w:rsidR="006B23A9" w14:paraId="14664E30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9473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AE800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33B3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195,897 (47)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47B17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119,970 (35)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62D25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CE552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</w:tr>
      <w:tr w:rsidR="006B23A9" w14:paraId="7CAEB64C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4149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1F49B0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rheumatic disease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AB94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18,009 (4.3)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83D36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15,997 (4.6)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21019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08EB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6B23A9" w14:paraId="28E07DB1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82EF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6FF872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atrial fibrillation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9AFD4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32,360 (7.7)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3CB7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14,331 (4.1)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23873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C7CE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</w:tr>
      <w:tr w:rsidR="006B23A9" w14:paraId="2637A3DC" w14:textId="77777777" w:rsidTr="00522BBC">
        <w:trPr>
          <w:trHeight w:val="52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A5C6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DE78CA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antiphospholipid antibody syndrome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CD1C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(0.085)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76999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(0.097)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BAEAED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33F7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  <w:tr w:rsidR="006B23A9" w14:paraId="26D48C4F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F5A8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DF37D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inherited thrombophilia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2EADD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(0.22)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A8DBDA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 (0.22)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7238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B742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6B23A9" w14:paraId="0CEB6586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81C0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D96E6D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ischemic stroke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6E36F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17,827 (4.3)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FAD2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5,560 (1.6)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34C2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E1013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</w:tr>
      <w:tr w:rsidR="006B23A9" w14:paraId="09B918FC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7722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C128B3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myocardial infarction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30A3C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8,042 (1.9)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C63E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3,639 (1.1)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1996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67091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  <w:tr w:rsidR="006B23A9" w14:paraId="3A40E7B1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38C4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E7A0A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failure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ECAC5E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44,876 (11)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9D911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17,687 (5.1)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37AB7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79F2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0.021</w:t>
            </w:r>
          </w:p>
        </w:tc>
      </w:tr>
      <w:tr w:rsidR="006B23A9" w14:paraId="29EE8698" w14:textId="77777777" w:rsidTr="00522BBC">
        <w:trPr>
          <w:trHeight w:val="31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5534E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9C7A7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peripheral arterial disease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D3638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31,758 (7.6)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5F969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9,418 (2.7)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DD650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737224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</w:tr>
      <w:tr w:rsidR="006B23A9" w14:paraId="11C965A0" w14:textId="77777777" w:rsidTr="00522BBC">
        <w:trPr>
          <w:trHeight w:val="52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304D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FC936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Polycythemia (via ICD or hemoglobin &gt;16 g/dL)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56E67F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1,483 (0.35)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D573BA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1,273 (0.37)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55506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BB8B3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6B23A9" w14:paraId="3B3C38E3" w14:textId="77777777" w:rsidTr="00522BBC">
        <w:trPr>
          <w:trHeight w:val="555"/>
        </w:trPr>
        <w:tc>
          <w:tcPr>
            <w:tcW w:w="2416" w:type="dxa"/>
            <w:vMerge/>
            <w:tcBorders>
              <w:bottom w:val="single" w:sz="12" w:space="0" w:color="26344D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603F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1548C5" w14:textId="77777777" w:rsidR="006B23A9" w:rsidRDefault="006B23A9" w:rsidP="00522BBC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Thrombocytosis (via ICD or platelet count &gt;450 x 10^9/L)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59F62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1,973 (0.47)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104925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1,378 (0.4)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D2E26B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44CB69" w14:textId="77777777" w:rsidR="006B23A9" w:rsidRDefault="006B23A9" w:rsidP="00522B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</w:tr>
    </w:tbl>
    <w:p w14:paraId="3F38D990" w14:textId="77777777" w:rsidR="00F618AD" w:rsidRDefault="00F618AD"/>
    <w:sectPr w:rsidR="00F6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A9"/>
    <w:rsid w:val="006B23A9"/>
    <w:rsid w:val="00F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3D979"/>
  <w15:chartTrackingRefBased/>
  <w15:docId w15:val="{9522594F-0379-0748-A986-7CC555D9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A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Ward</dc:creator>
  <cp:keywords/>
  <dc:description/>
  <cp:lastModifiedBy>Andrew Ward</cp:lastModifiedBy>
  <cp:revision>1</cp:revision>
  <dcterms:created xsi:type="dcterms:W3CDTF">2021-11-28T18:43:00Z</dcterms:created>
  <dcterms:modified xsi:type="dcterms:W3CDTF">2021-11-28T18:44:00Z</dcterms:modified>
</cp:coreProperties>
</file>