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6AB0" w14:textId="77777777" w:rsidR="004D7585" w:rsidRDefault="004D7585" w:rsidP="004D7585">
      <w:pPr>
        <w:spacing w:after="120" w:line="240" w:lineRule="auto"/>
        <w:ind w:left="-567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szCs w:val="24"/>
        </w:rPr>
        <w:t xml:space="preserve">S4 </w:t>
      </w:r>
      <w:r>
        <w:rPr>
          <w:rFonts w:ascii="Arial" w:hAnsi="Arial" w:cs="Arial"/>
          <w:b/>
          <w:szCs w:val="24"/>
          <w:lang w:val="en-AU"/>
        </w:rPr>
        <w:t>Table</w:t>
      </w:r>
      <w:r w:rsidRPr="00AB4280">
        <w:rPr>
          <w:rFonts w:ascii="Arial" w:hAnsi="Arial" w:cs="Arial"/>
          <w:b/>
          <w:szCs w:val="24"/>
          <w:lang w:val="en-AU"/>
        </w:rPr>
        <w:t>:</w:t>
      </w:r>
      <w:r w:rsidRPr="006E4BA9">
        <w:rPr>
          <w:b/>
          <w:lang w:val="en-US"/>
        </w:rPr>
        <w:t xml:space="preserve"> </w:t>
      </w:r>
      <w:r w:rsidRPr="00971AFF">
        <w:rPr>
          <w:rFonts w:ascii="Arial" w:hAnsi="Arial" w:cs="Arial"/>
          <w:b/>
          <w:lang w:val="en-AU"/>
        </w:rPr>
        <w:t>Association between chronic levothyroxine use and each factor at a time from the multivariable models including categorical variables</w:t>
      </w:r>
    </w:p>
    <w:tbl>
      <w:tblPr>
        <w:tblW w:w="144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75"/>
        <w:gridCol w:w="850"/>
        <w:gridCol w:w="2835"/>
        <w:gridCol w:w="850"/>
        <w:gridCol w:w="2835"/>
        <w:gridCol w:w="850"/>
      </w:tblGrid>
      <w:tr w:rsidR="004D7585" w:rsidRPr="00C02048" w14:paraId="02A83D1E" w14:textId="77777777" w:rsidTr="00646E0A">
        <w:trPr>
          <w:trHeight w:val="397"/>
          <w:jc w:val="center"/>
        </w:trPr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AFB7" w14:textId="77777777" w:rsidR="004D7585" w:rsidRPr="0001771A" w:rsidRDefault="004D7585" w:rsidP="00646E0A">
            <w:pPr>
              <w:suppressLineNumbers/>
              <w:spacing w:line="240" w:lineRule="auto"/>
              <w:ind w:left="127" w:firstLine="40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43C7CA" w14:textId="77777777" w:rsidR="004D7585" w:rsidRPr="0001771A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0177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Model with age as categorical variable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58544EB9" w14:textId="77777777" w:rsidR="004D7585" w:rsidRPr="0001771A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0177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p-value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EDD8" w14:textId="77777777" w:rsidR="004D7585" w:rsidRPr="008A7628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Model with </w:t>
            </w:r>
            <w:r w:rsidRPr="008A76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BMI as categorical variable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3AC1" w14:textId="77777777" w:rsidR="004D7585" w:rsidRPr="008A7628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8A76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p-value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63DC4D" w14:textId="77777777" w:rsidR="004D7585" w:rsidRPr="001A1C18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1A1C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Model with N. drugs as categorical variable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0735CF" w14:textId="77777777" w:rsidR="004D7585" w:rsidRPr="001A1C18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1A1C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p-value</w:t>
            </w:r>
          </w:p>
        </w:tc>
      </w:tr>
      <w:tr w:rsidR="004D7585" w:rsidRPr="00C02048" w14:paraId="34AC7A81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D4ABE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Age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per 1-year increase)</w:t>
            </w:r>
          </w:p>
        </w:tc>
        <w:tc>
          <w:tcPr>
            <w:tcW w:w="287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9692042" w14:textId="77777777" w:rsidR="004D7585" w:rsidRPr="00E94A49" w:rsidRDefault="004D7585" w:rsidP="00646E0A">
            <w:pPr>
              <w:suppressLineNumbers/>
              <w:tabs>
                <w:tab w:val="left" w:pos="560"/>
                <w:tab w:val="center" w:pos="665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76E8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93B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1.03 (1.01-1.05)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DF6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6442B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1.03 (1.01-1.06)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CC1DF9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</w:tr>
      <w:tr w:rsidR="004D7585" w:rsidRPr="00C02048" w14:paraId="125035B2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47E9A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Age categories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3D9CEAE" w14:textId="77777777" w:rsidR="004D7585" w:rsidRPr="00E94A49" w:rsidRDefault="004D7585" w:rsidP="00646E0A">
            <w:pPr>
              <w:suppressLineNumbers/>
              <w:tabs>
                <w:tab w:val="left" w:pos="433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AE944" w14:textId="77777777" w:rsidR="004D7585" w:rsidRPr="007E0DF8" w:rsidRDefault="004D7585" w:rsidP="00646E0A">
            <w:pPr>
              <w:suppressLineNumbers/>
              <w:tabs>
                <w:tab w:val="left" w:pos="433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39984" w14:textId="77777777" w:rsidR="004D7585" w:rsidRPr="00E94A49" w:rsidRDefault="004D7585" w:rsidP="00646E0A">
            <w:pPr>
              <w:suppressLineNumbers/>
              <w:tabs>
                <w:tab w:val="left" w:pos="433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51F30" w14:textId="77777777" w:rsidR="004D7585" w:rsidRPr="00E94A49" w:rsidRDefault="004D7585" w:rsidP="00646E0A">
            <w:pPr>
              <w:suppressLineNumbers/>
              <w:tabs>
                <w:tab w:val="left" w:pos="433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A6428" w14:textId="77777777" w:rsidR="004D7585" w:rsidRPr="00E94A49" w:rsidRDefault="004D7585" w:rsidP="00646E0A">
            <w:pPr>
              <w:suppressLineNumbers/>
              <w:tabs>
                <w:tab w:val="left" w:pos="433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44125B4" w14:textId="77777777" w:rsidR="004D7585" w:rsidRPr="00E94A49" w:rsidRDefault="004D7585" w:rsidP="00646E0A">
            <w:pPr>
              <w:suppressLineNumbers/>
              <w:tabs>
                <w:tab w:val="left" w:pos="433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2075FF7E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8B632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 55 years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6E26F6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 w:rsidRPr="00E94A49"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reference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67D8E16A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C8A6F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77F8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3D7D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4CB909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7A21F1AE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73F11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≥55 and &lt;65 years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19B552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 w:rsidRPr="00E94A49"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1.19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 xml:space="preserve"> (0.68-2.10)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3F1E9B2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3D74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794F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B9CF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1411DD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4755DDEB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8BBD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≥65 and &lt;75 years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49A77F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2.00 (1.16-3.45)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34F8782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6369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0925EB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08F79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68CEC6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3B027F26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F6A8B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≥75 years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A173F1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2.47 (1.31-4.67)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8DC6B7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27ADB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01539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B1A99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378593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52F60DC8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4A02E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BMI (per 1-unit increase)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11FA9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1.05 (1.02-1.09)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5C6A88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C15B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8E83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05ED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1.06 (1.03-1.10)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C92488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</w:tr>
      <w:tr w:rsidR="004D7585" w:rsidRPr="00C02048" w14:paraId="3E7A4512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B9337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BMI categories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3CB6B7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E7715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371F6" w14:textId="77777777" w:rsidR="004D7585" w:rsidRPr="001A1C18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7F164" w14:textId="77777777" w:rsidR="004D7585" w:rsidRPr="001A1C18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4491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F94E74C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6DA8D071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8A41E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underweight 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D7D184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8F53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48B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0.35 (0.47-2.69)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891A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A696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D69C49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20C14D94" w14:textId="77777777" w:rsidTr="00646E0A">
        <w:trPr>
          <w:trHeight w:val="232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1603D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normal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CE5A7E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7150C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443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 w:rsidRPr="00E94A49"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reference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466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08F4B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A05EF7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54B3C4A5" w14:textId="77777777" w:rsidTr="00646E0A">
        <w:trPr>
          <w:trHeight w:val="264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9DEF7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overweight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7B660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6BCAA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AB9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  <w:t>1.45 (0.96-2.21)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6D9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  <w:t>0.07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CEFF8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2D020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757C4081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BE2AF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obese 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48406E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98FA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DB4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2.14 (1.34-3.42)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E67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29C9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7CD993C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534F0A0B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37E0E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N. </w:t>
            </w:r>
            <w:proofErr w:type="spellStart"/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drug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s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(per 1-unit increase)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C7AAAF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  <w:t>1.22 (1.16-1.29)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EEC065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20BA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  <w:t>1.22 (1.16-1.29)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79B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9CB1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C408C3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59ED4F31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2489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N. drug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s</w:t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 categories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0235BC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3FFF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F5C1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C51B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6D8C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2C63BB5" w14:textId="77777777" w:rsidR="004D7585" w:rsidRPr="001A1C18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5E358130" w14:textId="77777777" w:rsidTr="00646E0A">
        <w:trPr>
          <w:trHeight w:val="19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ECBC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&lt;5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19DAB49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0D1D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EB68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D289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3A9B8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 w:rsidRPr="00E94A49"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reference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C6D0A6B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</w:p>
        </w:tc>
      </w:tr>
      <w:tr w:rsidR="004D7585" w:rsidRPr="00C02048" w14:paraId="09E4A5DB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F1DE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5-9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3B0ACEA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649A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356F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4B30E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F96C3" w14:textId="77777777" w:rsidR="004D7585" w:rsidRPr="005D2C5F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 w:rsidRPr="005D2C5F"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1.27 (0.83-1.94)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1677AF3" w14:textId="77777777" w:rsidR="004D7585" w:rsidRPr="005D2C5F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 w:rsidRPr="005D2C5F"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0.27</w:t>
            </w:r>
          </w:p>
        </w:tc>
      </w:tr>
      <w:tr w:rsidR="004D7585" w:rsidRPr="00C02048" w14:paraId="57654F0A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B736A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ab/>
            </w: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≥10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9476D7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F64C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99AA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7FD93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BC917C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  <w:t>3.35 (1.77-6.34)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226039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AU" w:eastAsia="de-CH"/>
              </w:rPr>
              <w:t>&lt;0.01</w:t>
            </w:r>
          </w:p>
        </w:tc>
      </w:tr>
      <w:tr w:rsidR="004D7585" w:rsidRPr="00C02048" w14:paraId="711B077C" w14:textId="77777777" w:rsidTr="00646E0A">
        <w:trPr>
          <w:trHeight w:val="28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60487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Female sex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vs male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A389D5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11.96 (5.28-27.05)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8F8D47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CC79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12.18 (5.37-27.61)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FF6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4A8F0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11.48 (5.07-26.00)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8E1FFB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</w:tr>
      <w:tr w:rsidR="004D7585" w:rsidRPr="00C02048" w14:paraId="533E2E57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B0640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Hypertension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(yes vs no)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2B95C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  <w:t>0.90 (0.61-1.34)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2C1E971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  <w:t>0.61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267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  <w:t>0.90 (0.60-1.34)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75E9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  <w:t>0.60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6B1FB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  <w:t>1.09 (0.74-1.63)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EACB8E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de-CH"/>
              </w:rPr>
              <w:t>0.65</w:t>
            </w:r>
          </w:p>
        </w:tc>
      </w:tr>
      <w:tr w:rsidR="004D7585" w:rsidRPr="00C02048" w14:paraId="2220439A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90D5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Diabetes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 (yes vs no)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FB4EAF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0.66 (0.35-1.22)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3AA69FF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438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0.67 (0.36-1.23)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B35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59AD4F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0.82 (0.45-1.50)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65A529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0.52</w:t>
            </w:r>
          </w:p>
        </w:tc>
      </w:tr>
      <w:tr w:rsidR="004D7585" w:rsidRPr="00C02048" w14:paraId="7815D473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E3A5E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Current smoking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(yes vs no)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4A216AA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0.72 (0.42-1.23)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394C74E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0F5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0.71 (0.41-1.22)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658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ECEB1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0.76 (0.44-1.29)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603BA7B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0.31</w:t>
            </w:r>
          </w:p>
        </w:tc>
      </w:tr>
      <w:tr w:rsidR="004D7585" w:rsidRPr="00C02048" w14:paraId="131CFA07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442D3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Lipid lowering drug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(yes vs no)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5048D0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0.79 (0.52-1.20)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AA2AFBE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0.27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C4F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0.80 (0.53-1.21)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39BC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0.29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7C9A7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.03 (0.68-1.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56 )</w:t>
            </w:r>
            <w:proofErr w:type="gramEnd"/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A3EB7C6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AU" w:eastAsia="de-CH"/>
              </w:rPr>
              <w:t>0.89</w:t>
            </w:r>
          </w:p>
        </w:tc>
      </w:tr>
      <w:tr w:rsidR="004D7585" w:rsidRPr="00C02048" w14:paraId="7AC58E62" w14:textId="77777777" w:rsidTr="00646E0A">
        <w:trPr>
          <w:trHeight w:val="20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A2E0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Family history of thyroid pathologies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(yes vs no)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8655E6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2.19 (1.37-3.50)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3E2F534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B5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2.19 (1.37-3.49)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D1C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559D95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2.21 (1.40-3.50)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A8B3D8F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&lt;0.01</w:t>
            </w:r>
          </w:p>
        </w:tc>
      </w:tr>
      <w:tr w:rsidR="004D7585" w:rsidRPr="00C02048" w14:paraId="621BBF08" w14:textId="77777777" w:rsidTr="00646E0A">
        <w:trPr>
          <w:trHeight w:val="260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433FA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TSH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(per 1-unit increase)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E7AA05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1.01 (0.95-1.08)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0166DF8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0.66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6241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1.01 (0.95-1.08)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4443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0.77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568BD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1.01 (0.94-1.73)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43EA3B9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0.86</w:t>
            </w:r>
          </w:p>
        </w:tc>
      </w:tr>
      <w:tr w:rsidR="004D7585" w:rsidRPr="00C02048" w14:paraId="4A8ACDE7" w14:textId="77777777" w:rsidTr="00646E0A">
        <w:trPr>
          <w:trHeight w:val="275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C730A" w14:textId="77777777" w:rsidR="004D7585" w:rsidRPr="00C02048" w:rsidRDefault="004D7585" w:rsidP="00646E0A">
            <w:pPr>
              <w:suppressLineNumbers/>
              <w:spacing w:line="240" w:lineRule="auto"/>
              <w:ind w:left="12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</w:pPr>
            <w:r w:rsidRPr="00C020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 xml:space="preserve">Handgrip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de-CH"/>
              </w:rPr>
              <w:t>(per 1-kg increase)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A563E5F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1.01 (0.98-1.04)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29A3800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0.68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6B42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1.01 (0.98-1.04)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66DD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0.73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052CB7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1.00 (0.97-1.03)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1913428" w14:textId="77777777" w:rsidR="004D7585" w:rsidRPr="00E94A49" w:rsidRDefault="004D7585" w:rsidP="00646E0A">
            <w:pPr>
              <w:suppressLineNumber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de-CH"/>
              </w:rPr>
              <w:t>0.81</w:t>
            </w:r>
          </w:p>
        </w:tc>
      </w:tr>
    </w:tbl>
    <w:p w14:paraId="4A09FBEC" w14:textId="77777777" w:rsidR="004D7585" w:rsidRDefault="004D7585" w:rsidP="004D7585">
      <w:pPr>
        <w:suppressLineNumbers/>
        <w:spacing w:line="240" w:lineRule="auto"/>
        <w:ind w:left="-567"/>
        <w:jc w:val="both"/>
        <w:rPr>
          <w:rFonts w:ascii="Arial" w:hAnsi="Arial" w:cs="Arial"/>
          <w:i/>
          <w:sz w:val="18"/>
          <w:szCs w:val="18"/>
          <w:lang w:val="en-AU"/>
        </w:rPr>
      </w:pPr>
      <w:proofErr w:type="spellStart"/>
      <w:r>
        <w:rPr>
          <w:rFonts w:ascii="Arial" w:hAnsi="Arial" w:cs="Arial"/>
          <w:i/>
          <w:sz w:val="18"/>
          <w:szCs w:val="18"/>
          <w:vertAlign w:val="superscript"/>
          <w:lang w:val="en-AU"/>
        </w:rPr>
        <w:t>a</w:t>
      </w:r>
      <w:r w:rsidRPr="00B86FAB">
        <w:rPr>
          <w:rFonts w:ascii="Arial" w:hAnsi="Arial" w:cs="Arial"/>
          <w:i/>
          <w:sz w:val="18"/>
          <w:szCs w:val="18"/>
          <w:lang w:val="en-AU"/>
        </w:rPr>
        <w:t>other</w:t>
      </w:r>
      <w:proofErr w:type="spellEnd"/>
      <w:r w:rsidRPr="00B86FAB">
        <w:rPr>
          <w:rFonts w:ascii="Arial" w:hAnsi="Arial" w:cs="Arial"/>
          <w:i/>
          <w:sz w:val="18"/>
          <w:szCs w:val="18"/>
          <w:lang w:val="en-AU"/>
        </w:rPr>
        <w:t xml:space="preserve"> than levothyroxine</w:t>
      </w:r>
      <w:r>
        <w:rPr>
          <w:rFonts w:ascii="Arial" w:hAnsi="Arial" w:cs="Arial"/>
          <w:i/>
          <w:sz w:val="18"/>
          <w:szCs w:val="18"/>
          <w:lang w:val="en-AU"/>
        </w:rPr>
        <w:t xml:space="preserve">. </w:t>
      </w:r>
    </w:p>
    <w:p w14:paraId="7C1260E0" w14:textId="77777777" w:rsidR="004D7585" w:rsidRPr="00CD4CB4" w:rsidRDefault="004D7585" w:rsidP="004D7585">
      <w:pPr>
        <w:suppressLineNumbers/>
        <w:spacing w:line="240" w:lineRule="auto"/>
        <w:ind w:left="-567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i/>
          <w:sz w:val="18"/>
          <w:szCs w:val="18"/>
          <w:lang w:val="en-AU"/>
        </w:rPr>
        <w:t>Results are expressed as odds ratio and (95% confidence interval)</w:t>
      </w:r>
    </w:p>
    <w:p w14:paraId="1C5180F3" w14:textId="681B70E7" w:rsidR="00811DD2" w:rsidRDefault="004D7585" w:rsidP="004D7585">
      <w:r w:rsidRPr="00B86FAB">
        <w:rPr>
          <w:rFonts w:ascii="Arial" w:hAnsi="Arial" w:cs="Arial"/>
          <w:i/>
          <w:sz w:val="18"/>
          <w:szCs w:val="18"/>
          <w:lang w:val="en-AU"/>
        </w:rPr>
        <w:t>To assess the association with the categorical variables age, BMI and number of drugs respectively, we included the categorial variable in the multivariable model instead of the continuous related one (</w:t>
      </w:r>
      <w:proofErr w:type="gramStart"/>
      <w:r w:rsidRPr="00B86FAB">
        <w:rPr>
          <w:rFonts w:ascii="Arial" w:hAnsi="Arial" w:cs="Arial"/>
          <w:i/>
          <w:sz w:val="18"/>
          <w:szCs w:val="18"/>
          <w:lang w:val="en-AU"/>
        </w:rPr>
        <w:t>e.g.</w:t>
      </w:r>
      <w:proofErr w:type="gramEnd"/>
      <w:r w:rsidRPr="00B86FAB">
        <w:rPr>
          <w:rFonts w:ascii="Arial" w:hAnsi="Arial" w:cs="Arial"/>
          <w:i/>
          <w:sz w:val="18"/>
          <w:szCs w:val="18"/>
          <w:lang w:val="en-AU"/>
        </w:rPr>
        <w:t xml:space="preserve"> the model with BMI as categorical has the following variables: BMI categories, age (continuous), sex, N. drugs (continuous), hypertension, diabetes, current smoking, lipid lowering drugs, family history, TSH, handgrip). Abbreviations: </w:t>
      </w:r>
      <w:proofErr w:type="spellStart"/>
      <w:r w:rsidRPr="00B86FAB">
        <w:rPr>
          <w:rFonts w:ascii="Arial" w:hAnsi="Arial" w:cs="Arial"/>
          <w:b/>
          <w:i/>
          <w:sz w:val="18"/>
          <w:szCs w:val="18"/>
          <w:lang w:val="en-AU"/>
        </w:rPr>
        <w:t>iqr</w:t>
      </w:r>
      <w:proofErr w:type="spellEnd"/>
      <w:r w:rsidRPr="00B86FAB">
        <w:rPr>
          <w:rFonts w:ascii="Arial" w:hAnsi="Arial" w:cs="Arial"/>
          <w:i/>
          <w:sz w:val="18"/>
          <w:szCs w:val="18"/>
          <w:lang w:val="en-AU"/>
        </w:rPr>
        <w:t xml:space="preserve">: interquartile range, </w:t>
      </w:r>
      <w:r w:rsidRPr="00B86FAB">
        <w:rPr>
          <w:rFonts w:ascii="Arial" w:hAnsi="Arial" w:cs="Arial"/>
          <w:b/>
          <w:i/>
          <w:sz w:val="18"/>
          <w:szCs w:val="18"/>
          <w:lang w:val="en-AU"/>
        </w:rPr>
        <w:t>SD</w:t>
      </w:r>
      <w:r w:rsidRPr="00B86FAB">
        <w:rPr>
          <w:rFonts w:ascii="Arial" w:hAnsi="Arial" w:cs="Arial"/>
          <w:i/>
          <w:sz w:val="18"/>
          <w:szCs w:val="18"/>
          <w:lang w:val="en-AU"/>
        </w:rPr>
        <w:t xml:space="preserve">: standard deviation, </w:t>
      </w:r>
      <w:r w:rsidRPr="00B86FAB">
        <w:rPr>
          <w:rFonts w:ascii="Arial" w:hAnsi="Arial" w:cs="Arial"/>
          <w:b/>
          <w:i/>
          <w:sz w:val="18"/>
          <w:szCs w:val="18"/>
          <w:lang w:val="en-AU"/>
        </w:rPr>
        <w:t>n</w:t>
      </w:r>
      <w:r w:rsidRPr="00B86FAB">
        <w:rPr>
          <w:rFonts w:ascii="Arial" w:hAnsi="Arial" w:cs="Arial"/>
          <w:i/>
          <w:sz w:val="18"/>
          <w:szCs w:val="18"/>
          <w:lang w:val="en-AU"/>
        </w:rPr>
        <w:t xml:space="preserve">: number of participants; </w:t>
      </w:r>
      <w:r w:rsidRPr="00B86FAB">
        <w:rPr>
          <w:rFonts w:ascii="Arial" w:eastAsia="Times New Roman" w:hAnsi="Arial" w:cs="Arial"/>
          <w:b/>
          <w:bCs/>
          <w:i/>
          <w:sz w:val="18"/>
          <w:szCs w:val="18"/>
          <w:lang w:val="en-AU" w:eastAsia="de-CH"/>
        </w:rPr>
        <w:t>p25-p75</w:t>
      </w:r>
      <w:r w:rsidRPr="00B86FAB">
        <w:rPr>
          <w:rFonts w:ascii="Arial" w:eastAsia="Times New Roman" w:hAnsi="Arial" w:cs="Arial"/>
          <w:bCs/>
          <w:i/>
          <w:sz w:val="18"/>
          <w:szCs w:val="18"/>
          <w:lang w:val="en-AU" w:eastAsia="de-CH"/>
        </w:rPr>
        <w:t>: 25</w:t>
      </w:r>
      <w:r w:rsidRPr="00B86FAB">
        <w:rPr>
          <w:rFonts w:ascii="Arial" w:eastAsia="Times New Roman" w:hAnsi="Arial" w:cs="Arial"/>
          <w:bCs/>
          <w:i/>
          <w:sz w:val="18"/>
          <w:szCs w:val="18"/>
          <w:vertAlign w:val="superscript"/>
          <w:lang w:val="en-AU" w:eastAsia="de-CH"/>
        </w:rPr>
        <w:t>th</w:t>
      </w:r>
      <w:r w:rsidRPr="00B86FAB">
        <w:rPr>
          <w:rFonts w:ascii="Arial" w:eastAsia="Times New Roman" w:hAnsi="Arial" w:cs="Arial"/>
          <w:bCs/>
          <w:i/>
          <w:sz w:val="18"/>
          <w:szCs w:val="18"/>
          <w:lang w:val="en-AU" w:eastAsia="de-CH"/>
        </w:rPr>
        <w:t xml:space="preserve"> – 75</w:t>
      </w:r>
      <w:r>
        <w:rPr>
          <w:rFonts w:ascii="Arial" w:eastAsia="Times New Roman" w:hAnsi="Arial" w:cs="Arial"/>
          <w:bCs/>
          <w:i/>
          <w:sz w:val="18"/>
          <w:szCs w:val="18"/>
          <w:lang w:val="en-AU" w:eastAsia="de-CH"/>
        </w:rPr>
        <w:t>t</w:t>
      </w:r>
      <w:r w:rsidRPr="00251F83">
        <w:rPr>
          <w:rFonts w:ascii="Arial" w:eastAsia="Times New Roman" w:hAnsi="Arial" w:cs="Arial"/>
          <w:bCs/>
          <w:i/>
          <w:sz w:val="18"/>
          <w:szCs w:val="18"/>
          <w:vertAlign w:val="superscript"/>
          <w:lang w:val="en-AU" w:eastAsia="de-CH"/>
        </w:rPr>
        <w:t>h</w:t>
      </w:r>
      <w:r w:rsidRPr="00B86FAB">
        <w:rPr>
          <w:rFonts w:ascii="Arial" w:eastAsia="Times New Roman" w:hAnsi="Arial" w:cs="Arial"/>
          <w:bCs/>
          <w:i/>
          <w:sz w:val="18"/>
          <w:szCs w:val="18"/>
          <w:lang w:val="en-AU" w:eastAsia="de-CH"/>
        </w:rPr>
        <w:t xml:space="preserve"> percentile, </w:t>
      </w:r>
      <w:r w:rsidRPr="00B86FAB">
        <w:rPr>
          <w:rFonts w:ascii="Arial" w:eastAsia="Times New Roman" w:hAnsi="Arial" w:cs="Arial"/>
          <w:b/>
          <w:bCs/>
          <w:i/>
          <w:sz w:val="18"/>
          <w:szCs w:val="18"/>
          <w:lang w:val="en-AU" w:eastAsia="de-CH"/>
        </w:rPr>
        <w:t>BMI</w:t>
      </w:r>
      <w:r w:rsidRPr="00B86FAB">
        <w:rPr>
          <w:rFonts w:ascii="Arial" w:eastAsia="Times New Roman" w:hAnsi="Arial" w:cs="Arial"/>
          <w:bCs/>
          <w:i/>
          <w:sz w:val="18"/>
          <w:szCs w:val="18"/>
          <w:lang w:val="en-AU" w:eastAsia="de-CH"/>
        </w:rPr>
        <w:t>: Body Mass Index</w:t>
      </w:r>
      <w:r>
        <w:rPr>
          <w:rFonts w:ascii="Arial" w:eastAsia="Times New Roman" w:hAnsi="Arial" w:cs="Arial"/>
          <w:bCs/>
          <w:i/>
          <w:sz w:val="18"/>
          <w:szCs w:val="18"/>
          <w:lang w:val="en-AU" w:eastAsia="de-CH"/>
        </w:rPr>
        <w:t>.</w:t>
      </w:r>
      <w:r w:rsidRPr="00DF6969">
        <w:rPr>
          <w:rFonts w:ascii="Arial" w:eastAsia="Times New Roman" w:hAnsi="Arial" w:cs="Arial"/>
          <w:b/>
          <w:bCs/>
          <w:i/>
          <w:sz w:val="18"/>
          <w:szCs w:val="18"/>
          <w:lang w:val="en-AU" w:eastAsia="de-CH"/>
        </w:rPr>
        <w:t xml:space="preserve"> TSH</w:t>
      </w:r>
      <w:r>
        <w:rPr>
          <w:rFonts w:ascii="Arial" w:eastAsia="Times New Roman" w:hAnsi="Arial" w:cs="Arial"/>
          <w:bCs/>
          <w:i/>
          <w:sz w:val="18"/>
          <w:szCs w:val="18"/>
          <w:lang w:val="en-AU" w:eastAsia="de-CH"/>
        </w:rPr>
        <w:t>: Thyroid Stimulating Hormone. Definition of BMI categories: underweight (&lt;18.5), normal (18.5-24.9), overweight (25-29.9), obese (≥30)</w:t>
      </w:r>
    </w:p>
    <w:sectPr w:rsidR="008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19"/>
    <w:rsid w:val="004D7585"/>
    <w:rsid w:val="007E5245"/>
    <w:rsid w:val="00812229"/>
    <w:rsid w:val="00900E2A"/>
    <w:rsid w:val="00CB2F19"/>
    <w:rsid w:val="00E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BD84A-1408-41A9-8726-E443664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85"/>
    <w:pPr>
      <w:spacing w:after="0" w:line="480" w:lineRule="auto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Mohammed Rafi</cp:lastModifiedBy>
  <cp:revision>2</cp:revision>
  <dcterms:created xsi:type="dcterms:W3CDTF">2021-12-10T02:00:00Z</dcterms:created>
  <dcterms:modified xsi:type="dcterms:W3CDTF">2021-12-10T02:00:00Z</dcterms:modified>
</cp:coreProperties>
</file>