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7FD0A4" w14:textId="39D74FA5" w:rsidR="002746CD" w:rsidRPr="00C31D69" w:rsidRDefault="002746CD" w:rsidP="00B77902">
      <w:pPr>
        <w:rPr>
          <w:rFonts w:ascii="Times" w:hAnsi="Times"/>
          <w:color w:val="000000" w:themeColor="text1"/>
        </w:rPr>
      </w:pPr>
      <w:r w:rsidRPr="00C31D69">
        <w:rPr>
          <w:rFonts w:ascii="Times" w:hAnsi="Times"/>
          <w:color w:val="000000" w:themeColor="text1"/>
        </w:rPr>
        <w:t>Supporting Information</w:t>
      </w:r>
      <w:r w:rsidR="00B77902" w:rsidRPr="00C31D69">
        <w:rPr>
          <w:rFonts w:ascii="Times" w:hAnsi="Times"/>
          <w:color w:val="000000" w:themeColor="text1"/>
        </w:rPr>
        <w:t xml:space="preserve"> for Rubin et al. 202</w:t>
      </w:r>
      <w:r w:rsidR="00AD37C3">
        <w:rPr>
          <w:rFonts w:ascii="Times" w:hAnsi="Times"/>
          <w:color w:val="000000" w:themeColor="text1"/>
        </w:rPr>
        <w:t>1</w:t>
      </w:r>
    </w:p>
    <w:p w14:paraId="70BD06D9" w14:textId="77777777" w:rsidR="002746CD" w:rsidRPr="00C31D69" w:rsidRDefault="002746CD" w:rsidP="00B77902">
      <w:pPr>
        <w:rPr>
          <w:rFonts w:ascii="Times" w:hAnsi="Times"/>
          <w:color w:val="000000" w:themeColor="text1"/>
        </w:rPr>
      </w:pPr>
    </w:p>
    <w:p w14:paraId="2FE6F58A" w14:textId="4C1DA27E" w:rsidR="00BD7FD6" w:rsidRDefault="002746CD" w:rsidP="00EF575E">
      <w:pPr>
        <w:spacing w:line="480" w:lineRule="auto"/>
        <w:rPr>
          <w:rFonts w:ascii="Times" w:hAnsi="Times"/>
        </w:rPr>
      </w:pPr>
      <w:r w:rsidRPr="00C31D69">
        <w:rPr>
          <w:rFonts w:ascii="Times" w:hAnsi="Times"/>
          <w:b/>
          <w:bCs/>
          <w:color w:val="000000" w:themeColor="text1"/>
        </w:rPr>
        <w:t xml:space="preserve">Title: </w:t>
      </w:r>
      <w:r w:rsidR="0026543C">
        <w:rPr>
          <w:rFonts w:ascii="Times" w:hAnsi="Times"/>
        </w:rPr>
        <w:t>Flooding and ecological restoration promote wetland microbial communities and soil functions on former cranberry farmland</w:t>
      </w:r>
    </w:p>
    <w:p w14:paraId="2641447D" w14:textId="77777777" w:rsidR="005E3643" w:rsidRPr="00C31D69" w:rsidRDefault="005E3643" w:rsidP="00EF575E">
      <w:pPr>
        <w:spacing w:line="480" w:lineRule="auto"/>
        <w:rPr>
          <w:rFonts w:ascii="Times" w:hAnsi="Times"/>
          <w:i/>
          <w:iCs/>
          <w:color w:val="000000" w:themeColor="text1"/>
        </w:rPr>
      </w:pPr>
    </w:p>
    <w:p w14:paraId="61651C9E" w14:textId="0F252C8F" w:rsidR="00CD6A2D" w:rsidRDefault="00501D20" w:rsidP="007F2512">
      <w:pPr>
        <w:rPr>
          <w:rFonts w:ascii="Times" w:hAnsi="Times" w:cs="Arial"/>
          <w:color w:val="000000" w:themeColor="text1"/>
          <w:shd w:val="clear" w:color="auto" w:fill="FFFFFF"/>
        </w:rPr>
      </w:pPr>
      <w:r w:rsidRPr="00501D20">
        <w:rPr>
          <w:rFonts w:ascii="Times" w:hAnsi="Times"/>
          <w:noProof/>
          <w:color w:val="000000" w:themeColor="text1"/>
        </w:rPr>
        <w:drawing>
          <wp:inline distT="0" distB="0" distL="0" distR="0" wp14:anchorId="202B2838" wp14:editId="32B29DA6">
            <wp:extent cx="41275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127500" cy="4457700"/>
                    </a:xfrm>
                    <a:prstGeom prst="rect">
                      <a:avLst/>
                    </a:prstGeom>
                  </pic:spPr>
                </pic:pic>
              </a:graphicData>
            </a:graphic>
          </wp:inline>
        </w:drawing>
      </w:r>
    </w:p>
    <w:p w14:paraId="7F07D062" w14:textId="77777777" w:rsidR="00CD6A2D" w:rsidRDefault="00CD6A2D" w:rsidP="007F2512">
      <w:pPr>
        <w:rPr>
          <w:rFonts w:ascii="Times" w:hAnsi="Times" w:cs="Arial"/>
          <w:color w:val="000000" w:themeColor="text1"/>
          <w:shd w:val="clear" w:color="auto" w:fill="FFFFFF"/>
        </w:rPr>
      </w:pPr>
    </w:p>
    <w:p w14:paraId="79AD05FE" w14:textId="1B92D2F2" w:rsidR="007F2512" w:rsidRDefault="00CD6A2D" w:rsidP="007F2512">
      <w:pPr>
        <w:rPr>
          <w:rFonts w:ascii="Times" w:hAnsi="Times"/>
        </w:rPr>
      </w:pPr>
      <w:r w:rsidRPr="00C31D69">
        <w:rPr>
          <w:rFonts w:ascii="Times" w:hAnsi="Times"/>
          <w:b/>
          <w:bCs/>
          <w:color w:val="000000" w:themeColor="text1"/>
        </w:rPr>
        <w:t>S</w:t>
      </w:r>
      <w:r>
        <w:rPr>
          <w:rFonts w:ascii="Times" w:hAnsi="Times"/>
          <w:b/>
          <w:bCs/>
          <w:color w:val="000000" w:themeColor="text1"/>
        </w:rPr>
        <w:t>1</w:t>
      </w:r>
      <w:r w:rsidRPr="00C31D69">
        <w:rPr>
          <w:rFonts w:ascii="Times" w:hAnsi="Times"/>
          <w:b/>
          <w:bCs/>
          <w:color w:val="000000" w:themeColor="text1"/>
        </w:rPr>
        <w:t xml:space="preserve"> Fig</w:t>
      </w:r>
      <w:r>
        <w:rPr>
          <w:rFonts w:ascii="Times" w:hAnsi="Times"/>
          <w:b/>
          <w:bCs/>
          <w:color w:val="000000" w:themeColor="text1"/>
        </w:rPr>
        <w:t xml:space="preserve"> </w:t>
      </w:r>
      <w:r w:rsidR="00501D20">
        <w:rPr>
          <w:rFonts w:ascii="Times" w:hAnsi="Times"/>
          <w:color w:val="000000" w:themeColor="text1"/>
        </w:rPr>
        <w:t>Representative photos of sites. This composite figure is modified with permission of the authors, from Ball</w:t>
      </w:r>
      <w:r w:rsidR="00873E68">
        <w:rPr>
          <w:rFonts w:ascii="Times" w:hAnsi="Times"/>
          <w:color w:val="000000" w:themeColor="text1"/>
        </w:rPr>
        <w:t>a</w:t>
      </w:r>
      <w:r w:rsidR="00501D20">
        <w:rPr>
          <w:rFonts w:ascii="Times" w:hAnsi="Times"/>
          <w:color w:val="000000" w:themeColor="text1"/>
        </w:rPr>
        <w:t>ntine et al. 2020, “</w:t>
      </w:r>
      <w:r w:rsidR="007F2512">
        <w:rPr>
          <w:rFonts w:ascii="Times" w:hAnsi="Times"/>
        </w:rPr>
        <w:t>Learning from the restoration of wetlands on cranberry farmland: preliminary benefits assessment. Living Observatory, 2020.</w:t>
      </w:r>
    </w:p>
    <w:p w14:paraId="56FA0B33" w14:textId="7DCBE8BE" w:rsidR="00FE47FF" w:rsidRDefault="00FE47FF" w:rsidP="007F2512">
      <w:pPr>
        <w:rPr>
          <w:rFonts w:ascii="Times" w:hAnsi="Times"/>
          <w:color w:val="000000" w:themeColor="text1"/>
        </w:rPr>
      </w:pPr>
      <w:bookmarkStart w:id="0" w:name="_GoBack"/>
      <w:bookmarkEnd w:id="0"/>
    </w:p>
    <w:p w14:paraId="6670C168" w14:textId="0EB8A127" w:rsidR="00501D20" w:rsidRDefault="00501D20" w:rsidP="007F2512">
      <w:pPr>
        <w:rPr>
          <w:rFonts w:ascii="Times" w:hAnsi="Times"/>
          <w:color w:val="000000" w:themeColor="text1"/>
        </w:rPr>
      </w:pPr>
    </w:p>
    <w:p w14:paraId="5C0B1DFF" w14:textId="1980D621" w:rsidR="00501D20" w:rsidRDefault="00501D20" w:rsidP="007F2512">
      <w:pPr>
        <w:rPr>
          <w:rFonts w:ascii="Times" w:hAnsi="Times"/>
          <w:color w:val="000000" w:themeColor="text1"/>
        </w:rPr>
      </w:pPr>
    </w:p>
    <w:p w14:paraId="184F8B6B" w14:textId="07C8E5C5" w:rsidR="00501D20" w:rsidRDefault="00501D20" w:rsidP="007F2512">
      <w:pPr>
        <w:rPr>
          <w:rFonts w:ascii="Times" w:hAnsi="Times"/>
          <w:color w:val="000000" w:themeColor="text1"/>
        </w:rPr>
      </w:pPr>
    </w:p>
    <w:p w14:paraId="3F266441" w14:textId="562163A1" w:rsidR="00501D20" w:rsidRDefault="00501D20" w:rsidP="00FE47FF">
      <w:pPr>
        <w:rPr>
          <w:rFonts w:ascii="Times" w:hAnsi="Times"/>
          <w:color w:val="000000" w:themeColor="text1"/>
        </w:rPr>
      </w:pPr>
    </w:p>
    <w:p w14:paraId="516C4333" w14:textId="77777777" w:rsidR="00501D20" w:rsidRDefault="00501D20" w:rsidP="00FE47FF">
      <w:pPr>
        <w:rPr>
          <w:rFonts w:ascii="Times" w:hAnsi="Times"/>
          <w:b/>
          <w:bCs/>
          <w:color w:val="000000" w:themeColor="text1"/>
        </w:rPr>
      </w:pPr>
    </w:p>
    <w:p w14:paraId="518C9498" w14:textId="77777777" w:rsidR="00FE47FF" w:rsidRDefault="00FE47FF" w:rsidP="00FE47FF">
      <w:pPr>
        <w:rPr>
          <w:rFonts w:ascii="Times" w:hAnsi="Times"/>
          <w:b/>
          <w:bCs/>
          <w:color w:val="000000" w:themeColor="text1"/>
        </w:rPr>
      </w:pPr>
    </w:p>
    <w:p w14:paraId="2FCAAEFD" w14:textId="3A86253C" w:rsidR="00421AB2" w:rsidRDefault="00E17B38" w:rsidP="00E17B38">
      <w:pPr>
        <w:rPr>
          <w:rFonts w:ascii="Times" w:hAnsi="Times"/>
          <w:color w:val="000000" w:themeColor="text1"/>
        </w:rPr>
      </w:pPr>
      <w:r>
        <w:rPr>
          <w:rFonts w:ascii="Times" w:hAnsi="Times"/>
          <w:noProof/>
          <w:color w:val="000000" w:themeColor="text1"/>
        </w:rPr>
        <w:lastRenderedPageBreak/>
        <w:drawing>
          <wp:inline distT="0" distB="0" distL="0" distR="0" wp14:anchorId="2EB84D52" wp14:editId="3516DA65">
            <wp:extent cx="3068134" cy="6443529"/>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Fig3SD.pdf"/>
                    <pic:cNvPicPr/>
                  </pic:nvPicPr>
                  <pic:blipFill>
                    <a:blip r:embed="rId5">
                      <a:extLst>
                        <a:ext uri="{28A0092B-C50C-407E-A947-70E740481C1C}">
                          <a14:useLocalDpi xmlns:a14="http://schemas.microsoft.com/office/drawing/2010/main" val="0"/>
                        </a:ext>
                      </a:extLst>
                    </a:blip>
                    <a:stretch>
                      <a:fillRect/>
                    </a:stretch>
                  </pic:blipFill>
                  <pic:spPr>
                    <a:xfrm>
                      <a:off x="0" y="0"/>
                      <a:ext cx="3071366" cy="6450318"/>
                    </a:xfrm>
                    <a:prstGeom prst="rect">
                      <a:avLst/>
                    </a:prstGeom>
                  </pic:spPr>
                </pic:pic>
              </a:graphicData>
            </a:graphic>
          </wp:inline>
        </w:drawing>
      </w:r>
    </w:p>
    <w:p w14:paraId="1B1D9C3C" w14:textId="3BAA2E1C" w:rsidR="00815F4F" w:rsidRPr="00A77123" w:rsidRDefault="00E17B38" w:rsidP="000D573C">
      <w:pPr>
        <w:rPr>
          <w:rFonts w:ascii="Times" w:hAnsi="Times"/>
          <w:color w:val="000000" w:themeColor="text1"/>
        </w:rPr>
      </w:pPr>
      <w:r>
        <w:rPr>
          <w:rFonts w:ascii="Times" w:hAnsi="Times"/>
          <w:b/>
          <w:bCs/>
          <w:color w:val="000000" w:themeColor="text1"/>
        </w:rPr>
        <w:t xml:space="preserve">S2 Fig </w:t>
      </w:r>
      <w:r>
        <w:rPr>
          <w:rFonts w:ascii="Times" w:hAnsi="Times"/>
          <w:color w:val="000000" w:themeColor="text1"/>
        </w:rPr>
        <w:t xml:space="preserve">We tested the sensitivity of </w:t>
      </w:r>
      <w:r w:rsidR="005D3E3C">
        <w:rPr>
          <w:rFonts w:ascii="Times" w:hAnsi="Times"/>
          <w:color w:val="000000" w:themeColor="text1"/>
        </w:rPr>
        <w:t>our sampling scheme</w:t>
      </w:r>
      <w:r w:rsidR="00AD37C3">
        <w:rPr>
          <w:rFonts w:ascii="Times" w:hAnsi="Times"/>
          <w:color w:val="000000" w:themeColor="text1"/>
        </w:rPr>
        <w:t>.</w:t>
      </w:r>
      <w:r w:rsidR="005D3E3C">
        <w:rPr>
          <w:rFonts w:ascii="Times" w:hAnsi="Times"/>
          <w:color w:val="000000" w:themeColor="text1"/>
        </w:rPr>
        <w:t xml:space="preserve"> The original standard deviation from the full dataset is shown as grey diamonds, and the new standard deviations are shown in color. For the three combinations of dropping two sites from young retired (Tidmarsh East 1, Tidmarsh East 2, and Tidmarsh East 3), standard deviation for this category was more likely to decrease, as indicated by colored points falling below the diamond</w:t>
      </w:r>
      <w:r w:rsidR="00A77123">
        <w:rPr>
          <w:rFonts w:ascii="Times" w:hAnsi="Times"/>
          <w:color w:val="000000" w:themeColor="text1"/>
        </w:rPr>
        <w:t xml:space="preserve"> for the majority of cases</w:t>
      </w:r>
      <w:r w:rsidR="005D3E3C">
        <w:rPr>
          <w:rFonts w:ascii="Times" w:hAnsi="Times"/>
          <w:color w:val="000000" w:themeColor="text1"/>
        </w:rPr>
        <w:t>. For the restored sites, there were nine combinations of dropping two sites at a time from Eel River N, Eel River S, Eel River NE, and two sites at a time from Tidmarsh W 1, Tidmarsh W 2, and Tidmarsh W 3. Again, for the majority of cases, dropping sites decreased variation within this category, rather than increasing it. Together, this validates our sampling and treatment of all 23 sites as independent.</w:t>
      </w:r>
    </w:p>
    <w:p w14:paraId="6B125885" w14:textId="79A21BEC" w:rsidR="000D573C" w:rsidRPr="00C31D69" w:rsidRDefault="000D573C" w:rsidP="000D573C">
      <w:pPr>
        <w:rPr>
          <w:rFonts w:ascii="Times" w:hAnsi="Times"/>
          <w:b/>
          <w:bCs/>
          <w:color w:val="000000" w:themeColor="text1"/>
          <w:sz w:val="32"/>
          <w:szCs w:val="32"/>
        </w:rPr>
      </w:pPr>
      <w:r w:rsidRPr="00C31D69">
        <w:rPr>
          <w:rFonts w:ascii="Times" w:hAnsi="Times"/>
          <w:b/>
          <w:bCs/>
          <w:color w:val="000000" w:themeColor="text1"/>
          <w:sz w:val="32"/>
          <w:szCs w:val="32"/>
        </w:rPr>
        <w:lastRenderedPageBreak/>
        <w:t>Detailed soil analys</w:t>
      </w:r>
      <w:r w:rsidR="00387DCD">
        <w:rPr>
          <w:rFonts w:ascii="Times" w:hAnsi="Times"/>
          <w:b/>
          <w:bCs/>
          <w:color w:val="000000" w:themeColor="text1"/>
          <w:sz w:val="32"/>
          <w:szCs w:val="32"/>
        </w:rPr>
        <w:t>e</w:t>
      </w:r>
      <w:r w:rsidRPr="00C31D69">
        <w:rPr>
          <w:rFonts w:ascii="Times" w:hAnsi="Times"/>
          <w:b/>
          <w:bCs/>
          <w:color w:val="000000" w:themeColor="text1"/>
          <w:sz w:val="32"/>
          <w:szCs w:val="32"/>
        </w:rPr>
        <w:t>s</w:t>
      </w:r>
      <w:r w:rsidR="00E706FB">
        <w:rPr>
          <w:rFonts w:ascii="Times" w:hAnsi="Times"/>
          <w:b/>
          <w:bCs/>
          <w:color w:val="000000" w:themeColor="text1"/>
          <w:sz w:val="32"/>
          <w:szCs w:val="32"/>
        </w:rPr>
        <w:t xml:space="preserve"> </w:t>
      </w:r>
      <w:r w:rsidR="00E706FB" w:rsidRPr="00C31D69">
        <w:rPr>
          <w:rFonts w:ascii="Times" w:hAnsi="Times"/>
          <w:b/>
          <w:bCs/>
          <w:color w:val="000000" w:themeColor="text1"/>
          <w:sz w:val="32"/>
          <w:szCs w:val="32"/>
        </w:rPr>
        <w:t xml:space="preserve">methods </w:t>
      </w:r>
    </w:p>
    <w:p w14:paraId="39DAD43D" w14:textId="77777777" w:rsidR="000D573C" w:rsidRPr="00C31D69" w:rsidRDefault="000D573C" w:rsidP="000D573C">
      <w:pPr>
        <w:rPr>
          <w:rFonts w:ascii="Times" w:hAnsi="Times"/>
          <w:color w:val="000000" w:themeColor="text1"/>
        </w:rPr>
      </w:pPr>
      <w:r w:rsidRPr="00C31D69">
        <w:rPr>
          <w:rFonts w:ascii="Times" w:hAnsi="Times"/>
          <w:color w:val="000000" w:themeColor="text1"/>
        </w:rPr>
        <w:tab/>
        <w:t>A total of 36 physicochemical analyses were performed on the 184 soil samples. 21 of these variables including macronutrients and micronutrients, along with pH, SOM, scoop density, cation exchange capacity, base saturation of Ca, Mg, and K, were performed by the UMASS plant and soil testing lab using standard protocols. Methods for the remaining 15 variables are described below.</w:t>
      </w:r>
    </w:p>
    <w:p w14:paraId="1B0CED9F" w14:textId="77777777" w:rsidR="000D573C" w:rsidRPr="00C31D69" w:rsidRDefault="000D573C" w:rsidP="000D573C">
      <w:pPr>
        <w:ind w:firstLine="720"/>
        <w:rPr>
          <w:rFonts w:ascii="Times" w:hAnsi="Times" w:cs="Arial"/>
          <w:color w:val="000000" w:themeColor="text1"/>
        </w:rPr>
      </w:pPr>
      <w:r w:rsidRPr="00C31D69">
        <w:rPr>
          <w:rFonts w:ascii="Times" w:hAnsi="Times" w:cs="Arial"/>
          <w:color w:val="000000" w:themeColor="text1"/>
        </w:rPr>
        <w:t xml:space="preserve">Soil moisture was determined gravimetrically for each sample using the difference in mass between oven-dried soil (105°C until constant weight) and field-moist soil. Bulk density was determined by dividing total dry weight of each soil sample by volume of the core. </w:t>
      </w:r>
    </w:p>
    <w:p w14:paraId="5A04AED9" w14:textId="77777777" w:rsidR="000D573C" w:rsidRPr="00C31D69" w:rsidRDefault="000D573C" w:rsidP="000D573C">
      <w:pPr>
        <w:rPr>
          <w:rFonts w:ascii="Times" w:hAnsi="Times" w:cs="Arial"/>
          <w:color w:val="000000" w:themeColor="text1"/>
        </w:rPr>
      </w:pPr>
      <w:r w:rsidRPr="00C31D69">
        <w:rPr>
          <w:rFonts w:ascii="Times" w:hAnsi="Times" w:cs="Arial"/>
          <w:color w:val="000000" w:themeColor="text1"/>
        </w:rPr>
        <w:tab/>
        <w:t>Denitrification potential was determined using assays of denitrification enzyme activity (Groffman et al., 1999) within 48 hours of collection. This method adds an abundance of carbon and nitrate to each sample in an oxygen free container so that nitrogen gas production via denitrification is a function only of the amount of enzyme present (Groffman et al., 1999). In our assays, acetylene gas was injected into sealed 125-mL flasks containing 5 g of dry soil and 10 mL of liquid media (0.72 g L</w:t>
      </w:r>
      <w:r w:rsidRPr="00C31D69">
        <w:rPr>
          <w:rFonts w:ascii="Times" w:hAnsi="Times" w:cs="Arial"/>
          <w:color w:val="000000" w:themeColor="text1"/>
          <w:vertAlign w:val="superscript"/>
        </w:rPr>
        <w:t>-1</w:t>
      </w:r>
      <w:r w:rsidRPr="00C31D69">
        <w:rPr>
          <w:rFonts w:ascii="Times" w:hAnsi="Times" w:cs="Arial"/>
          <w:color w:val="000000" w:themeColor="text1"/>
        </w:rPr>
        <w:t xml:space="preserve"> KNO</w:t>
      </w:r>
      <w:r w:rsidRPr="00C31D69">
        <w:rPr>
          <w:rFonts w:ascii="Times" w:hAnsi="Times" w:cs="Arial"/>
          <w:color w:val="000000" w:themeColor="text1"/>
          <w:vertAlign w:val="subscript"/>
        </w:rPr>
        <w:t>3</w:t>
      </w:r>
      <w:r w:rsidRPr="00C31D69">
        <w:rPr>
          <w:rFonts w:ascii="Times" w:hAnsi="Times" w:cs="Arial"/>
          <w:color w:val="000000" w:themeColor="text1"/>
        </w:rPr>
        <w:t xml:space="preserve"> and 0.5 g L</w:t>
      </w:r>
      <w:r w:rsidRPr="00C31D69">
        <w:rPr>
          <w:rFonts w:ascii="Times" w:hAnsi="Times" w:cs="Arial"/>
          <w:color w:val="000000" w:themeColor="text1"/>
          <w:vertAlign w:val="superscript"/>
        </w:rPr>
        <w:t>-1</w:t>
      </w:r>
      <w:r w:rsidRPr="00C31D69">
        <w:rPr>
          <w:rFonts w:ascii="Times" w:hAnsi="Times" w:cs="Arial"/>
          <w:color w:val="000000" w:themeColor="text1"/>
        </w:rPr>
        <w:t xml:space="preserve"> glucose to provide substrate for enzymes, plus 0.125 g L</w:t>
      </w:r>
      <w:r w:rsidRPr="00C31D69">
        <w:rPr>
          <w:rFonts w:ascii="Times" w:hAnsi="Times" w:cs="Arial"/>
          <w:color w:val="000000" w:themeColor="text1"/>
          <w:vertAlign w:val="superscript"/>
        </w:rPr>
        <w:t>-1</w:t>
      </w:r>
      <w:r w:rsidRPr="00C31D69">
        <w:rPr>
          <w:rFonts w:ascii="Times" w:hAnsi="Times" w:cs="Arial"/>
          <w:color w:val="000000" w:themeColor="text1"/>
        </w:rPr>
        <w:t xml:space="preserve"> chloramphenicol to block further enzyme production). Flasks were flushed with N</w:t>
      </w:r>
      <w:r w:rsidRPr="00C31D69">
        <w:rPr>
          <w:rFonts w:ascii="Times" w:hAnsi="Times" w:cs="Arial"/>
          <w:color w:val="000000" w:themeColor="text1"/>
          <w:vertAlign w:val="subscript"/>
        </w:rPr>
        <w:t>2</w:t>
      </w:r>
      <w:r w:rsidRPr="00C31D69">
        <w:rPr>
          <w:rFonts w:ascii="Times" w:hAnsi="Times" w:cs="Arial"/>
          <w:color w:val="000000" w:themeColor="text1"/>
        </w:rPr>
        <w:t xml:space="preserve"> gas to remove oxygen from the headspace prior to injection of acetylene. Acetylene inhibits the reduction of N</w:t>
      </w:r>
      <w:r w:rsidRPr="00C31D69">
        <w:rPr>
          <w:rFonts w:ascii="Times" w:hAnsi="Times" w:cs="Arial"/>
          <w:color w:val="000000" w:themeColor="text1"/>
          <w:vertAlign w:val="subscript"/>
        </w:rPr>
        <w:t>2</w:t>
      </w:r>
      <w:r w:rsidRPr="00C31D69">
        <w:rPr>
          <w:rFonts w:ascii="Times" w:hAnsi="Times" w:cs="Arial"/>
          <w:color w:val="000000" w:themeColor="text1"/>
        </w:rPr>
        <w:t>O to N</w:t>
      </w:r>
      <w:r w:rsidRPr="00C31D69">
        <w:rPr>
          <w:rFonts w:ascii="Times" w:hAnsi="Times" w:cs="Arial"/>
          <w:color w:val="000000" w:themeColor="text1"/>
          <w:vertAlign w:val="subscript"/>
        </w:rPr>
        <w:t>2</w:t>
      </w:r>
      <w:r w:rsidRPr="00C31D69">
        <w:rPr>
          <w:rFonts w:ascii="Times" w:hAnsi="Times" w:cs="Arial"/>
          <w:color w:val="000000" w:themeColor="text1"/>
        </w:rPr>
        <w:t>, and as such, the product of denitrification in this assay is N</w:t>
      </w:r>
      <w:r w:rsidRPr="00C31D69">
        <w:rPr>
          <w:rFonts w:ascii="Times" w:hAnsi="Times" w:cs="Arial"/>
          <w:color w:val="000000" w:themeColor="text1"/>
          <w:vertAlign w:val="subscript"/>
        </w:rPr>
        <w:t>2</w:t>
      </w:r>
      <w:r w:rsidRPr="00C31D69">
        <w:rPr>
          <w:rFonts w:ascii="Times" w:hAnsi="Times" w:cs="Arial"/>
          <w:color w:val="000000" w:themeColor="text1"/>
        </w:rPr>
        <w:t>O. Soil slurries were mixed constantly for 90 minutes on an orbital shaker. Gas samples were taken from the soil slurries at time 30 and 90 minutes, injected into evacuated 9 mL gas vials, and analyzed for N</w:t>
      </w:r>
      <w:r w:rsidRPr="00C31D69">
        <w:rPr>
          <w:rFonts w:ascii="Times" w:hAnsi="Times" w:cs="Arial"/>
          <w:color w:val="000000" w:themeColor="text1"/>
          <w:vertAlign w:val="subscript"/>
        </w:rPr>
        <w:t>2</w:t>
      </w:r>
      <w:r w:rsidRPr="00C31D69">
        <w:rPr>
          <w:rFonts w:ascii="Times" w:hAnsi="Times" w:cs="Arial"/>
          <w:color w:val="000000" w:themeColor="text1"/>
        </w:rPr>
        <w:t>O using a Shimadzu GC-14 gas chromatograph equipped with an electron capture detector. Denitrification potential (rates) were determined by regression of N</w:t>
      </w:r>
      <w:r w:rsidRPr="00C31D69">
        <w:rPr>
          <w:rFonts w:ascii="Times" w:hAnsi="Times" w:cs="Arial"/>
          <w:color w:val="000000" w:themeColor="text1"/>
          <w:vertAlign w:val="subscript"/>
        </w:rPr>
        <w:t>2</w:t>
      </w:r>
      <w:r w:rsidRPr="00C31D69">
        <w:rPr>
          <w:rFonts w:ascii="Times" w:hAnsi="Times" w:cs="Arial"/>
          <w:color w:val="000000" w:themeColor="text1"/>
        </w:rPr>
        <w:t>O accumulation against time.</w:t>
      </w:r>
    </w:p>
    <w:p w14:paraId="00B49C9E" w14:textId="77777777" w:rsidR="000D573C" w:rsidRPr="00C31D69" w:rsidRDefault="000D573C" w:rsidP="000D573C">
      <w:pPr>
        <w:pStyle w:val="NoSpacing"/>
        <w:ind w:firstLine="720"/>
        <w:rPr>
          <w:rFonts w:ascii="Times" w:hAnsi="Times" w:cs="Arial"/>
          <w:color w:val="000000" w:themeColor="text1"/>
          <w:szCs w:val="24"/>
          <w:shd w:val="clear" w:color="auto" w:fill="FFFFFF"/>
        </w:rPr>
      </w:pPr>
      <w:r w:rsidRPr="00C31D69">
        <w:rPr>
          <w:rFonts w:ascii="Times" w:hAnsi="Times" w:cs="Arial"/>
          <w:color w:val="000000" w:themeColor="text1"/>
          <w:szCs w:val="24"/>
          <w:shd w:val="clear" w:color="auto" w:fill="FFFFFF"/>
        </w:rPr>
        <w:t xml:space="preserve">Microbial biomass C and N content were measured using the chloroform fumigation–incubation method </w:t>
      </w:r>
      <w:r w:rsidRPr="00C31D69">
        <w:rPr>
          <w:rFonts w:ascii="Times" w:hAnsi="Times" w:cs="Arial"/>
          <w:color w:val="000000" w:themeColor="text1"/>
          <w:szCs w:val="24"/>
          <w:shd w:val="clear" w:color="auto" w:fill="FFFFFF"/>
        </w:rPr>
        <w:fldChar w:fldCharType="begin"/>
      </w:r>
      <w:r w:rsidRPr="00C31D69">
        <w:rPr>
          <w:rFonts w:ascii="Times" w:hAnsi="Times" w:cs="Arial"/>
          <w:color w:val="000000" w:themeColor="text1"/>
          <w:szCs w:val="24"/>
          <w:shd w:val="clear" w:color="auto" w:fill="FFFFFF"/>
        </w:rPr>
        <w:instrText xml:space="preserve"> ADDIN PAPERS2_CITATIONS &lt;citation&gt;&lt;uuid&gt;1B8C7AA4-2D71-400E-820C-8FE6A46E0587&lt;/uuid&gt;&lt;priority&gt;31&lt;/priority&gt;&lt;publications&gt;&lt;publication&gt;&lt;location&gt;&amp;lt;html&amp;gt;&amp;lt;head&amp;gt;&amp;lt;meta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#dfdfdf;"&amp;gt;&amp;amp;copy; 2013 Google - &amp;lt;a href="https://www.google.com"&amp;gt;Google Home&amp;lt;/a&amp;gt;&amp;lt;/div&amp;gt;&amp;lt;/body&amp;gt;&amp;lt;/html&amp;gt;&lt;/location&gt;&lt;volume&gt;8&lt;/volume&gt;&lt;number&gt;3&lt;/number&gt;&lt;institution&gt;Rothamsted Exptl Stn,Harpenden Al5 2jq,Hertfordshire,England&lt;/institution&gt;&lt;startpage&gt;167&lt;/startpage&gt;&lt;title&gt;Effects of Biocidal Treatments on Metabolism in Soil .1. Fumigation with Chloroform&lt;/title&gt;&lt;uuid&gt;C6CEFC34-8589-4241-8ED1-C2D8FBBE841E&lt;/uuid&gt;&lt;subtype&gt;400&lt;/subtype&gt;&lt;endpage&gt;177&lt;/endpage&gt;&lt;type&gt;400&lt;/type&gt;&lt;publication_date&gt;99197600001200000000200000&lt;/publication_date&gt;&lt;bundle&gt;&lt;publication&gt;&lt;publisher&gt;Elsevier Ltd&lt;/publisher&gt;&lt;title&gt;Soil Biology and Biochemistry&lt;/title&gt;&lt;type&gt;-100&lt;/type&gt;&lt;subtype&gt;-100&lt;/subtype&gt;&lt;uuid&gt;A9E733B3-FF21-41A6-91A5-A80699D9183A&lt;/uuid&gt;&lt;/publication&gt;&lt;/bundle&gt;&lt;authors&gt;&lt;author&gt;&lt;firstName&gt;D&lt;/firstName&gt;&lt;middleNames&gt;S&lt;/middleNames&gt;&lt;lastName&gt;Jenkinson&lt;/lastName&gt;&lt;/author&gt;&lt;author&gt;&lt;firstName&gt;D&lt;/firstName&gt;&lt;middleNames&gt;S&lt;/middleNames&gt;&lt;lastName&gt;Powlson&lt;/lastName&gt;&lt;/author&gt;&lt;/authors&gt;&lt;/publication&gt;&lt;/publications&gt;&lt;cites&gt;&lt;/cites&gt;&lt;/citation&gt;</w:instrText>
      </w:r>
      <w:r w:rsidRPr="00C31D69">
        <w:rPr>
          <w:rFonts w:ascii="Times" w:hAnsi="Times" w:cs="Arial"/>
          <w:color w:val="000000" w:themeColor="text1"/>
          <w:szCs w:val="24"/>
          <w:shd w:val="clear" w:color="auto" w:fill="FFFFFF"/>
        </w:rPr>
        <w:fldChar w:fldCharType="separate"/>
      </w:r>
      <w:r w:rsidRPr="00C31D69">
        <w:rPr>
          <w:rFonts w:ascii="Times" w:hAnsi="Times" w:cs="Arial"/>
          <w:color w:val="000000" w:themeColor="text1"/>
          <w:szCs w:val="24"/>
        </w:rPr>
        <w:t>(Jenkinson and Powlson, 1976)</w:t>
      </w:r>
      <w:r w:rsidRPr="00C31D69">
        <w:rPr>
          <w:rFonts w:ascii="Times" w:hAnsi="Times" w:cs="Arial"/>
          <w:color w:val="000000" w:themeColor="text1"/>
          <w:szCs w:val="24"/>
          <w:shd w:val="clear" w:color="auto" w:fill="FFFFFF"/>
        </w:rPr>
        <w:fldChar w:fldCharType="end"/>
      </w:r>
      <w:r w:rsidRPr="00C31D69">
        <w:rPr>
          <w:rFonts w:ascii="Times" w:hAnsi="Times" w:cs="Arial"/>
          <w:color w:val="000000" w:themeColor="text1"/>
          <w:szCs w:val="24"/>
          <w:shd w:val="clear" w:color="auto" w:fill="FFFFFF"/>
        </w:rPr>
        <w:t>. Microbial cells in the soil samples were killed and lysed by fumigation for 20 hr with chloroform. The fumigated samples were then inoculated with a small amount of fresh soil, introducing microorganisms that metabolize the lysed microbial cells in the original sample. The CO</w:t>
      </w:r>
      <w:r w:rsidRPr="00C31D69">
        <w:rPr>
          <w:rFonts w:ascii="Times" w:hAnsi="Times" w:cs="Arial"/>
          <w:color w:val="000000" w:themeColor="text1"/>
          <w:szCs w:val="24"/>
          <w:shd w:val="clear" w:color="auto" w:fill="FFFFFF"/>
          <w:vertAlign w:val="subscript"/>
        </w:rPr>
        <w:t>2</w:t>
      </w:r>
      <w:r w:rsidRPr="00C31D69">
        <w:rPr>
          <w:rFonts w:ascii="Times" w:hAnsi="Times" w:cs="Arial"/>
          <w:color w:val="000000" w:themeColor="text1"/>
          <w:szCs w:val="24"/>
          <w:shd w:val="clear" w:color="auto" w:fill="FFFFFF"/>
        </w:rPr>
        <w:t xml:space="preserve"> and extractable mineral N (NH</w:t>
      </w:r>
      <w:r w:rsidRPr="00C31D69">
        <w:rPr>
          <w:rFonts w:ascii="Times" w:hAnsi="Times" w:cs="Arial"/>
          <w:color w:val="000000" w:themeColor="text1"/>
          <w:szCs w:val="24"/>
          <w:shd w:val="clear" w:color="auto" w:fill="FFFFFF"/>
          <w:vertAlign w:val="subscript"/>
        </w:rPr>
        <w:t>4</w:t>
      </w:r>
      <w:r w:rsidRPr="00C31D69">
        <w:rPr>
          <w:rFonts w:ascii="Times" w:hAnsi="Times" w:cs="Arial"/>
          <w:color w:val="000000" w:themeColor="text1"/>
          <w:szCs w:val="24"/>
          <w:shd w:val="clear" w:color="auto" w:fill="FFFFFF"/>
          <w:vertAlign w:val="superscript"/>
        </w:rPr>
        <w:t>+</w:t>
      </w:r>
      <w:r w:rsidRPr="00C31D69">
        <w:rPr>
          <w:rFonts w:ascii="Times" w:hAnsi="Times" w:cs="Arial"/>
          <w:color w:val="000000" w:themeColor="text1"/>
          <w:szCs w:val="24"/>
          <w:shd w:val="clear" w:color="auto" w:fill="FFFFFF"/>
        </w:rPr>
        <w:t xml:space="preserve"> and NO</w:t>
      </w:r>
      <w:r w:rsidRPr="00C31D69">
        <w:rPr>
          <w:rFonts w:ascii="Times" w:hAnsi="Times" w:cs="Arial"/>
          <w:color w:val="000000" w:themeColor="text1"/>
          <w:szCs w:val="24"/>
          <w:shd w:val="clear" w:color="auto" w:fill="FFFFFF"/>
          <w:vertAlign w:val="subscript"/>
        </w:rPr>
        <w:t>3</w:t>
      </w:r>
      <w:r w:rsidRPr="00C31D69">
        <w:rPr>
          <w:rFonts w:ascii="Times" w:hAnsi="Times" w:cs="Arial"/>
          <w:color w:val="000000" w:themeColor="text1"/>
          <w:szCs w:val="24"/>
          <w:vertAlign w:val="superscript"/>
        </w:rPr>
        <w:t>−</w:t>
      </w:r>
      <w:r w:rsidRPr="00C31D69">
        <w:rPr>
          <w:rFonts w:ascii="Times" w:hAnsi="Times" w:cs="Arial"/>
          <w:color w:val="000000" w:themeColor="text1"/>
          <w:szCs w:val="24"/>
          <w:shd w:val="clear" w:color="auto" w:fill="FFFFFF"/>
        </w:rPr>
        <w:t>) released by the actively-growing cells were measured during a ten-day incubation. The CO</w:t>
      </w:r>
      <w:r w:rsidRPr="00C31D69">
        <w:rPr>
          <w:rFonts w:ascii="Times" w:hAnsi="Times" w:cs="Arial"/>
          <w:color w:val="000000" w:themeColor="text1"/>
          <w:szCs w:val="24"/>
          <w:shd w:val="clear" w:color="auto" w:fill="FFFFFF"/>
          <w:vertAlign w:val="subscript"/>
        </w:rPr>
        <w:t xml:space="preserve">2 </w:t>
      </w:r>
      <w:r w:rsidRPr="00C31D69">
        <w:rPr>
          <w:rFonts w:ascii="Times" w:hAnsi="Times" w:cs="Arial"/>
          <w:color w:val="000000" w:themeColor="text1"/>
          <w:szCs w:val="24"/>
          <w:shd w:val="clear" w:color="auto" w:fill="FFFFFF"/>
        </w:rPr>
        <w:t xml:space="preserve">and extractable mineral N detected in this assay are directly proportional to the amounts of C and N that were present in the microbial biomass of the original soil. </w:t>
      </w:r>
    </w:p>
    <w:p w14:paraId="23CBF5EC" w14:textId="5872F9CA" w:rsidR="000D573C" w:rsidRPr="00FE0BF8" w:rsidRDefault="000D573C" w:rsidP="00FE0BF8">
      <w:pPr>
        <w:pStyle w:val="NoSpacing"/>
        <w:ind w:firstLine="720"/>
        <w:rPr>
          <w:rFonts w:ascii="Times" w:eastAsia="Times New Roman" w:hAnsi="Times" w:cs="Arial"/>
          <w:color w:val="000000" w:themeColor="text1"/>
          <w:szCs w:val="24"/>
          <w:shd w:val="clear" w:color="auto" w:fill="FFFFFF"/>
        </w:rPr>
      </w:pPr>
      <w:r w:rsidRPr="00C31D69">
        <w:rPr>
          <w:rFonts w:ascii="Times" w:hAnsi="Times" w:cs="Arial"/>
          <w:color w:val="000000" w:themeColor="text1"/>
          <w:szCs w:val="24"/>
          <w:shd w:val="clear" w:color="auto" w:fill="FFFFFF"/>
        </w:rPr>
        <w:t>Ten-day incubations of non-fumigated samples provided measurements of potential net mineralization and nitrification rates</w:t>
      </w:r>
      <w:r w:rsidR="004A7538">
        <w:rPr>
          <w:rFonts w:ascii="Times" w:hAnsi="Times" w:cs="Arial"/>
          <w:color w:val="000000" w:themeColor="text1"/>
          <w:szCs w:val="24"/>
          <w:shd w:val="clear" w:color="auto" w:fill="FFFFFF"/>
        </w:rPr>
        <w:t>, as well as greenhouse gas emissions</w:t>
      </w:r>
      <w:r w:rsidRPr="00C31D69">
        <w:rPr>
          <w:rFonts w:ascii="Times" w:hAnsi="Times" w:cs="Arial"/>
          <w:color w:val="000000" w:themeColor="text1"/>
          <w:szCs w:val="24"/>
          <w:shd w:val="clear" w:color="auto" w:fill="FFFFFF"/>
        </w:rPr>
        <w:t>. Potential net N mineralization was quantified by measuring the accumulated mineral N (NH</w:t>
      </w:r>
      <w:r w:rsidRPr="00C31D69">
        <w:rPr>
          <w:rFonts w:ascii="Times" w:hAnsi="Times" w:cs="Arial"/>
          <w:color w:val="000000" w:themeColor="text1"/>
          <w:szCs w:val="24"/>
          <w:shd w:val="clear" w:color="auto" w:fill="FFFFFF"/>
          <w:vertAlign w:val="subscript"/>
        </w:rPr>
        <w:t>4</w:t>
      </w:r>
      <w:r w:rsidRPr="00C31D69">
        <w:rPr>
          <w:rFonts w:ascii="Times" w:hAnsi="Times" w:cs="Arial"/>
          <w:color w:val="000000" w:themeColor="text1"/>
          <w:szCs w:val="24"/>
          <w:shd w:val="clear" w:color="auto" w:fill="FFFFFF"/>
          <w:vertAlign w:val="superscript"/>
        </w:rPr>
        <w:t>+</w:t>
      </w:r>
      <w:r w:rsidRPr="00C31D69">
        <w:rPr>
          <w:rFonts w:ascii="Times" w:hAnsi="Times" w:cs="Arial"/>
          <w:color w:val="000000" w:themeColor="text1"/>
          <w:szCs w:val="24"/>
          <w:shd w:val="clear" w:color="auto" w:fill="FFFFFF"/>
        </w:rPr>
        <w:t xml:space="preserve"> and NO</w:t>
      </w:r>
      <w:r w:rsidRPr="00C31D69">
        <w:rPr>
          <w:rFonts w:ascii="Times" w:hAnsi="Times" w:cs="Arial"/>
          <w:color w:val="000000" w:themeColor="text1"/>
          <w:szCs w:val="24"/>
          <w:shd w:val="clear" w:color="auto" w:fill="FFFFFF"/>
          <w:vertAlign w:val="subscript"/>
        </w:rPr>
        <w:t>3</w:t>
      </w:r>
      <w:r w:rsidRPr="00C31D69">
        <w:rPr>
          <w:rFonts w:ascii="Times" w:hAnsi="Times" w:cs="Arial"/>
          <w:color w:val="000000" w:themeColor="text1"/>
          <w:szCs w:val="24"/>
          <w:shd w:val="clear" w:color="auto" w:fill="FFFFFF"/>
          <w:vertAlign w:val="superscript"/>
        </w:rPr>
        <w:t>−</w:t>
      </w:r>
      <w:r w:rsidRPr="00C31D69">
        <w:rPr>
          <w:rFonts w:ascii="Times" w:hAnsi="Times" w:cs="Arial"/>
          <w:color w:val="000000" w:themeColor="text1"/>
          <w:szCs w:val="24"/>
          <w:shd w:val="clear" w:color="auto" w:fill="FFFFFF"/>
        </w:rPr>
        <w:t>), and potential net N nitrification was quantified by measuring the accumulation of NO</w:t>
      </w:r>
      <w:r w:rsidRPr="00C31D69">
        <w:rPr>
          <w:rFonts w:ascii="Times" w:hAnsi="Times" w:cs="Arial"/>
          <w:color w:val="000000" w:themeColor="text1"/>
          <w:szCs w:val="24"/>
          <w:shd w:val="clear" w:color="auto" w:fill="FFFFFF"/>
          <w:vertAlign w:val="subscript"/>
        </w:rPr>
        <w:t>3</w:t>
      </w:r>
      <w:r w:rsidRPr="00C31D69">
        <w:rPr>
          <w:rFonts w:ascii="Times" w:hAnsi="Times" w:cs="Arial"/>
          <w:color w:val="000000" w:themeColor="text1"/>
          <w:szCs w:val="24"/>
          <w:shd w:val="clear" w:color="auto" w:fill="FFFFFF"/>
          <w:vertAlign w:val="superscript"/>
        </w:rPr>
        <w:t>−</w:t>
      </w:r>
      <w:r w:rsidRPr="00C31D69">
        <w:rPr>
          <w:rFonts w:ascii="Times" w:hAnsi="Times" w:cs="Arial"/>
          <w:color w:val="000000" w:themeColor="text1"/>
          <w:szCs w:val="24"/>
          <w:shd w:val="clear" w:color="auto" w:fill="FFFFFF"/>
        </w:rPr>
        <w:t xml:space="preserve"> during this incubation. Extractable soil NH</w:t>
      </w:r>
      <w:r w:rsidRPr="00C31D69">
        <w:rPr>
          <w:rFonts w:ascii="Times" w:hAnsi="Times" w:cs="Arial"/>
          <w:color w:val="000000" w:themeColor="text1"/>
          <w:szCs w:val="24"/>
          <w:shd w:val="clear" w:color="auto" w:fill="FFFFFF"/>
          <w:vertAlign w:val="subscript"/>
        </w:rPr>
        <w:t>4</w:t>
      </w:r>
      <w:r w:rsidRPr="00C31D69">
        <w:rPr>
          <w:rFonts w:ascii="Times" w:hAnsi="Times" w:cs="Arial"/>
          <w:color w:val="000000" w:themeColor="text1"/>
          <w:szCs w:val="24"/>
          <w:shd w:val="clear" w:color="auto" w:fill="FFFFFF"/>
          <w:vertAlign w:val="superscript"/>
        </w:rPr>
        <w:t>+</w:t>
      </w:r>
      <w:r w:rsidRPr="00C31D69">
        <w:rPr>
          <w:rFonts w:ascii="Times" w:hAnsi="Times" w:cs="Arial"/>
          <w:color w:val="000000" w:themeColor="text1"/>
          <w:szCs w:val="24"/>
          <w:shd w:val="clear" w:color="auto" w:fill="FFFFFF"/>
        </w:rPr>
        <w:t xml:space="preserve"> and NO</w:t>
      </w:r>
      <w:r w:rsidRPr="00C31D69">
        <w:rPr>
          <w:rFonts w:ascii="Times" w:hAnsi="Times" w:cs="Arial"/>
          <w:color w:val="000000" w:themeColor="text1"/>
          <w:szCs w:val="24"/>
          <w:shd w:val="clear" w:color="auto" w:fill="FFFFFF"/>
          <w:vertAlign w:val="subscript"/>
        </w:rPr>
        <w:t>3</w:t>
      </w:r>
      <w:r w:rsidRPr="00C31D69">
        <w:rPr>
          <w:rFonts w:ascii="Times" w:hAnsi="Times" w:cs="Arial"/>
          <w:color w:val="000000" w:themeColor="text1"/>
          <w:szCs w:val="24"/>
          <w:shd w:val="clear" w:color="auto" w:fill="FFFFFF"/>
          <w:vertAlign w:val="superscript"/>
        </w:rPr>
        <w:t>−</w:t>
      </w:r>
      <w:r w:rsidRPr="00C31D69">
        <w:rPr>
          <w:rFonts w:ascii="Times" w:hAnsi="Times" w:cs="Arial"/>
          <w:color w:val="000000" w:themeColor="text1"/>
          <w:szCs w:val="24"/>
          <w:shd w:val="clear" w:color="auto" w:fill="FFFFFF"/>
        </w:rPr>
        <w:t xml:space="preserve"> were quantified colorimetrically using a Lachat Quikchem 8100 flow injection analyzer (Hach Company, Loveland, CO, USA).</w:t>
      </w:r>
      <w:r w:rsidR="004A7538">
        <w:rPr>
          <w:rFonts w:ascii="Times" w:hAnsi="Times" w:cs="Arial"/>
          <w:color w:val="000000" w:themeColor="text1"/>
          <w:szCs w:val="24"/>
          <w:shd w:val="clear" w:color="auto" w:fill="FFFFFF"/>
        </w:rPr>
        <w:t xml:space="preserve"> At the end of the 10 day incubation, p</w:t>
      </w:r>
      <w:r w:rsidRPr="00C31D69">
        <w:rPr>
          <w:rFonts w:ascii="Times" w:hAnsi="Times" w:cs="Arial"/>
          <w:color w:val="000000" w:themeColor="text1"/>
          <w:szCs w:val="24"/>
          <w:shd w:val="clear" w:color="auto" w:fill="FFFFFF"/>
        </w:rPr>
        <w:t>roduction of CO</w:t>
      </w:r>
      <w:r w:rsidRPr="00C31D69">
        <w:rPr>
          <w:rFonts w:ascii="Times" w:hAnsi="Times" w:cs="Arial"/>
          <w:color w:val="000000" w:themeColor="text1"/>
          <w:szCs w:val="24"/>
          <w:shd w:val="clear" w:color="auto" w:fill="FFFFFF"/>
          <w:vertAlign w:val="subscript"/>
        </w:rPr>
        <w:t>2</w:t>
      </w:r>
      <w:r w:rsidRPr="00C31D69">
        <w:rPr>
          <w:rFonts w:ascii="Times" w:hAnsi="Times" w:cs="Arial"/>
          <w:color w:val="000000" w:themeColor="text1"/>
          <w:szCs w:val="24"/>
          <w:shd w:val="clear" w:color="auto" w:fill="FFFFFF"/>
        </w:rPr>
        <w:t xml:space="preserve"> was measured</w:t>
      </w:r>
      <w:r w:rsidR="004A7538">
        <w:rPr>
          <w:rFonts w:ascii="Times" w:hAnsi="Times" w:cs="Arial"/>
          <w:color w:val="000000" w:themeColor="text1"/>
          <w:szCs w:val="24"/>
          <w:shd w:val="clear" w:color="auto" w:fill="FFFFFF"/>
        </w:rPr>
        <w:t xml:space="preserve"> on a </w:t>
      </w:r>
      <w:r w:rsidR="00C31D69" w:rsidRPr="00C31D69">
        <w:rPr>
          <w:rFonts w:ascii="Times" w:eastAsia="Times New Roman" w:hAnsi="Times" w:cs="Arial"/>
          <w:color w:val="000000" w:themeColor="text1"/>
          <w:szCs w:val="24"/>
          <w:shd w:val="clear" w:color="auto" w:fill="FFFFFF"/>
        </w:rPr>
        <w:t xml:space="preserve">Shimadzu GC-14 gas chromatograph with a thermal conductivity detector (Shimadzu, Kyoto, Japan).  Potential net methane emissions were measured from these same samples on a Shimadzu GC-8 gas chromatograph with a flame ionization detector.  We </w:t>
      </w:r>
      <w:r w:rsidR="00D04440">
        <w:rPr>
          <w:rFonts w:ascii="Times" w:eastAsia="Times New Roman" w:hAnsi="Times" w:cs="Arial"/>
          <w:color w:val="000000" w:themeColor="text1"/>
          <w:szCs w:val="24"/>
          <w:shd w:val="clear" w:color="auto" w:fill="FFFFFF"/>
        </w:rPr>
        <w:t xml:space="preserve">analyzed </w:t>
      </w:r>
      <w:r w:rsidR="00C31D69" w:rsidRPr="00C31D69">
        <w:rPr>
          <w:rFonts w:ascii="Times" w:eastAsia="Times New Roman" w:hAnsi="Times" w:cs="Arial"/>
          <w:color w:val="000000" w:themeColor="text1"/>
          <w:szCs w:val="24"/>
          <w:shd w:val="clear" w:color="auto" w:fill="FFFFFF"/>
        </w:rPr>
        <w:t>N</w:t>
      </w:r>
      <w:r w:rsidR="00C31D69" w:rsidRPr="00C31D69">
        <w:rPr>
          <w:rFonts w:ascii="Times" w:eastAsia="Times New Roman" w:hAnsi="Times" w:cs="Arial"/>
          <w:color w:val="000000" w:themeColor="text1"/>
          <w:szCs w:val="24"/>
          <w:shd w:val="clear" w:color="auto" w:fill="FFFFFF"/>
          <w:vertAlign w:val="subscript"/>
        </w:rPr>
        <w:t>2</w:t>
      </w:r>
      <w:r w:rsidR="00C31D69" w:rsidRPr="00C31D69">
        <w:rPr>
          <w:rFonts w:ascii="Times" w:eastAsia="Times New Roman" w:hAnsi="Times" w:cs="Arial"/>
          <w:color w:val="000000" w:themeColor="text1"/>
          <w:szCs w:val="24"/>
          <w:shd w:val="clear" w:color="auto" w:fill="FFFFFF"/>
        </w:rPr>
        <w:t>O using Shimadzu GC-14 with electron capture detector.</w:t>
      </w:r>
    </w:p>
    <w:sectPr w:rsidR="000D573C" w:rsidRPr="00FE0BF8" w:rsidSect="00E33E4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0000000000000000000"/>
    <w:charset w:val="00"/>
    <w:family w:val="auto"/>
    <w:pitch w:val="variable"/>
    <w:sig w:usb0="00000003" w:usb1="00000000" w:usb2="00000000" w:usb3="00000000" w:csb0="00000007"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7902"/>
    <w:rsid w:val="000534DE"/>
    <w:rsid w:val="00067BA1"/>
    <w:rsid w:val="00072492"/>
    <w:rsid w:val="000937A2"/>
    <w:rsid w:val="000D573C"/>
    <w:rsid w:val="000D58B9"/>
    <w:rsid w:val="0010457B"/>
    <w:rsid w:val="0010737E"/>
    <w:rsid w:val="00190CB7"/>
    <w:rsid w:val="001A49FE"/>
    <w:rsid w:val="001C5140"/>
    <w:rsid w:val="001D6069"/>
    <w:rsid w:val="002051B3"/>
    <w:rsid w:val="002309E1"/>
    <w:rsid w:val="002320EE"/>
    <w:rsid w:val="0026543C"/>
    <w:rsid w:val="002746CD"/>
    <w:rsid w:val="002C4C47"/>
    <w:rsid w:val="002C7935"/>
    <w:rsid w:val="002F655E"/>
    <w:rsid w:val="0030693B"/>
    <w:rsid w:val="00312552"/>
    <w:rsid w:val="00323CB9"/>
    <w:rsid w:val="00332FCA"/>
    <w:rsid w:val="003611A9"/>
    <w:rsid w:val="00387DCD"/>
    <w:rsid w:val="003908D7"/>
    <w:rsid w:val="003920C6"/>
    <w:rsid w:val="00396B90"/>
    <w:rsid w:val="003A0D56"/>
    <w:rsid w:val="003A7A6D"/>
    <w:rsid w:val="003F1180"/>
    <w:rsid w:val="003F6ADF"/>
    <w:rsid w:val="00412421"/>
    <w:rsid w:val="00421AB2"/>
    <w:rsid w:val="004A24EA"/>
    <w:rsid w:val="004A7538"/>
    <w:rsid w:val="004D581A"/>
    <w:rsid w:val="004F20BE"/>
    <w:rsid w:val="00501D20"/>
    <w:rsid w:val="005038FC"/>
    <w:rsid w:val="00512AD5"/>
    <w:rsid w:val="00513BC3"/>
    <w:rsid w:val="0053443B"/>
    <w:rsid w:val="00536649"/>
    <w:rsid w:val="00543505"/>
    <w:rsid w:val="005569CB"/>
    <w:rsid w:val="00570131"/>
    <w:rsid w:val="00571D01"/>
    <w:rsid w:val="00573950"/>
    <w:rsid w:val="00585028"/>
    <w:rsid w:val="005C3453"/>
    <w:rsid w:val="005C45F9"/>
    <w:rsid w:val="005D3E3C"/>
    <w:rsid w:val="005E3643"/>
    <w:rsid w:val="0061699D"/>
    <w:rsid w:val="00620271"/>
    <w:rsid w:val="0068260B"/>
    <w:rsid w:val="006A7262"/>
    <w:rsid w:val="006D1B67"/>
    <w:rsid w:val="007B7E61"/>
    <w:rsid w:val="007C52EE"/>
    <w:rsid w:val="007F2512"/>
    <w:rsid w:val="007F4863"/>
    <w:rsid w:val="008059BB"/>
    <w:rsid w:val="00815F4F"/>
    <w:rsid w:val="00843EC9"/>
    <w:rsid w:val="008561FC"/>
    <w:rsid w:val="0086663C"/>
    <w:rsid w:val="00871642"/>
    <w:rsid w:val="00873E68"/>
    <w:rsid w:val="008B6C24"/>
    <w:rsid w:val="008F0039"/>
    <w:rsid w:val="008F7702"/>
    <w:rsid w:val="00905B57"/>
    <w:rsid w:val="00993F08"/>
    <w:rsid w:val="009A41E4"/>
    <w:rsid w:val="009B06AD"/>
    <w:rsid w:val="009C1DC8"/>
    <w:rsid w:val="00A10C46"/>
    <w:rsid w:val="00A77123"/>
    <w:rsid w:val="00A976AC"/>
    <w:rsid w:val="00AA04F7"/>
    <w:rsid w:val="00AA42FE"/>
    <w:rsid w:val="00AD37C3"/>
    <w:rsid w:val="00B64557"/>
    <w:rsid w:val="00B77902"/>
    <w:rsid w:val="00B828DB"/>
    <w:rsid w:val="00BD7FD6"/>
    <w:rsid w:val="00BE6B42"/>
    <w:rsid w:val="00C26B7D"/>
    <w:rsid w:val="00C31D69"/>
    <w:rsid w:val="00C36AB3"/>
    <w:rsid w:val="00C47535"/>
    <w:rsid w:val="00C70CE6"/>
    <w:rsid w:val="00C72241"/>
    <w:rsid w:val="00CB10ED"/>
    <w:rsid w:val="00CD6A2D"/>
    <w:rsid w:val="00CE58CF"/>
    <w:rsid w:val="00D04440"/>
    <w:rsid w:val="00D05B75"/>
    <w:rsid w:val="00D06A2D"/>
    <w:rsid w:val="00D51892"/>
    <w:rsid w:val="00D6195F"/>
    <w:rsid w:val="00D7587B"/>
    <w:rsid w:val="00DD7EEE"/>
    <w:rsid w:val="00DF5F99"/>
    <w:rsid w:val="00E17B38"/>
    <w:rsid w:val="00E33E48"/>
    <w:rsid w:val="00E706FB"/>
    <w:rsid w:val="00E75BA8"/>
    <w:rsid w:val="00EC0FCE"/>
    <w:rsid w:val="00EE0261"/>
    <w:rsid w:val="00EF575E"/>
    <w:rsid w:val="00F1217F"/>
    <w:rsid w:val="00F12560"/>
    <w:rsid w:val="00F374F4"/>
    <w:rsid w:val="00F410AC"/>
    <w:rsid w:val="00FB74D2"/>
    <w:rsid w:val="00FE0BF8"/>
    <w:rsid w:val="00FE47FF"/>
    <w:rsid w:val="00FE72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3EC5B0"/>
  <w15:chartTrackingRefBased/>
  <w15:docId w15:val="{4784F5FB-6D5A-F640-9BB2-F59B7D218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790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77902"/>
    <w:rPr>
      <w:rFonts w:ascii="Times New Roman" w:hAnsi="Times New Roman" w:cs="Times New Roman"/>
      <w:sz w:val="18"/>
      <w:szCs w:val="18"/>
    </w:rPr>
  </w:style>
  <w:style w:type="paragraph" w:styleId="NoSpacing">
    <w:name w:val="No Spacing"/>
    <w:uiPriority w:val="1"/>
    <w:qFormat/>
    <w:rsid w:val="000D573C"/>
    <w:rPr>
      <w:rFonts w:ascii="Times New Roman" w:eastAsiaTheme="minorEastAsia" w:hAnsi="Times New Roman"/>
      <w:szCs w:val="22"/>
      <w:lang w:eastAsia="zh-CN"/>
    </w:rPr>
  </w:style>
  <w:style w:type="character" w:styleId="CommentReference">
    <w:name w:val="annotation reference"/>
    <w:basedOn w:val="DefaultParagraphFont"/>
    <w:uiPriority w:val="99"/>
    <w:semiHidden/>
    <w:unhideWhenUsed/>
    <w:rsid w:val="000D573C"/>
    <w:rPr>
      <w:sz w:val="16"/>
      <w:szCs w:val="16"/>
    </w:rPr>
  </w:style>
  <w:style w:type="paragraph" w:styleId="CommentText">
    <w:name w:val="annotation text"/>
    <w:basedOn w:val="Normal"/>
    <w:link w:val="CommentTextChar"/>
    <w:uiPriority w:val="99"/>
    <w:semiHidden/>
    <w:unhideWhenUsed/>
    <w:rsid w:val="000D573C"/>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0D573C"/>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5156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emf"/><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183</TotalTime>
  <Pages>3</Pages>
  <Words>1109</Words>
  <Characters>6323</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Lauren Rubin</dc:creator>
  <cp:keywords/>
  <dc:description/>
  <cp:lastModifiedBy>Rachel Lauren Rubin</cp:lastModifiedBy>
  <cp:revision>15</cp:revision>
  <dcterms:created xsi:type="dcterms:W3CDTF">2021-01-19T17:15:00Z</dcterms:created>
  <dcterms:modified xsi:type="dcterms:W3CDTF">2021-11-10T21:19:00Z</dcterms:modified>
</cp:coreProperties>
</file>