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A083" w14:textId="404AC916" w:rsidR="00170E67" w:rsidRPr="00023AF5" w:rsidRDefault="00163C20" w:rsidP="00170E67">
      <w:pPr>
        <w:keepNext/>
        <w:keepLines/>
        <w:spacing w:after="100" w:afterAutospacing="1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S9_Table._Characteristics"/>
      <w:bookmarkEnd w:id="0"/>
      <w:r>
        <w:rPr>
          <w:rFonts w:ascii="Times New Roman" w:eastAsiaTheme="majorEastAsia" w:hAnsi="Times New Roman" w:cs="Times New Roman"/>
          <w:b/>
          <w:sz w:val="24"/>
          <w:szCs w:val="24"/>
        </w:rPr>
        <w:t>S</w:t>
      </w:r>
      <w:r w:rsidR="00B527F1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="00170E67" w:rsidRPr="00023AF5">
        <w:rPr>
          <w:rFonts w:ascii="Times New Roman" w:eastAsiaTheme="majorEastAsia" w:hAnsi="Times New Roman" w:cs="Times New Roman"/>
          <w:b/>
          <w:sz w:val="24"/>
          <w:szCs w:val="24"/>
        </w:rPr>
        <w:t xml:space="preserve"> Table. </w:t>
      </w:r>
      <w:r w:rsidR="00D41430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="00170E67" w:rsidRPr="00023AF5">
        <w:rPr>
          <w:rFonts w:ascii="Times New Roman" w:eastAsiaTheme="majorEastAsia" w:hAnsi="Times New Roman" w:cs="Times New Roman"/>
          <w:b/>
          <w:sz w:val="24"/>
          <w:szCs w:val="24"/>
        </w:rPr>
        <w:t>Characteristics of 170,904 patients from the HK CDARS dataset by statin response</w:t>
      </w:r>
      <w:r w:rsidR="0022274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170E67" w:rsidRPr="00023AF5">
        <w:rPr>
          <w:rFonts w:ascii="Times New Roman" w:eastAsiaTheme="majorEastAsia" w:hAnsi="Times New Roman" w:cs="Times New Roman"/>
          <w:b/>
          <w:sz w:val="24"/>
          <w:szCs w:val="24"/>
        </w:rPr>
        <w:t>group based on ESC Score</w:t>
      </w:r>
    </w:p>
    <w:tbl>
      <w:tblPr>
        <w:tblStyle w:val="PlainTable22"/>
        <w:tblW w:w="15304" w:type="dxa"/>
        <w:jc w:val="center"/>
        <w:tblLook w:val="04A0" w:firstRow="1" w:lastRow="0" w:firstColumn="1" w:lastColumn="0" w:noHBand="0" w:noVBand="1"/>
      </w:tblPr>
      <w:tblGrid>
        <w:gridCol w:w="3970"/>
        <w:gridCol w:w="1564"/>
        <w:gridCol w:w="2121"/>
        <w:gridCol w:w="2127"/>
        <w:gridCol w:w="1984"/>
        <w:gridCol w:w="1985"/>
        <w:gridCol w:w="1553"/>
      </w:tblGrid>
      <w:tr w:rsidR="00170E67" w:rsidRPr="00D9692E" w14:paraId="13AAA006" w14:textId="77777777" w:rsidTr="00D9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D7DBDC0" w14:textId="77777777" w:rsidR="00170E67" w:rsidRPr="00D9692E" w:rsidRDefault="00170E67" w:rsidP="00170E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BE5217A" w14:textId="77777777" w:rsidR="00170E67" w:rsidRPr="00D9692E" w:rsidRDefault="00170E67" w:rsidP="00170E67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Units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noWrap/>
            <w:hideMark/>
          </w:tcPr>
          <w:p w14:paraId="10421E0A" w14:textId="77777777" w:rsidR="00170E67" w:rsidRPr="00D9692E" w:rsidRDefault="00170E67" w:rsidP="00170E67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SR1</w:t>
            </w:r>
          </w:p>
          <w:p w14:paraId="53871B81" w14:textId="02AE16A1" w:rsidR="00170E67" w:rsidRPr="00D9692E" w:rsidRDefault="00170E67" w:rsidP="00170E67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(n = 47,842</w:t>
            </w:r>
            <w:r w:rsidR="00FD2CD4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; 27.9%</w:t>
            </w: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013714B6" w14:textId="77777777" w:rsidR="00170E67" w:rsidRPr="00D9692E" w:rsidRDefault="00170E67" w:rsidP="0017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SR2</w:t>
            </w:r>
          </w:p>
          <w:p w14:paraId="39222C5C" w14:textId="340F3AC2" w:rsidR="00170E67" w:rsidRPr="00D9692E" w:rsidRDefault="00170E67" w:rsidP="0017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(n = 61,725</w:t>
            </w:r>
            <w:r w:rsidR="00FD2CD4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; 36.1%</w:t>
            </w: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6F0C9FA2" w14:textId="77777777" w:rsidR="00170E67" w:rsidRPr="00D9692E" w:rsidRDefault="00170E67" w:rsidP="0017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SR3</w:t>
            </w:r>
          </w:p>
          <w:p w14:paraId="525509D4" w14:textId="150DC54B" w:rsidR="00170E67" w:rsidRPr="00D9692E" w:rsidRDefault="00170E67" w:rsidP="0017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(n = 43,514</w:t>
            </w:r>
            <w:r w:rsidR="00FD2CD4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; 25.5%</w:t>
            </w: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2366ED26" w14:textId="77777777" w:rsidR="00170E67" w:rsidRPr="00D9692E" w:rsidRDefault="00170E67" w:rsidP="0017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SR4</w:t>
            </w:r>
          </w:p>
          <w:p w14:paraId="3EA48A32" w14:textId="7BCFB231" w:rsidR="00170E67" w:rsidRPr="00D9692E" w:rsidRDefault="00170E67" w:rsidP="00170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(n = 17,823</w:t>
            </w:r>
            <w:r w:rsidR="00FD2CD4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, 10.4%</w:t>
            </w: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9566D44" w14:textId="77777777" w:rsidR="00170E67" w:rsidRPr="00D9692E" w:rsidRDefault="00170E67" w:rsidP="00170E67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P-Value</w:t>
            </w: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eastAsia="en-GB"/>
              </w:rPr>
              <w:t>†</w:t>
            </w:r>
          </w:p>
        </w:tc>
      </w:tr>
      <w:tr w:rsidR="00170E67" w:rsidRPr="00D9692E" w14:paraId="7D9DB657" w14:textId="77777777" w:rsidTr="00D9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noWrap/>
            <w:hideMark/>
          </w:tcPr>
          <w:p w14:paraId="13C9C340" w14:textId="77777777" w:rsidR="00170E67" w:rsidRPr="00D9692E" w:rsidRDefault="00170E67" w:rsidP="00170E6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 xml:space="preserve">Age (Years) </w:t>
            </w:r>
          </w:p>
        </w:tc>
        <w:tc>
          <w:tcPr>
            <w:tcW w:w="1564" w:type="dxa"/>
          </w:tcPr>
          <w:p w14:paraId="4D7A3F92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Mean (SD)</w:t>
            </w:r>
          </w:p>
          <w:p w14:paraId="3E542326" w14:textId="65E5AF69" w:rsidR="00344507" w:rsidRPr="00D9692E" w:rsidRDefault="0034450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Median (IQR)</w:t>
            </w:r>
          </w:p>
        </w:tc>
        <w:tc>
          <w:tcPr>
            <w:tcW w:w="2121" w:type="dxa"/>
            <w:noWrap/>
          </w:tcPr>
          <w:p w14:paraId="680C74FC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58.6 (8.4)</w:t>
            </w:r>
          </w:p>
          <w:p w14:paraId="3CD54BC9" w14:textId="58430654" w:rsidR="005C2200" w:rsidRPr="00D9692E" w:rsidRDefault="008D3E66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59.1 (53.8-</w:t>
            </w:r>
            <w:r w:rsidR="00BB498D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64.2)</w:t>
            </w:r>
          </w:p>
        </w:tc>
        <w:tc>
          <w:tcPr>
            <w:tcW w:w="2127" w:type="dxa"/>
            <w:noWrap/>
          </w:tcPr>
          <w:p w14:paraId="702939C5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55.0 (9.2)</w:t>
            </w:r>
          </w:p>
          <w:p w14:paraId="5DC935D6" w14:textId="77F0D778" w:rsidR="005C2200" w:rsidRPr="00D9692E" w:rsidRDefault="001B5140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55.5</w:t>
            </w:r>
            <w:r w:rsidR="008E77DA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 (49.5-61.4)</w:t>
            </w:r>
          </w:p>
        </w:tc>
        <w:tc>
          <w:tcPr>
            <w:tcW w:w="1984" w:type="dxa"/>
            <w:noWrap/>
          </w:tcPr>
          <w:p w14:paraId="4F99ABA4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74.7 (6.9)</w:t>
            </w:r>
          </w:p>
          <w:p w14:paraId="0B232817" w14:textId="13BCD07E" w:rsidR="005C2200" w:rsidRPr="00D9692E" w:rsidRDefault="008E77DA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74.9 (70.</w:t>
            </w:r>
            <w:r w:rsidR="000A726A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3-79.3)</w:t>
            </w:r>
          </w:p>
        </w:tc>
        <w:tc>
          <w:tcPr>
            <w:tcW w:w="1985" w:type="dxa"/>
            <w:noWrap/>
          </w:tcPr>
          <w:p w14:paraId="0E64EF90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73.6 (6.9)</w:t>
            </w:r>
          </w:p>
          <w:p w14:paraId="5EC5A98F" w14:textId="1AD8206F" w:rsidR="005C2200" w:rsidRPr="00D9692E" w:rsidRDefault="000A726A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73.6 (69.2-78.1)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noWrap/>
          </w:tcPr>
          <w:p w14:paraId="6006BD6C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0.0001</w:t>
            </w:r>
          </w:p>
        </w:tc>
      </w:tr>
      <w:tr w:rsidR="00170E67" w:rsidRPr="00D9692E" w14:paraId="3B63C807" w14:textId="77777777" w:rsidTr="00D969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26692D34" w14:textId="77777777" w:rsidR="00170E67" w:rsidRPr="00D9692E" w:rsidRDefault="00170E67" w:rsidP="00170E6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Sex</w:t>
            </w:r>
          </w:p>
        </w:tc>
        <w:tc>
          <w:tcPr>
            <w:tcW w:w="1564" w:type="dxa"/>
            <w:vMerge w:val="restart"/>
          </w:tcPr>
          <w:p w14:paraId="2BF7F8A3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  <w:p w14:paraId="630A4966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No. (%)</w:t>
            </w:r>
          </w:p>
        </w:tc>
        <w:tc>
          <w:tcPr>
            <w:tcW w:w="2121" w:type="dxa"/>
            <w:tcBorders>
              <w:bottom w:val="nil"/>
            </w:tcBorders>
            <w:noWrap/>
          </w:tcPr>
          <w:p w14:paraId="1CAEB323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7" w:type="dxa"/>
            <w:tcBorders>
              <w:bottom w:val="nil"/>
            </w:tcBorders>
            <w:noWrap/>
          </w:tcPr>
          <w:p w14:paraId="751AFA76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984" w:type="dxa"/>
            <w:tcBorders>
              <w:bottom w:val="nil"/>
            </w:tcBorders>
            <w:noWrap/>
          </w:tcPr>
          <w:p w14:paraId="27077C47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985" w:type="dxa"/>
            <w:tcBorders>
              <w:bottom w:val="nil"/>
            </w:tcBorders>
            <w:noWrap/>
          </w:tcPr>
          <w:p w14:paraId="65376990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53" w:type="dxa"/>
            <w:vMerge w:val="restart"/>
            <w:tcBorders>
              <w:right w:val="single" w:sz="4" w:space="0" w:color="auto"/>
            </w:tcBorders>
            <w:noWrap/>
          </w:tcPr>
          <w:p w14:paraId="19D994E1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  <w:p w14:paraId="4B312DDD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  <w:p w14:paraId="38B964FB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&lt; 0.001</w:t>
            </w:r>
          </w:p>
        </w:tc>
      </w:tr>
      <w:tr w:rsidR="00170E67" w:rsidRPr="00D9692E" w14:paraId="7E538560" w14:textId="77777777" w:rsidTr="00D9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DFD7C05" w14:textId="77777777" w:rsidR="00170E67" w:rsidRPr="00D9692E" w:rsidRDefault="00170E67" w:rsidP="00023AF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 xml:space="preserve">Male </w:t>
            </w:r>
          </w:p>
        </w:tc>
        <w:tc>
          <w:tcPr>
            <w:tcW w:w="1564" w:type="dxa"/>
            <w:vMerge/>
          </w:tcPr>
          <w:p w14:paraId="008BD6F6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noWrap/>
          </w:tcPr>
          <w:p w14:paraId="0FC25AAF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15,357 (32.1)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</w:tcPr>
          <w:p w14:paraId="2E1DB1B6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32,885 (53.3)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</w:tcPr>
          <w:p w14:paraId="443752B2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20,715 (47.6)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</w:tcPr>
          <w:p w14:paraId="196C4202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12,632 (70.9)</w:t>
            </w: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noWrap/>
          </w:tcPr>
          <w:p w14:paraId="692CFF85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170E67" w:rsidRPr="00D9692E" w14:paraId="2AD515D2" w14:textId="77777777" w:rsidTr="00D969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nil"/>
              <w:left w:val="single" w:sz="4" w:space="0" w:color="auto"/>
            </w:tcBorders>
            <w:noWrap/>
            <w:hideMark/>
          </w:tcPr>
          <w:p w14:paraId="6530C1F0" w14:textId="77777777" w:rsidR="00170E67" w:rsidRPr="00D9692E" w:rsidRDefault="00170E67" w:rsidP="00023AF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Female</w:t>
            </w:r>
          </w:p>
        </w:tc>
        <w:tc>
          <w:tcPr>
            <w:tcW w:w="1564" w:type="dxa"/>
            <w:vMerge/>
          </w:tcPr>
          <w:p w14:paraId="1A8CFD04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1" w:type="dxa"/>
            <w:tcBorders>
              <w:top w:val="nil"/>
            </w:tcBorders>
            <w:noWrap/>
          </w:tcPr>
          <w:p w14:paraId="2DD33A5A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32,485 (67.9)</w:t>
            </w:r>
          </w:p>
        </w:tc>
        <w:tc>
          <w:tcPr>
            <w:tcW w:w="2127" w:type="dxa"/>
            <w:tcBorders>
              <w:top w:val="nil"/>
            </w:tcBorders>
            <w:noWrap/>
          </w:tcPr>
          <w:p w14:paraId="1B725581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28,840 (46.7)</w:t>
            </w:r>
          </w:p>
        </w:tc>
        <w:tc>
          <w:tcPr>
            <w:tcW w:w="1984" w:type="dxa"/>
            <w:tcBorders>
              <w:top w:val="nil"/>
            </w:tcBorders>
            <w:noWrap/>
          </w:tcPr>
          <w:p w14:paraId="0C47024B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22,799 (52.4)</w:t>
            </w:r>
          </w:p>
        </w:tc>
        <w:tc>
          <w:tcPr>
            <w:tcW w:w="1985" w:type="dxa"/>
            <w:tcBorders>
              <w:top w:val="nil"/>
            </w:tcBorders>
            <w:noWrap/>
          </w:tcPr>
          <w:p w14:paraId="1B2FB537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5,191 (29.1)</w:t>
            </w: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noWrap/>
          </w:tcPr>
          <w:p w14:paraId="1047BAC7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170E67" w:rsidRPr="00D9692E" w14:paraId="6CCB98E1" w14:textId="77777777" w:rsidTr="00D9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noWrap/>
          </w:tcPr>
          <w:p w14:paraId="302C2395" w14:textId="77777777" w:rsidR="00170E67" w:rsidRPr="00D9692E" w:rsidRDefault="00170E67" w:rsidP="00170E6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Total cholesterol (mg/dL)</w:t>
            </w:r>
          </w:p>
        </w:tc>
        <w:tc>
          <w:tcPr>
            <w:tcW w:w="1564" w:type="dxa"/>
          </w:tcPr>
          <w:p w14:paraId="58E869F3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Mean (SD)</w:t>
            </w:r>
          </w:p>
          <w:p w14:paraId="285DDF5A" w14:textId="67356871" w:rsidR="00344507" w:rsidRPr="00D9692E" w:rsidRDefault="0034450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Median (IQR)</w:t>
            </w:r>
          </w:p>
        </w:tc>
        <w:tc>
          <w:tcPr>
            <w:tcW w:w="2121" w:type="dxa"/>
            <w:noWrap/>
          </w:tcPr>
          <w:p w14:paraId="796D9473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259.8 (41.9)</w:t>
            </w:r>
          </w:p>
          <w:p w14:paraId="344E3977" w14:textId="0ED5529F" w:rsidR="004F45F4" w:rsidRPr="00D9692E" w:rsidRDefault="00E16A2A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254.8 (233.2-</w:t>
            </w:r>
            <w:r w:rsidR="00223799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278.4)</w:t>
            </w:r>
          </w:p>
        </w:tc>
        <w:tc>
          <w:tcPr>
            <w:tcW w:w="2127" w:type="dxa"/>
            <w:noWrap/>
          </w:tcPr>
          <w:p w14:paraId="1CEC3E89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207.4 (35.5)</w:t>
            </w:r>
          </w:p>
          <w:p w14:paraId="37FF65CB" w14:textId="537BB6E9" w:rsidR="004F45F4" w:rsidRPr="00D9692E" w:rsidRDefault="00223799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206.9 (185.6-228.2)</w:t>
            </w:r>
          </w:p>
        </w:tc>
        <w:tc>
          <w:tcPr>
            <w:tcW w:w="1984" w:type="dxa"/>
            <w:noWrap/>
          </w:tcPr>
          <w:p w14:paraId="46839BAE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246.7 (42.8)</w:t>
            </w:r>
          </w:p>
          <w:p w14:paraId="5BF0F53C" w14:textId="4EE2797A" w:rsidR="004F45F4" w:rsidRPr="00D9692E" w:rsidRDefault="00223799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239.8 (220.4-266.8)</w:t>
            </w:r>
          </w:p>
        </w:tc>
        <w:tc>
          <w:tcPr>
            <w:tcW w:w="1985" w:type="dxa"/>
            <w:noWrap/>
          </w:tcPr>
          <w:p w14:paraId="69CB9FE9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191.7 (32.2)</w:t>
            </w:r>
          </w:p>
          <w:p w14:paraId="45FCEC7E" w14:textId="1FB1E769" w:rsidR="004F45F4" w:rsidRPr="00D9692E" w:rsidRDefault="00843109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191.8 (174.0-208.8)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noWrap/>
          </w:tcPr>
          <w:p w14:paraId="1309749E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0.0001</w:t>
            </w:r>
          </w:p>
        </w:tc>
      </w:tr>
      <w:tr w:rsidR="00170E67" w:rsidRPr="00D9692E" w14:paraId="4B4B11AD" w14:textId="77777777" w:rsidTr="00D969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noWrap/>
          </w:tcPr>
          <w:p w14:paraId="59B4D484" w14:textId="77777777" w:rsidR="00170E67" w:rsidRPr="00D9692E" w:rsidRDefault="00170E67" w:rsidP="00170E6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HDL cholesterol (mg/dL)</w:t>
            </w:r>
          </w:p>
        </w:tc>
        <w:tc>
          <w:tcPr>
            <w:tcW w:w="1564" w:type="dxa"/>
          </w:tcPr>
          <w:p w14:paraId="70478269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Mean (SD)</w:t>
            </w:r>
          </w:p>
          <w:p w14:paraId="0949B1A2" w14:textId="0262E75E" w:rsidR="00344507" w:rsidRPr="00D9692E" w:rsidRDefault="0034450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Median (IQR)</w:t>
            </w:r>
          </w:p>
        </w:tc>
        <w:tc>
          <w:tcPr>
            <w:tcW w:w="2121" w:type="dxa"/>
            <w:noWrap/>
          </w:tcPr>
          <w:p w14:paraId="06BC6DEF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51.8 (13.7)</w:t>
            </w:r>
          </w:p>
          <w:p w14:paraId="6B3059FB" w14:textId="3B7B76BB" w:rsidR="002D0C53" w:rsidRPr="00D9692E" w:rsidRDefault="003A1D95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49.9 (42.5-58.8)</w:t>
            </w:r>
          </w:p>
        </w:tc>
        <w:tc>
          <w:tcPr>
            <w:tcW w:w="2127" w:type="dxa"/>
            <w:noWrap/>
          </w:tcPr>
          <w:p w14:paraId="6D8A2DD7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49.5 (14.2)</w:t>
            </w:r>
          </w:p>
          <w:p w14:paraId="38F8F2FC" w14:textId="6544DF6B" w:rsidR="003A1D95" w:rsidRPr="00D9692E" w:rsidRDefault="003A1D95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47.2 (39.4-56.8)</w:t>
            </w:r>
          </w:p>
        </w:tc>
        <w:tc>
          <w:tcPr>
            <w:tcW w:w="1984" w:type="dxa"/>
            <w:noWrap/>
          </w:tcPr>
          <w:p w14:paraId="7E943E7F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51.3 (14.1)</w:t>
            </w:r>
          </w:p>
          <w:p w14:paraId="418E90AD" w14:textId="22E51879" w:rsidR="003A1D95" w:rsidRPr="00D9692E" w:rsidRDefault="007667F2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49.1 (41.8-58.4)</w:t>
            </w:r>
          </w:p>
        </w:tc>
        <w:tc>
          <w:tcPr>
            <w:tcW w:w="1985" w:type="dxa"/>
            <w:noWrap/>
          </w:tcPr>
          <w:p w14:paraId="7B07DBAA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49.8 (15.1)</w:t>
            </w:r>
          </w:p>
          <w:p w14:paraId="1551229A" w14:textId="2A4DB194" w:rsidR="007667F2" w:rsidRPr="00D9692E" w:rsidRDefault="007667F2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47.</w:t>
            </w:r>
            <w:r w:rsidR="00130B11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 (39.1-57.6)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noWrap/>
          </w:tcPr>
          <w:p w14:paraId="64A93B0B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0.0001</w:t>
            </w:r>
          </w:p>
        </w:tc>
      </w:tr>
      <w:tr w:rsidR="00170E67" w:rsidRPr="00D9692E" w14:paraId="3B73C85F" w14:textId="77777777" w:rsidTr="00D9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noWrap/>
          </w:tcPr>
          <w:p w14:paraId="19F1FD48" w14:textId="77777777" w:rsidR="00170E67" w:rsidRPr="00D9692E" w:rsidRDefault="00170E67" w:rsidP="00170E6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LDL cholesterol (mg/dL)</w:t>
            </w:r>
          </w:p>
        </w:tc>
        <w:tc>
          <w:tcPr>
            <w:tcW w:w="1564" w:type="dxa"/>
          </w:tcPr>
          <w:p w14:paraId="27CED37F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Mean (SD)</w:t>
            </w:r>
          </w:p>
          <w:p w14:paraId="738E680E" w14:textId="44946BAE" w:rsidR="00344507" w:rsidRPr="00D9692E" w:rsidRDefault="0034450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Median (IQR)</w:t>
            </w:r>
          </w:p>
        </w:tc>
        <w:tc>
          <w:tcPr>
            <w:tcW w:w="2121" w:type="dxa"/>
            <w:noWrap/>
          </w:tcPr>
          <w:p w14:paraId="2AF8A727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178.1 (35.8)</w:t>
            </w:r>
          </w:p>
          <w:p w14:paraId="393AC411" w14:textId="0B04E139" w:rsidR="002F1D39" w:rsidRPr="00D9692E" w:rsidRDefault="00362B96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172.4 (156.3-193.3)</w:t>
            </w:r>
          </w:p>
        </w:tc>
        <w:tc>
          <w:tcPr>
            <w:tcW w:w="2127" w:type="dxa"/>
            <w:noWrap/>
          </w:tcPr>
          <w:p w14:paraId="3B0D7EEF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127.1 (29.4)</w:t>
            </w:r>
          </w:p>
          <w:p w14:paraId="1E809812" w14:textId="5150B625" w:rsidR="00362B96" w:rsidRPr="00D9692E" w:rsidRDefault="00715681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128.4 (111.5-144.8)</w:t>
            </w:r>
          </w:p>
        </w:tc>
        <w:tc>
          <w:tcPr>
            <w:tcW w:w="1984" w:type="dxa"/>
            <w:noWrap/>
          </w:tcPr>
          <w:p w14:paraId="66E29769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166.7 (36.4)</w:t>
            </w:r>
          </w:p>
          <w:p w14:paraId="4656A07D" w14:textId="2FE1B86F" w:rsidR="00715681" w:rsidRPr="00D9692E" w:rsidRDefault="00715681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160.7 (14</w:t>
            </w:r>
            <w:r w:rsidR="00F65F04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4.0-182.0</w:t>
            </w:r>
            <w:r w:rsidR="00BD25C8"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985" w:type="dxa"/>
            <w:noWrap/>
          </w:tcPr>
          <w:p w14:paraId="5637CF7C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113.6 (24.7)</w:t>
            </w:r>
          </w:p>
          <w:p w14:paraId="0457ACDC" w14:textId="394EBD43" w:rsidR="00BD25C8" w:rsidRPr="00D9692E" w:rsidRDefault="00BD25C8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116.7 (100.4-128.3)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noWrap/>
          </w:tcPr>
          <w:p w14:paraId="328F3868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0.0001</w:t>
            </w:r>
          </w:p>
        </w:tc>
      </w:tr>
      <w:tr w:rsidR="00170E67" w:rsidRPr="00D9692E" w14:paraId="1D317167" w14:textId="77777777" w:rsidTr="00D969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noWrap/>
          </w:tcPr>
          <w:p w14:paraId="63DAAF23" w14:textId="77777777" w:rsidR="00170E67" w:rsidRPr="00D9692E" w:rsidRDefault="00170E67" w:rsidP="00170E6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Medication count</w:t>
            </w:r>
          </w:p>
        </w:tc>
        <w:tc>
          <w:tcPr>
            <w:tcW w:w="1564" w:type="dxa"/>
          </w:tcPr>
          <w:p w14:paraId="577DCE9F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Median (IQR)</w:t>
            </w:r>
          </w:p>
        </w:tc>
        <w:tc>
          <w:tcPr>
            <w:tcW w:w="2121" w:type="dxa"/>
            <w:noWrap/>
          </w:tcPr>
          <w:p w14:paraId="106C7BBD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7(5-12)</w:t>
            </w:r>
          </w:p>
        </w:tc>
        <w:tc>
          <w:tcPr>
            <w:tcW w:w="2127" w:type="dxa"/>
            <w:noWrap/>
          </w:tcPr>
          <w:p w14:paraId="2CD3AA33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7(4-10)</w:t>
            </w:r>
          </w:p>
        </w:tc>
        <w:tc>
          <w:tcPr>
            <w:tcW w:w="1984" w:type="dxa"/>
            <w:noWrap/>
          </w:tcPr>
          <w:p w14:paraId="4F352445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9(6-13)</w:t>
            </w:r>
          </w:p>
        </w:tc>
        <w:tc>
          <w:tcPr>
            <w:tcW w:w="1985" w:type="dxa"/>
            <w:noWrap/>
          </w:tcPr>
          <w:p w14:paraId="44BD3851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9(5-13)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noWrap/>
          </w:tcPr>
          <w:p w14:paraId="2A265FAE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0.0001</w:t>
            </w:r>
          </w:p>
        </w:tc>
      </w:tr>
      <w:tr w:rsidR="00170E67" w:rsidRPr="00D9692E" w14:paraId="3EBA5D1C" w14:textId="77777777" w:rsidTr="00D9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noWrap/>
          </w:tcPr>
          <w:p w14:paraId="0CD83212" w14:textId="77777777" w:rsidR="00170E67" w:rsidRPr="00D9692E" w:rsidRDefault="00170E67" w:rsidP="00170E6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History of diabetes</w:t>
            </w:r>
          </w:p>
        </w:tc>
        <w:tc>
          <w:tcPr>
            <w:tcW w:w="1564" w:type="dxa"/>
          </w:tcPr>
          <w:p w14:paraId="5D05921D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No. (%)</w:t>
            </w:r>
          </w:p>
        </w:tc>
        <w:tc>
          <w:tcPr>
            <w:tcW w:w="2121" w:type="dxa"/>
            <w:noWrap/>
          </w:tcPr>
          <w:p w14:paraId="39C33781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11,190 (23.4)</w:t>
            </w:r>
          </w:p>
        </w:tc>
        <w:tc>
          <w:tcPr>
            <w:tcW w:w="2127" w:type="dxa"/>
            <w:noWrap/>
          </w:tcPr>
          <w:p w14:paraId="113528F5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8,777 (14.2)</w:t>
            </w:r>
          </w:p>
        </w:tc>
        <w:tc>
          <w:tcPr>
            <w:tcW w:w="1984" w:type="dxa"/>
            <w:noWrap/>
          </w:tcPr>
          <w:p w14:paraId="3F70F15B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10,526 (24.2)</w:t>
            </w:r>
          </w:p>
        </w:tc>
        <w:tc>
          <w:tcPr>
            <w:tcW w:w="1985" w:type="dxa"/>
            <w:noWrap/>
          </w:tcPr>
          <w:p w14:paraId="6AE80C4B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1,964 (11.0)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noWrap/>
          </w:tcPr>
          <w:p w14:paraId="632C8A16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&lt; 0.001</w:t>
            </w:r>
          </w:p>
        </w:tc>
      </w:tr>
      <w:tr w:rsidR="00170E67" w:rsidRPr="00D9692E" w14:paraId="5DF09440" w14:textId="77777777" w:rsidTr="00D969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noWrap/>
          </w:tcPr>
          <w:p w14:paraId="0E92E353" w14:textId="77777777" w:rsidR="00170E67" w:rsidRPr="00D9692E" w:rsidRDefault="00170E67" w:rsidP="00170E6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Treated hypertension</w:t>
            </w:r>
          </w:p>
        </w:tc>
        <w:tc>
          <w:tcPr>
            <w:tcW w:w="1564" w:type="dxa"/>
          </w:tcPr>
          <w:p w14:paraId="3427AD10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No. (%)</w:t>
            </w:r>
          </w:p>
        </w:tc>
        <w:tc>
          <w:tcPr>
            <w:tcW w:w="2121" w:type="dxa"/>
            <w:noWrap/>
          </w:tcPr>
          <w:p w14:paraId="71270458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6,936 (14.5)</w:t>
            </w:r>
          </w:p>
        </w:tc>
        <w:tc>
          <w:tcPr>
            <w:tcW w:w="2127" w:type="dxa"/>
            <w:noWrap/>
          </w:tcPr>
          <w:p w14:paraId="00DE9364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4,370 (7.1)</w:t>
            </w:r>
          </w:p>
        </w:tc>
        <w:tc>
          <w:tcPr>
            <w:tcW w:w="1984" w:type="dxa"/>
            <w:noWrap/>
          </w:tcPr>
          <w:p w14:paraId="75C91AB2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9,571 (22.0)</w:t>
            </w:r>
          </w:p>
        </w:tc>
        <w:tc>
          <w:tcPr>
            <w:tcW w:w="1985" w:type="dxa"/>
            <w:noWrap/>
          </w:tcPr>
          <w:p w14:paraId="3F1227C9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1,793 (10.1)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noWrap/>
          </w:tcPr>
          <w:p w14:paraId="368D1878" w14:textId="77777777" w:rsidR="00170E67" w:rsidRPr="00D9692E" w:rsidRDefault="00170E67" w:rsidP="00170E6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&lt; 0.001</w:t>
            </w:r>
          </w:p>
        </w:tc>
      </w:tr>
      <w:tr w:rsidR="00170E67" w:rsidRPr="00D9692E" w14:paraId="3F460EE9" w14:textId="77777777" w:rsidTr="00D9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noWrap/>
          </w:tcPr>
          <w:p w14:paraId="7174413A" w14:textId="77777777" w:rsidR="00170E67" w:rsidRPr="00D9692E" w:rsidRDefault="00170E67" w:rsidP="00170E6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Smokers</w:t>
            </w:r>
          </w:p>
        </w:tc>
        <w:tc>
          <w:tcPr>
            <w:tcW w:w="1564" w:type="dxa"/>
          </w:tcPr>
          <w:p w14:paraId="13F73014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No. (%)</w:t>
            </w:r>
          </w:p>
        </w:tc>
        <w:tc>
          <w:tcPr>
            <w:tcW w:w="2121" w:type="dxa"/>
            <w:noWrap/>
          </w:tcPr>
          <w:p w14:paraId="0CFC3939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616 (1.3)</w:t>
            </w:r>
          </w:p>
        </w:tc>
        <w:tc>
          <w:tcPr>
            <w:tcW w:w="2127" w:type="dxa"/>
            <w:noWrap/>
          </w:tcPr>
          <w:p w14:paraId="432BFDE6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701 (1.1)</w:t>
            </w:r>
          </w:p>
        </w:tc>
        <w:tc>
          <w:tcPr>
            <w:tcW w:w="1984" w:type="dxa"/>
            <w:noWrap/>
          </w:tcPr>
          <w:p w14:paraId="09B83142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2,373 (5.5)</w:t>
            </w:r>
          </w:p>
        </w:tc>
        <w:tc>
          <w:tcPr>
            <w:tcW w:w="1985" w:type="dxa"/>
            <w:noWrap/>
          </w:tcPr>
          <w:p w14:paraId="7A465623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924 (5.2)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noWrap/>
          </w:tcPr>
          <w:p w14:paraId="77638083" w14:textId="77777777" w:rsidR="00170E67" w:rsidRPr="00D9692E" w:rsidRDefault="00170E67" w:rsidP="00170E6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&lt; 0.001</w:t>
            </w:r>
          </w:p>
        </w:tc>
      </w:tr>
      <w:tr w:rsidR="00170E67" w:rsidRPr="00D9692E" w14:paraId="110ADC44" w14:textId="77777777" w:rsidTr="00D969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  <w:bottom w:val="nil"/>
            </w:tcBorders>
            <w:noWrap/>
            <w:hideMark/>
          </w:tcPr>
          <w:p w14:paraId="7DB6DB14" w14:textId="77777777" w:rsidR="00170E67" w:rsidRPr="00D9692E" w:rsidRDefault="00170E67" w:rsidP="00170E67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Statin potency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14:paraId="6AFF97AF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  <w:p w14:paraId="6A6AF382" w14:textId="77777777" w:rsidR="00170E67" w:rsidRPr="00D9692E" w:rsidRDefault="00170E67" w:rsidP="00170E6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No. (%)</w:t>
            </w:r>
          </w:p>
        </w:tc>
        <w:tc>
          <w:tcPr>
            <w:tcW w:w="2121" w:type="dxa"/>
            <w:tcBorders>
              <w:bottom w:val="nil"/>
            </w:tcBorders>
            <w:noWrap/>
          </w:tcPr>
          <w:p w14:paraId="240CA176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7" w:type="dxa"/>
            <w:tcBorders>
              <w:bottom w:val="nil"/>
            </w:tcBorders>
            <w:noWrap/>
          </w:tcPr>
          <w:p w14:paraId="139B008A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984" w:type="dxa"/>
            <w:tcBorders>
              <w:bottom w:val="nil"/>
            </w:tcBorders>
            <w:noWrap/>
          </w:tcPr>
          <w:p w14:paraId="3C706B5A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985" w:type="dxa"/>
            <w:tcBorders>
              <w:bottom w:val="nil"/>
            </w:tcBorders>
            <w:noWrap/>
          </w:tcPr>
          <w:p w14:paraId="3FD31E88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553" w:type="dxa"/>
            <w:vMerge w:val="restart"/>
            <w:tcBorders>
              <w:right w:val="single" w:sz="4" w:space="0" w:color="auto"/>
            </w:tcBorders>
            <w:noWrap/>
          </w:tcPr>
          <w:p w14:paraId="21472226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  <w:p w14:paraId="40F5BE02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  <w:p w14:paraId="2E872107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&lt; 0.001</w:t>
            </w:r>
          </w:p>
        </w:tc>
      </w:tr>
      <w:tr w:rsidR="00170E67" w:rsidRPr="00D9692E" w14:paraId="36572E44" w14:textId="77777777" w:rsidTr="00D9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8B0E48F" w14:textId="77777777" w:rsidR="00170E67" w:rsidRPr="00D9692E" w:rsidRDefault="00170E67" w:rsidP="00023AF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Low</w:t>
            </w:r>
          </w:p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14:paraId="653D2334" w14:textId="77777777" w:rsidR="00170E67" w:rsidRPr="00D9692E" w:rsidRDefault="00170E67" w:rsidP="00170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noWrap/>
          </w:tcPr>
          <w:p w14:paraId="757C7940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30,629 (64.0)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</w:tcPr>
          <w:p w14:paraId="434473A7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43,253 (70.1)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</w:tcPr>
          <w:p w14:paraId="34159A9F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30,807 (70.8)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</w:tcPr>
          <w:p w14:paraId="3BD98E25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12,418 (69.7)</w:t>
            </w: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noWrap/>
          </w:tcPr>
          <w:p w14:paraId="242EE6C1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170E67" w:rsidRPr="00D9692E" w14:paraId="155F5677" w14:textId="77777777" w:rsidTr="00D969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996AA5D" w14:textId="77777777" w:rsidR="00170E67" w:rsidRPr="00D9692E" w:rsidRDefault="00170E67" w:rsidP="00023AF5">
            <w:pPr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Medium</w:t>
            </w:r>
          </w:p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14:paraId="34128C73" w14:textId="77777777" w:rsidR="00170E67" w:rsidRPr="00D9692E" w:rsidRDefault="00170E67" w:rsidP="00170E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noWrap/>
          </w:tcPr>
          <w:p w14:paraId="46A2E960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16,759 (35.0)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noWrap/>
          </w:tcPr>
          <w:p w14:paraId="72DFDA4B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14,616 (23.7)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noWrap/>
          </w:tcPr>
          <w:p w14:paraId="10C667F5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12,136 (27.9)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</w:tcPr>
          <w:p w14:paraId="268EED75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4,314 (24.2)</w:t>
            </w:r>
          </w:p>
        </w:tc>
        <w:tc>
          <w:tcPr>
            <w:tcW w:w="1553" w:type="dxa"/>
            <w:vMerge/>
            <w:tcBorders>
              <w:right w:val="single" w:sz="4" w:space="0" w:color="auto"/>
            </w:tcBorders>
            <w:noWrap/>
          </w:tcPr>
          <w:p w14:paraId="543877F8" w14:textId="77777777" w:rsidR="00170E67" w:rsidRPr="00D9692E" w:rsidRDefault="00170E67" w:rsidP="00170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170E67" w:rsidRPr="00D9692E" w14:paraId="7013DD40" w14:textId="77777777" w:rsidTr="00D96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584BFE4" w14:textId="77777777" w:rsidR="00170E67" w:rsidRPr="00D9692E" w:rsidRDefault="00170E67" w:rsidP="00023AF5">
            <w:pPr>
              <w:spacing w:after="40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b w:val="0"/>
                <w:color w:val="000000"/>
                <w:sz w:val="21"/>
                <w:szCs w:val="21"/>
                <w:lang w:eastAsia="en-GB"/>
              </w:rPr>
              <w:t>High</w:t>
            </w:r>
          </w:p>
        </w:tc>
        <w:tc>
          <w:tcPr>
            <w:tcW w:w="1564" w:type="dxa"/>
            <w:vMerge/>
            <w:tcBorders>
              <w:top w:val="nil"/>
              <w:bottom w:val="single" w:sz="4" w:space="0" w:color="auto"/>
            </w:tcBorders>
          </w:tcPr>
          <w:p w14:paraId="50C24B32" w14:textId="77777777" w:rsidR="00170E67" w:rsidRPr="00D9692E" w:rsidRDefault="00170E67" w:rsidP="00170E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noWrap/>
          </w:tcPr>
          <w:p w14:paraId="48CB8DF0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454 (1.0)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noWrap/>
          </w:tcPr>
          <w:p w14:paraId="441102AF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3,856 (6.3)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</w:tcPr>
          <w:p w14:paraId="5BA0CCE3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571 (1.3)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noWrap/>
          </w:tcPr>
          <w:p w14:paraId="42E10E16" w14:textId="77777777" w:rsidR="00170E67" w:rsidRPr="00D9692E" w:rsidRDefault="00170E67" w:rsidP="00170E67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D9692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1,091 (6.1)</w:t>
            </w:r>
          </w:p>
        </w:tc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EE631DD" w14:textId="77777777" w:rsidR="00170E67" w:rsidRPr="00D9692E" w:rsidRDefault="00170E67" w:rsidP="00170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555423CB" w14:textId="12FAA32C" w:rsidR="00170E67" w:rsidRPr="00D9692E" w:rsidRDefault="001766FD" w:rsidP="00D9692E">
      <w:pPr>
        <w:spacing w:before="180" w:after="60" w:line="276" w:lineRule="auto"/>
        <w:rPr>
          <w:rFonts w:ascii="Times New Roman" w:eastAsia="PMingLiU" w:hAnsi="Times New Roman" w:cs="Times New Roman"/>
          <w:sz w:val="21"/>
          <w:szCs w:val="21"/>
        </w:rPr>
      </w:pPr>
      <w:r w:rsidRPr="00D9692E">
        <w:rPr>
          <w:rFonts w:ascii="Times New Roman" w:hAnsi="Times New Roman" w:cs="Times New Roman"/>
          <w:sz w:val="21"/>
          <w:szCs w:val="21"/>
          <w:vertAlign w:val="superscript"/>
        </w:rPr>
        <w:t xml:space="preserve">+ </w:t>
      </w:r>
      <w:r w:rsidRPr="00D9692E">
        <w:rPr>
          <w:rFonts w:ascii="Times New Roman" w:hAnsi="Times New Roman" w:cs="Times New Roman"/>
          <w:sz w:val="21"/>
          <w:szCs w:val="21"/>
        </w:rPr>
        <w:t>Significance determined by Kruskal-Wallis non-parametric H test between two or more groups</w:t>
      </w:r>
      <w:r w:rsidR="009C16CC" w:rsidRPr="00D9692E">
        <w:rPr>
          <w:rFonts w:ascii="Times New Roman" w:hAnsi="Times New Roman" w:cs="Times New Roman"/>
          <w:sz w:val="21"/>
          <w:szCs w:val="21"/>
        </w:rPr>
        <w:t xml:space="preserve">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ESC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 xml:space="preserve">: European Society of Cardiology;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CDARS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 xml:space="preserve">: Clinical Data Analysis and Reporting System;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HDL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 xml:space="preserve">: high-density lipoprotein;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LDL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 xml:space="preserve">: low-density lipoprotein;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CVD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>: cardiovascular disease;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 xml:space="preserve"> HK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>: Hong Kong</w:t>
      </w:r>
      <w:r w:rsidR="009C16CC" w:rsidRPr="00D9692E">
        <w:rPr>
          <w:rFonts w:ascii="Times New Roman" w:eastAsia="PMingLiU" w:hAnsi="Times New Roman" w:cs="Times New Roman"/>
          <w:sz w:val="21"/>
          <w:szCs w:val="21"/>
        </w:rPr>
        <w:t xml:space="preserve">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SR1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 xml:space="preserve"> – Patients with predicted optimal statin response and low CVD risk;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SR2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 xml:space="preserve"> – Patients with predicted sub-optimal statin response and low CVD risk;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SR3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 xml:space="preserve"> – Patients with predicted optimal statin response and high CVD risk; </w:t>
      </w:r>
      <w:r w:rsidR="00170E67" w:rsidRPr="00D9692E">
        <w:rPr>
          <w:rFonts w:ascii="Times New Roman" w:eastAsia="PMingLiU" w:hAnsi="Times New Roman" w:cs="Times New Roman"/>
          <w:i/>
          <w:sz w:val="21"/>
          <w:szCs w:val="21"/>
        </w:rPr>
        <w:t>SR4</w:t>
      </w:r>
      <w:r w:rsidR="00170E67" w:rsidRPr="00D9692E">
        <w:rPr>
          <w:rFonts w:ascii="Times New Roman" w:eastAsia="PMingLiU" w:hAnsi="Times New Roman" w:cs="Times New Roman"/>
          <w:sz w:val="21"/>
          <w:szCs w:val="21"/>
        </w:rPr>
        <w:t xml:space="preserve"> – Patients with predicted sub-optimal statin response and high CVD risk.</w:t>
      </w:r>
    </w:p>
    <w:sectPr w:rsidR="00170E67" w:rsidRPr="00D9692E" w:rsidSect="005607E0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81E0" w14:textId="77777777" w:rsidR="0049220D" w:rsidRDefault="0049220D">
      <w:pPr>
        <w:spacing w:after="0" w:line="240" w:lineRule="auto"/>
      </w:pPr>
      <w:r>
        <w:separator/>
      </w:r>
    </w:p>
  </w:endnote>
  <w:endnote w:type="continuationSeparator" w:id="0">
    <w:p w14:paraId="7E96C38C" w14:textId="77777777" w:rsidR="0049220D" w:rsidRDefault="0049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7E13" w14:textId="77777777" w:rsidR="0049220D" w:rsidRDefault="0049220D">
      <w:pPr>
        <w:spacing w:after="0" w:line="240" w:lineRule="auto"/>
      </w:pPr>
      <w:r>
        <w:separator/>
      </w:r>
    </w:p>
  </w:footnote>
  <w:footnote w:type="continuationSeparator" w:id="0">
    <w:p w14:paraId="39FB9D19" w14:textId="77777777" w:rsidR="0049220D" w:rsidRDefault="0049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603"/>
    <w:multiLevelType w:val="multilevel"/>
    <w:tmpl w:val="9B5CA30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AF6C52"/>
    <w:multiLevelType w:val="multilevel"/>
    <w:tmpl w:val="C814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312B5"/>
    <w:multiLevelType w:val="hybridMultilevel"/>
    <w:tmpl w:val="A776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3D55"/>
    <w:multiLevelType w:val="hybridMultilevel"/>
    <w:tmpl w:val="4BFE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30C6"/>
    <w:multiLevelType w:val="hybridMultilevel"/>
    <w:tmpl w:val="50AA13A0"/>
    <w:lvl w:ilvl="0" w:tplc="21B690A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95E"/>
    <w:multiLevelType w:val="hybridMultilevel"/>
    <w:tmpl w:val="F03E4182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F0C7E31"/>
    <w:multiLevelType w:val="hybridMultilevel"/>
    <w:tmpl w:val="BBBCD62E"/>
    <w:lvl w:ilvl="0" w:tplc="546E84F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A41D9"/>
    <w:multiLevelType w:val="hybridMultilevel"/>
    <w:tmpl w:val="96D62A9C"/>
    <w:lvl w:ilvl="0" w:tplc="0482476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32BA3"/>
    <w:multiLevelType w:val="hybridMultilevel"/>
    <w:tmpl w:val="A6F8E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2374E"/>
    <w:multiLevelType w:val="hybridMultilevel"/>
    <w:tmpl w:val="BF7C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634F7"/>
    <w:multiLevelType w:val="hybridMultilevel"/>
    <w:tmpl w:val="23EA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7CF3"/>
    <w:multiLevelType w:val="hybridMultilevel"/>
    <w:tmpl w:val="4316030E"/>
    <w:lvl w:ilvl="0" w:tplc="894809A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F2A93"/>
    <w:multiLevelType w:val="multilevel"/>
    <w:tmpl w:val="FE54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B667D"/>
    <w:multiLevelType w:val="multilevel"/>
    <w:tmpl w:val="193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01B54"/>
    <w:multiLevelType w:val="hybridMultilevel"/>
    <w:tmpl w:val="8DE8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D731A"/>
    <w:multiLevelType w:val="hybridMultilevel"/>
    <w:tmpl w:val="F620F2FE"/>
    <w:lvl w:ilvl="0" w:tplc="5D7CBD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2D7"/>
    <w:multiLevelType w:val="multilevel"/>
    <w:tmpl w:val="ECA6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C1836"/>
    <w:multiLevelType w:val="multilevel"/>
    <w:tmpl w:val="EEE4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40EA0"/>
    <w:multiLevelType w:val="hybridMultilevel"/>
    <w:tmpl w:val="AF2A7612"/>
    <w:lvl w:ilvl="0" w:tplc="790C294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2321D"/>
    <w:multiLevelType w:val="hybridMultilevel"/>
    <w:tmpl w:val="4170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D14F6"/>
    <w:multiLevelType w:val="hybridMultilevel"/>
    <w:tmpl w:val="151AE010"/>
    <w:lvl w:ilvl="0" w:tplc="3F04E49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4"/>
  </w:num>
  <w:num w:numId="5">
    <w:abstractNumId w:val="13"/>
  </w:num>
  <w:num w:numId="6">
    <w:abstractNumId w:val="16"/>
  </w:num>
  <w:num w:numId="7">
    <w:abstractNumId w:val="1"/>
  </w:num>
  <w:num w:numId="8">
    <w:abstractNumId w:val="18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20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5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67"/>
    <w:rsid w:val="00023AF5"/>
    <w:rsid w:val="000343A4"/>
    <w:rsid w:val="00055A15"/>
    <w:rsid w:val="00057911"/>
    <w:rsid w:val="000800D6"/>
    <w:rsid w:val="000908E4"/>
    <w:rsid w:val="000A1E3C"/>
    <w:rsid w:val="000A726A"/>
    <w:rsid w:val="000D5691"/>
    <w:rsid w:val="000D6B35"/>
    <w:rsid w:val="00121DBB"/>
    <w:rsid w:val="00130B11"/>
    <w:rsid w:val="001313F3"/>
    <w:rsid w:val="00140559"/>
    <w:rsid w:val="001536C9"/>
    <w:rsid w:val="00163C20"/>
    <w:rsid w:val="00167E28"/>
    <w:rsid w:val="00170E67"/>
    <w:rsid w:val="001766FD"/>
    <w:rsid w:val="00194692"/>
    <w:rsid w:val="001A7CB3"/>
    <w:rsid w:val="001B5140"/>
    <w:rsid w:val="001C344B"/>
    <w:rsid w:val="001D48C1"/>
    <w:rsid w:val="001D53C9"/>
    <w:rsid w:val="001F0C16"/>
    <w:rsid w:val="001F4564"/>
    <w:rsid w:val="00214190"/>
    <w:rsid w:val="00222744"/>
    <w:rsid w:val="00223799"/>
    <w:rsid w:val="0022427F"/>
    <w:rsid w:val="00242854"/>
    <w:rsid w:val="002505F0"/>
    <w:rsid w:val="002515C6"/>
    <w:rsid w:val="00282920"/>
    <w:rsid w:val="00294705"/>
    <w:rsid w:val="002A0BD7"/>
    <w:rsid w:val="002A23DA"/>
    <w:rsid w:val="002A5298"/>
    <w:rsid w:val="002C2D50"/>
    <w:rsid w:val="002C3A75"/>
    <w:rsid w:val="002D0C53"/>
    <w:rsid w:val="002F1D39"/>
    <w:rsid w:val="00334069"/>
    <w:rsid w:val="00344507"/>
    <w:rsid w:val="00357EDE"/>
    <w:rsid w:val="00362B96"/>
    <w:rsid w:val="0039340C"/>
    <w:rsid w:val="00394DDE"/>
    <w:rsid w:val="003A1D95"/>
    <w:rsid w:val="003A5207"/>
    <w:rsid w:val="003B2CBA"/>
    <w:rsid w:val="003C53A5"/>
    <w:rsid w:val="003C6D3C"/>
    <w:rsid w:val="003E5203"/>
    <w:rsid w:val="003F0EDA"/>
    <w:rsid w:val="004009B5"/>
    <w:rsid w:val="004136B6"/>
    <w:rsid w:val="00435142"/>
    <w:rsid w:val="0043738A"/>
    <w:rsid w:val="00452BAA"/>
    <w:rsid w:val="00482779"/>
    <w:rsid w:val="0048583A"/>
    <w:rsid w:val="0049220D"/>
    <w:rsid w:val="004C5DE9"/>
    <w:rsid w:val="004E41B6"/>
    <w:rsid w:val="004F45F4"/>
    <w:rsid w:val="004F5F4D"/>
    <w:rsid w:val="00500347"/>
    <w:rsid w:val="0053453F"/>
    <w:rsid w:val="005570B3"/>
    <w:rsid w:val="005607E0"/>
    <w:rsid w:val="005C2200"/>
    <w:rsid w:val="0060054E"/>
    <w:rsid w:val="00605F6B"/>
    <w:rsid w:val="0061248D"/>
    <w:rsid w:val="006824B8"/>
    <w:rsid w:val="00694817"/>
    <w:rsid w:val="00695907"/>
    <w:rsid w:val="006A31DD"/>
    <w:rsid w:val="006A7EDC"/>
    <w:rsid w:val="006B1D00"/>
    <w:rsid w:val="006D63EF"/>
    <w:rsid w:val="00702B2A"/>
    <w:rsid w:val="00705A6A"/>
    <w:rsid w:val="00715681"/>
    <w:rsid w:val="007218C1"/>
    <w:rsid w:val="00730BCA"/>
    <w:rsid w:val="007320D3"/>
    <w:rsid w:val="0074105A"/>
    <w:rsid w:val="00752175"/>
    <w:rsid w:val="007667F2"/>
    <w:rsid w:val="00790718"/>
    <w:rsid w:val="00793056"/>
    <w:rsid w:val="0079767A"/>
    <w:rsid w:val="007C6E6F"/>
    <w:rsid w:val="007D2E11"/>
    <w:rsid w:val="0080184F"/>
    <w:rsid w:val="00805793"/>
    <w:rsid w:val="0081216D"/>
    <w:rsid w:val="00843109"/>
    <w:rsid w:val="00846A69"/>
    <w:rsid w:val="0085531B"/>
    <w:rsid w:val="00863E2F"/>
    <w:rsid w:val="008654FF"/>
    <w:rsid w:val="008846D6"/>
    <w:rsid w:val="008D3E66"/>
    <w:rsid w:val="008E77DA"/>
    <w:rsid w:val="00922FE8"/>
    <w:rsid w:val="00933068"/>
    <w:rsid w:val="009572B0"/>
    <w:rsid w:val="0097205E"/>
    <w:rsid w:val="00984E57"/>
    <w:rsid w:val="009B2B68"/>
    <w:rsid w:val="009C16CC"/>
    <w:rsid w:val="009E1967"/>
    <w:rsid w:val="00A15701"/>
    <w:rsid w:val="00A6530E"/>
    <w:rsid w:val="00A936B3"/>
    <w:rsid w:val="00AB458D"/>
    <w:rsid w:val="00AC7A96"/>
    <w:rsid w:val="00AF221E"/>
    <w:rsid w:val="00B10B8A"/>
    <w:rsid w:val="00B22554"/>
    <w:rsid w:val="00B50F91"/>
    <w:rsid w:val="00B527F1"/>
    <w:rsid w:val="00B63020"/>
    <w:rsid w:val="00B67820"/>
    <w:rsid w:val="00B734FB"/>
    <w:rsid w:val="00B85E6F"/>
    <w:rsid w:val="00B87BE8"/>
    <w:rsid w:val="00BA4A05"/>
    <w:rsid w:val="00BB18D2"/>
    <w:rsid w:val="00BB498D"/>
    <w:rsid w:val="00BD0A4C"/>
    <w:rsid w:val="00BD25C8"/>
    <w:rsid w:val="00C14EBA"/>
    <w:rsid w:val="00C2580B"/>
    <w:rsid w:val="00C43B5F"/>
    <w:rsid w:val="00C5415E"/>
    <w:rsid w:val="00C56132"/>
    <w:rsid w:val="00CA0F3E"/>
    <w:rsid w:val="00CA3F02"/>
    <w:rsid w:val="00CA6E94"/>
    <w:rsid w:val="00CB76BB"/>
    <w:rsid w:val="00D00481"/>
    <w:rsid w:val="00D32BCB"/>
    <w:rsid w:val="00D41430"/>
    <w:rsid w:val="00D4314F"/>
    <w:rsid w:val="00D50B0B"/>
    <w:rsid w:val="00D54AB7"/>
    <w:rsid w:val="00D96637"/>
    <w:rsid w:val="00D9692E"/>
    <w:rsid w:val="00DA39CC"/>
    <w:rsid w:val="00DC38C3"/>
    <w:rsid w:val="00DE6D41"/>
    <w:rsid w:val="00E140F0"/>
    <w:rsid w:val="00E16A2A"/>
    <w:rsid w:val="00E17B8A"/>
    <w:rsid w:val="00E17E35"/>
    <w:rsid w:val="00E22233"/>
    <w:rsid w:val="00E371BE"/>
    <w:rsid w:val="00E41014"/>
    <w:rsid w:val="00E80E5C"/>
    <w:rsid w:val="00EB1027"/>
    <w:rsid w:val="00EB54C3"/>
    <w:rsid w:val="00EC3517"/>
    <w:rsid w:val="00ED54F7"/>
    <w:rsid w:val="00EE7006"/>
    <w:rsid w:val="00F00967"/>
    <w:rsid w:val="00F05A90"/>
    <w:rsid w:val="00F067E3"/>
    <w:rsid w:val="00F151C8"/>
    <w:rsid w:val="00F4212D"/>
    <w:rsid w:val="00F51708"/>
    <w:rsid w:val="00F5733A"/>
    <w:rsid w:val="00F65F04"/>
    <w:rsid w:val="00F769A2"/>
    <w:rsid w:val="00FD2CD4"/>
    <w:rsid w:val="00FE1A10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03B7"/>
  <w15:chartTrackingRefBased/>
  <w15:docId w15:val="{5DE156B1-8E08-4204-9CE1-3D3E1BA0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E67"/>
    <w:pPr>
      <w:keepNext/>
      <w:keepLines/>
      <w:spacing w:after="100" w:afterAutospacing="1" w:line="240" w:lineRule="auto"/>
      <w:outlineLvl w:val="0"/>
    </w:pPr>
    <w:rPr>
      <w:rFonts w:eastAsiaTheme="majorEastAsia" w:cstheme="majorBidi"/>
      <w:b/>
      <w:sz w:val="2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E67"/>
    <w:pPr>
      <w:keepNext/>
      <w:keepLines/>
      <w:spacing w:after="0" w:line="480" w:lineRule="auto"/>
      <w:outlineLvl w:val="1"/>
    </w:pPr>
    <w:rPr>
      <w:rFonts w:eastAsiaTheme="majorEastAsia" w:cstheme="majorBidi"/>
      <w:b/>
      <w:sz w:val="2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E67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i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E67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E67"/>
    <w:rPr>
      <w:rFonts w:ascii="Verdana" w:eastAsiaTheme="majorEastAsia" w:hAnsi="Verdana" w:cstheme="majorBidi"/>
      <w:b/>
      <w:sz w:val="2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E67"/>
    <w:rPr>
      <w:rFonts w:ascii="Verdana" w:eastAsiaTheme="majorEastAsia" w:hAnsi="Verdana" w:cstheme="majorBidi"/>
      <w:b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E67"/>
    <w:rPr>
      <w:rFonts w:ascii="Verdana" w:eastAsiaTheme="majorEastAsia" w:hAnsi="Verdana" w:cstheme="majorBidi"/>
      <w:b/>
      <w:i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E67"/>
    <w:rPr>
      <w:rFonts w:asciiTheme="majorHAnsi" w:eastAsiaTheme="majorEastAsia" w:hAnsiTheme="majorHAnsi" w:cstheme="majorBidi"/>
      <w:i/>
      <w:iCs/>
      <w:color w:val="2E74B5" w:themeColor="accent1" w:themeShade="BF"/>
      <w:sz w:val="21"/>
    </w:rPr>
  </w:style>
  <w:style w:type="numbering" w:customStyle="1" w:styleId="NoList1">
    <w:name w:val="No List1"/>
    <w:next w:val="NoList"/>
    <w:uiPriority w:val="99"/>
    <w:semiHidden/>
    <w:unhideWhenUsed/>
    <w:rsid w:val="00170E67"/>
  </w:style>
  <w:style w:type="paragraph" w:styleId="Title">
    <w:name w:val="Title"/>
    <w:basedOn w:val="Normal"/>
    <w:next w:val="Normal"/>
    <w:link w:val="TitleChar"/>
    <w:uiPriority w:val="10"/>
    <w:qFormat/>
    <w:rsid w:val="00170E67"/>
    <w:pPr>
      <w:spacing w:after="0" w:line="480" w:lineRule="auto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E67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70E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67"/>
    <w:pPr>
      <w:tabs>
        <w:tab w:val="center" w:pos="4513"/>
        <w:tab w:val="right" w:pos="9026"/>
      </w:tabs>
      <w:spacing w:after="0" w:line="240" w:lineRule="auto"/>
    </w:pPr>
    <w:rPr>
      <w:rFonts w:eastAsia="PMingLiU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170E67"/>
    <w:rPr>
      <w:rFonts w:ascii="Verdana" w:eastAsia="PMingLiU" w:hAnsi="Verdana"/>
      <w:sz w:val="21"/>
    </w:rPr>
  </w:style>
  <w:style w:type="paragraph" w:styleId="Footer">
    <w:name w:val="footer"/>
    <w:basedOn w:val="Normal"/>
    <w:link w:val="FooterChar"/>
    <w:uiPriority w:val="99"/>
    <w:unhideWhenUsed/>
    <w:rsid w:val="00170E67"/>
    <w:pPr>
      <w:tabs>
        <w:tab w:val="center" w:pos="4513"/>
        <w:tab w:val="right" w:pos="9026"/>
      </w:tabs>
      <w:spacing w:after="0" w:line="240" w:lineRule="auto"/>
    </w:pPr>
    <w:rPr>
      <w:rFonts w:eastAsia="PMingLiU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170E67"/>
    <w:rPr>
      <w:rFonts w:ascii="Verdana" w:eastAsia="PMingLiU" w:hAnsi="Verdana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70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67"/>
    <w:pPr>
      <w:spacing w:after="0" w:line="240" w:lineRule="auto"/>
    </w:pPr>
    <w:rPr>
      <w:rFonts w:eastAsia="PMingLiU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67"/>
    <w:rPr>
      <w:rFonts w:ascii="Verdana" w:eastAsia="PMingLiU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67"/>
    <w:rPr>
      <w:rFonts w:ascii="Verdana" w:eastAsia="PMingLiU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67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67"/>
    <w:rPr>
      <w:rFonts w:ascii="Segoe UI" w:eastAsia="PMingLiU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0E67"/>
    <w:pPr>
      <w:spacing w:after="0" w:line="480" w:lineRule="auto"/>
      <w:ind w:left="720"/>
      <w:contextualSpacing/>
    </w:pPr>
    <w:rPr>
      <w:rFonts w:eastAsia="PMingLiU"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170E67"/>
    <w:rPr>
      <w:i/>
      <w:iCs/>
    </w:rPr>
  </w:style>
  <w:style w:type="character" w:customStyle="1" w:styleId="cit-pub-date">
    <w:name w:val="cit-pub-date"/>
    <w:basedOn w:val="DefaultParagraphFont"/>
    <w:rsid w:val="00170E67"/>
  </w:style>
  <w:style w:type="character" w:customStyle="1" w:styleId="cit-vol2">
    <w:name w:val="cit-vol2"/>
    <w:basedOn w:val="DefaultParagraphFont"/>
    <w:rsid w:val="00170E67"/>
  </w:style>
  <w:style w:type="character" w:customStyle="1" w:styleId="cit-fpage">
    <w:name w:val="cit-fpage"/>
    <w:basedOn w:val="DefaultParagraphFont"/>
    <w:rsid w:val="00170E67"/>
  </w:style>
  <w:style w:type="table" w:styleId="TableGrid">
    <w:name w:val="Table Grid"/>
    <w:basedOn w:val="TableNormal"/>
    <w:uiPriority w:val="39"/>
    <w:rsid w:val="00170E67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70E67"/>
    <w:pPr>
      <w:spacing w:after="0" w:line="240" w:lineRule="auto"/>
    </w:pPr>
    <w:rPr>
      <w:rFonts w:eastAsia="PMingLi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170E67"/>
    <w:pPr>
      <w:spacing w:after="0" w:line="240" w:lineRule="auto"/>
    </w:pPr>
    <w:rPr>
      <w:rFonts w:eastAsia="PMingLi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70E67"/>
    <w:pPr>
      <w:spacing w:after="0" w:line="240" w:lineRule="auto"/>
    </w:pPr>
    <w:rPr>
      <w:rFonts w:eastAsia="PMingLiU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E67"/>
    <w:rPr>
      <w:rFonts w:ascii="Verdana" w:eastAsia="PMingLiU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E67"/>
    <w:rPr>
      <w:vertAlign w:val="superscript"/>
    </w:rPr>
  </w:style>
  <w:style w:type="character" w:customStyle="1" w:styleId="cit-vol">
    <w:name w:val="cit-vol"/>
    <w:basedOn w:val="DefaultParagraphFont"/>
    <w:rsid w:val="00170E67"/>
  </w:style>
  <w:style w:type="character" w:customStyle="1" w:styleId="cit-lpage">
    <w:name w:val="cit-lpage"/>
    <w:basedOn w:val="DefaultParagraphFont"/>
    <w:rsid w:val="00170E67"/>
  </w:style>
  <w:style w:type="character" w:styleId="FollowedHyperlink">
    <w:name w:val="FollowedHyperlink"/>
    <w:basedOn w:val="DefaultParagraphFont"/>
    <w:uiPriority w:val="99"/>
    <w:semiHidden/>
    <w:unhideWhenUsed/>
    <w:rsid w:val="00170E67"/>
    <w:rPr>
      <w:color w:val="954F72" w:themeColor="followedHyperlink"/>
      <w:u w:val="single"/>
    </w:rPr>
  </w:style>
  <w:style w:type="character" w:customStyle="1" w:styleId="inst-open-url-holders">
    <w:name w:val="inst-open-url-holders"/>
    <w:basedOn w:val="DefaultParagraphFont"/>
    <w:rsid w:val="00170E67"/>
  </w:style>
  <w:style w:type="paragraph" w:styleId="Revision">
    <w:name w:val="Revision"/>
    <w:hidden/>
    <w:uiPriority w:val="99"/>
    <w:semiHidden/>
    <w:rsid w:val="00170E67"/>
    <w:pPr>
      <w:spacing w:after="0" w:line="240" w:lineRule="auto"/>
    </w:pPr>
    <w:rPr>
      <w:rFonts w:ascii="Verdana" w:eastAsia="PMingLiU" w:hAnsi="Verdana"/>
      <w:sz w:val="21"/>
    </w:rPr>
  </w:style>
  <w:style w:type="paragraph" w:styleId="NormalWeb">
    <w:name w:val="Normal (Web)"/>
    <w:basedOn w:val="Normal"/>
    <w:uiPriority w:val="99"/>
    <w:unhideWhenUsed/>
    <w:rsid w:val="00170E67"/>
    <w:pPr>
      <w:spacing w:after="0" w:line="48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70E67"/>
  </w:style>
  <w:style w:type="character" w:customStyle="1" w:styleId="citationarticleauthors">
    <w:name w:val="citationarticleauthors"/>
    <w:basedOn w:val="DefaultParagraphFont"/>
    <w:rsid w:val="00170E67"/>
  </w:style>
  <w:style w:type="character" w:customStyle="1" w:styleId="citationarticleyear">
    <w:name w:val="citationarticleyear"/>
    <w:basedOn w:val="DefaultParagraphFont"/>
    <w:rsid w:val="00170E67"/>
  </w:style>
  <w:style w:type="character" w:customStyle="1" w:styleId="citationarticletitle">
    <w:name w:val="citationarticletitle"/>
    <w:basedOn w:val="DefaultParagraphFont"/>
    <w:rsid w:val="00170E67"/>
  </w:style>
  <w:style w:type="character" w:customStyle="1" w:styleId="citationjournaltitle">
    <w:name w:val="citationjournaltitle"/>
    <w:basedOn w:val="DefaultParagraphFont"/>
    <w:rsid w:val="00170E67"/>
  </w:style>
  <w:style w:type="character" w:customStyle="1" w:styleId="citationjournalpages">
    <w:name w:val="citationjournalpages"/>
    <w:basedOn w:val="DefaultParagraphFont"/>
    <w:rsid w:val="00170E67"/>
  </w:style>
  <w:style w:type="paragraph" w:customStyle="1" w:styleId="EndNoteBibliographyTitle">
    <w:name w:val="EndNote Bibliography Title"/>
    <w:basedOn w:val="Normal"/>
    <w:link w:val="EndNoteBibliographyTitleChar"/>
    <w:rsid w:val="00170E67"/>
    <w:pPr>
      <w:spacing w:after="0" w:line="480" w:lineRule="auto"/>
      <w:jc w:val="center"/>
    </w:pPr>
    <w:rPr>
      <w:rFonts w:eastAsia="PMingLiU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0E67"/>
    <w:rPr>
      <w:rFonts w:ascii="Verdana" w:eastAsia="PMingLiU" w:hAnsi="Verdana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70E67"/>
    <w:pPr>
      <w:spacing w:after="0" w:line="240" w:lineRule="auto"/>
    </w:pPr>
    <w:rPr>
      <w:rFonts w:eastAsia="PMingLiU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70E67"/>
    <w:rPr>
      <w:rFonts w:ascii="Verdana" w:eastAsia="PMingLiU" w:hAnsi="Verdana"/>
      <w:noProof/>
      <w:sz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70E67"/>
    <w:pPr>
      <w:spacing w:after="200" w:line="240" w:lineRule="auto"/>
    </w:pPr>
    <w:rPr>
      <w:rFonts w:eastAsia="PMingLiU"/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70E67"/>
    <w:pPr>
      <w:spacing w:after="0" w:line="240" w:lineRule="auto"/>
    </w:pPr>
    <w:rPr>
      <w:rFonts w:ascii="Verdana" w:eastAsia="PMingLiU" w:hAnsi="Verdana"/>
      <w:sz w:val="21"/>
    </w:rPr>
  </w:style>
  <w:style w:type="table" w:customStyle="1" w:styleId="TableGrid1">
    <w:name w:val="Table Grid1"/>
    <w:basedOn w:val="TableNormal"/>
    <w:next w:val="TableGrid"/>
    <w:uiPriority w:val="39"/>
    <w:rsid w:val="00170E67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uiPriority w:val="42"/>
    <w:rsid w:val="00170E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B63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2" ma:contentTypeDescription="Create a new document." ma:contentTypeScope="" ma:versionID="2aec9e2b98d2d5d47d0685619675fa88">
  <xsd:schema xmlns:xsd="http://www.w3.org/2001/XMLSchema" xmlns:xs="http://www.w3.org/2001/XMLSchema" xmlns:p="http://schemas.microsoft.com/office/2006/metadata/properties" xmlns:ns3="0c1e910d-4918-42f1-af2c-ed1101d63abc" targetNamespace="http://schemas.microsoft.com/office/2006/metadata/properties" ma:root="true" ma:fieldsID="1dfef0548830c750cdd4c674b3969eba" ns3:_="">
    <xsd:import namespace="0c1e910d-4918-42f1-af2c-ed1101d63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UniqueSourceRef" ma:index="10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1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0c1e910d-4918-42f1-af2c-ed1101d63abc" xsi:nil="true"/>
    <FileHash xmlns="0c1e910d-4918-42f1-af2c-ed1101d63abc" xsi:nil="true"/>
  </documentManagement>
</p:properties>
</file>

<file path=customXml/itemProps1.xml><?xml version="1.0" encoding="utf-8"?>
<ds:datastoreItem xmlns:ds="http://schemas.openxmlformats.org/officeDocument/2006/customXml" ds:itemID="{DB467D59-ECAC-49EC-A5A3-FB9941939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6CF74-3B8A-4935-8A69-8BAB5B4F0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24D8A-E682-4E20-84EA-59F8BCF4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33566-AB30-4F55-8AC3-9D3EA153B1C5}">
  <ds:schemaRefs>
    <ds:schemaRef ds:uri="http://schemas.microsoft.com/office/2006/metadata/properties"/>
    <ds:schemaRef ds:uri="http://schemas.microsoft.com/office/infopath/2007/PartnerControls"/>
    <ds:schemaRef ds:uri="0c1e910d-4918-42f1-af2c-ed1101d63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Akyea</dc:creator>
  <cp:keywords/>
  <dc:description/>
  <cp:lastModifiedBy>chn off28</cp:lastModifiedBy>
  <cp:revision>78</cp:revision>
  <dcterms:created xsi:type="dcterms:W3CDTF">2020-09-22T07:48:00Z</dcterms:created>
  <dcterms:modified xsi:type="dcterms:W3CDTF">2021-11-23T00:54:00Z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