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2A3" w:rsidRPr="004C2151" w:rsidRDefault="004E02A3" w:rsidP="00E92C6F">
      <w:pPr>
        <w:pStyle w:val="Plattetekst"/>
        <w:spacing w:after="0" w:line="480" w:lineRule="auto"/>
        <w:ind w:firstLine="284"/>
        <w:jc w:val="both"/>
        <w:rPr>
          <w:rFonts w:ascii="Arial" w:hAnsi="Arial" w:cs="Arial"/>
        </w:rPr>
      </w:pPr>
      <w:r w:rsidRPr="004C2151">
        <w:rPr>
          <w:rFonts w:ascii="Arial" w:hAnsi="Arial" w:cs="Arial"/>
        </w:rPr>
        <w:t xml:space="preserve">Food production and consumption patterns vary with agricultural seasons in many countries. In Ethiopia, religion, in addition to weather cycles, also affects the dairy sector. Whereas the annual rainfall pattern affects dairy supply due to its impact on feed availability, the periodic occurrence of Orthodox fasting and feasts causes variation in demand for milk and other dairy products. We match both types of seasonality in Figure B1 and show how both sources of variation in production and demand over a period of 12 months preceding the survey impact dairy cow productivity (Fig B2); the number of cows in milk, both local and cross-bred (Fig B3); and average market prices for different types of dairy products, as reported by survey participants (see Fig 2 in the main text). </w:t>
      </w:r>
    </w:p>
    <w:p w:rsidR="004E02A3" w:rsidRPr="004C2151" w:rsidRDefault="004E02A3" w:rsidP="004C2151">
      <w:pPr>
        <w:pStyle w:val="Plattetekstinspringen"/>
        <w:spacing w:after="0" w:line="480" w:lineRule="auto"/>
        <w:ind w:firstLine="284"/>
        <w:jc w:val="both"/>
        <w:rPr>
          <w:rFonts w:ascii="Arial" w:hAnsi="Arial" w:cs="Arial"/>
        </w:rPr>
      </w:pPr>
      <w:r w:rsidRPr="004C2151">
        <w:rPr>
          <w:rFonts w:ascii="Arial" w:hAnsi="Arial" w:cs="Arial"/>
        </w:rPr>
        <w:t>Figure B1 outlines the rainfall pattern and associated agricultural seasons as well as the timing of the main Orthodox fasts and feasts throughout the year. Seasonal rainfall distribution varies across different areas in Ethiopia, with some areas having spring rains. But generally most of the precipitation falls between June and September. The dry period usually takes places from February through May. Livestock feed availability follows this rainfall pattern, with feed being abundantly available from September to December, after which availability decreases. Critical feed shortages may occur between April and June</w:t>
      </w:r>
      <w:r>
        <w:rPr>
          <w:rFonts w:ascii="Arial" w:hAnsi="Arial" w:cs="Arial"/>
        </w:rPr>
        <w:t xml:space="preserve"> </w:t>
      </w:r>
      <w:r>
        <w:rPr>
          <w:rFonts w:ascii="Arial" w:hAnsi="Arial" w:cs="Arial"/>
          <w:noProof/>
        </w:rPr>
        <w:t>[1]</w:t>
      </w:r>
      <w:r w:rsidRPr="004C2151">
        <w:rPr>
          <w:rFonts w:ascii="Arial" w:hAnsi="Arial" w:cs="Arial"/>
        </w:rPr>
        <w:t xml:space="preserve">. </w:t>
      </w:r>
    </w:p>
    <w:p w:rsidR="004E02A3" w:rsidRPr="004C2151" w:rsidRDefault="004E02A3" w:rsidP="004C2151">
      <w:pPr>
        <w:pStyle w:val="Plattetekstinspringen"/>
        <w:spacing w:after="0" w:line="480" w:lineRule="auto"/>
        <w:ind w:firstLine="284"/>
        <w:jc w:val="both"/>
        <w:rPr>
          <w:rFonts w:ascii="Arial" w:hAnsi="Arial" w:cs="Arial"/>
        </w:rPr>
      </w:pPr>
      <w:r w:rsidRPr="004C2151">
        <w:rPr>
          <w:rFonts w:ascii="Arial" w:hAnsi="Arial" w:cs="Arial"/>
        </w:rPr>
        <w:t>This pattern of feed availability matches the seasonal pattern in dairy cow productivity in our sample (Fig B2). Daily milk production per cow is at its lowest average level between January and June (2.6 liters/cow), after which it slowly increases to about 3.3 liters per cow for the period between September and December. Milk producing households seem to align their production practices with the agricultural seasons. As feed availability increases between June and December, farmers hold a rising percentage of cows in milk (Fig B3).</w:t>
      </w:r>
    </w:p>
    <w:p w:rsidR="004E02A3" w:rsidRPr="004C2151" w:rsidRDefault="004E02A3" w:rsidP="004C2151">
      <w:pPr>
        <w:pStyle w:val="Plattetekstinspringen"/>
        <w:spacing w:after="0" w:line="480" w:lineRule="auto"/>
        <w:ind w:firstLine="284"/>
        <w:jc w:val="both"/>
        <w:rPr>
          <w:rFonts w:ascii="Arial" w:hAnsi="Arial" w:cs="Arial"/>
          <w:lang w:val="en-GB"/>
        </w:rPr>
      </w:pPr>
      <w:r w:rsidRPr="004C2151">
        <w:rPr>
          <w:rFonts w:ascii="Arial" w:hAnsi="Arial" w:cs="Arial"/>
        </w:rPr>
        <w:t xml:space="preserve">Alternatively, one could argue that producers align their milk production to periods of reduced demand caused by fasting periods. They can do this by making sure that the dry periods of their cows coincide with long Orthodox fasting events. Some Orthodox fasting events overlap with periods of potential feed shortage problems (Fig B1). This is most obvious for the Apostles fast, which overlaps with the lean season during which the probability of acute livestock feed shortages is high. But also during the Lent fasting period, feed availability </w:t>
      </w:r>
      <w:r w:rsidRPr="004C2151">
        <w:rPr>
          <w:rFonts w:ascii="Arial" w:hAnsi="Arial" w:cs="Arial"/>
        </w:rPr>
        <w:lastRenderedPageBreak/>
        <w:t>continuously decreases, causing economically rational producers to reduce milk production during this period.</w:t>
      </w:r>
      <w:r w:rsidRPr="004C2151">
        <w:rPr>
          <w:rStyle w:val="Voetnootmarkering"/>
        </w:rPr>
        <w:footnoteReference w:id="1"/>
      </w:r>
      <w:r w:rsidRPr="004C2151">
        <w:rPr>
          <w:rFonts w:ascii="Arial" w:hAnsi="Arial" w:cs="Arial"/>
        </w:rPr>
        <w:t xml:space="preserve"> However, given that the Orthodox fasting periods are scattered throughout the year, such a strategy may at best only partially tackle the mismatch between supply and demand.</w:t>
      </w:r>
      <w:r w:rsidRPr="004C2151">
        <w:rPr>
          <w:rFonts w:ascii="Arial" w:hAnsi="Arial" w:cs="Arial"/>
          <w:lang w:val="en-GB"/>
        </w:rPr>
        <w:t xml:space="preserve"> </w:t>
      </w:r>
    </w:p>
    <w:p w:rsidR="004E02A3" w:rsidRPr="004C2151" w:rsidRDefault="004E02A3" w:rsidP="004C2151">
      <w:pPr>
        <w:pStyle w:val="FigureTitle"/>
        <w:ind w:left="0" w:firstLine="0"/>
        <w:rPr>
          <w:rFonts w:ascii="Arial" w:hAnsi="Arial" w:cs="Arial"/>
          <w:b w:val="0"/>
          <w:color w:val="auto"/>
          <w:sz w:val="22"/>
        </w:rPr>
      </w:pPr>
      <w:bookmarkStart w:id="0" w:name="_Toc39136208"/>
      <w:r w:rsidRPr="004C2151">
        <w:rPr>
          <w:rFonts w:ascii="Arial" w:hAnsi="Arial" w:cs="Arial"/>
          <w:color w:val="auto"/>
          <w:sz w:val="22"/>
        </w:rPr>
        <w:t>Fig B1</w:t>
      </w:r>
      <w:r>
        <w:rPr>
          <w:rFonts w:ascii="Arial" w:hAnsi="Arial" w:cs="Arial"/>
          <w:color w:val="auto"/>
          <w:sz w:val="22"/>
        </w:rPr>
        <w:t>.</w:t>
      </w:r>
      <w:r w:rsidRPr="004C2151">
        <w:rPr>
          <w:rFonts w:ascii="Arial" w:hAnsi="Arial" w:cs="Arial"/>
          <w:b w:val="0"/>
          <w:color w:val="auto"/>
          <w:sz w:val="22"/>
        </w:rPr>
        <w:t xml:space="preserve"> </w:t>
      </w:r>
      <w:r w:rsidRPr="00CD7A4E">
        <w:rPr>
          <w:rFonts w:ascii="Arial" w:hAnsi="Arial" w:cs="Arial"/>
          <w:color w:val="auto"/>
          <w:sz w:val="22"/>
        </w:rPr>
        <w:t>Rainfall and agricultural seasons and the timing of main Orthodox fasts and feasts through the year</w:t>
      </w:r>
      <w:bookmarkEnd w:id="0"/>
    </w:p>
    <w:tbl>
      <w:tblPr>
        <w:tblStyle w:val="Tabelraster"/>
        <w:tblW w:w="0" w:type="auto"/>
        <w:jc w:val="center"/>
        <w:tblLayout w:type="fixed"/>
        <w:tblCellMar>
          <w:top w:w="28" w:type="dxa"/>
          <w:left w:w="28" w:type="dxa"/>
          <w:bottom w:w="28" w:type="dxa"/>
          <w:right w:w="28" w:type="dxa"/>
        </w:tblCellMar>
        <w:tblLook w:val="04A0" w:firstRow="1" w:lastRow="0" w:firstColumn="1" w:lastColumn="0" w:noHBand="0" w:noVBand="1"/>
      </w:tblPr>
      <w:tblGrid>
        <w:gridCol w:w="1361"/>
        <w:gridCol w:w="152"/>
        <w:gridCol w:w="259"/>
        <w:gridCol w:w="142"/>
        <w:gridCol w:w="76"/>
        <w:gridCol w:w="51"/>
        <w:gridCol w:w="157"/>
        <w:gridCol w:w="523"/>
        <w:gridCol w:w="680"/>
        <w:gridCol w:w="680"/>
        <w:gridCol w:w="101"/>
        <w:gridCol w:w="567"/>
        <w:gridCol w:w="14"/>
        <w:gridCol w:w="335"/>
        <w:gridCol w:w="218"/>
        <w:gridCol w:w="127"/>
        <w:gridCol w:w="440"/>
        <w:gridCol w:w="241"/>
        <w:gridCol w:w="184"/>
        <w:gridCol w:w="426"/>
        <w:gridCol w:w="70"/>
        <w:gridCol w:w="244"/>
        <w:gridCol w:w="437"/>
        <w:gridCol w:w="680"/>
        <w:gridCol w:w="640"/>
        <w:gridCol w:w="40"/>
        <w:gridCol w:w="648"/>
      </w:tblGrid>
      <w:tr w:rsidR="004E02A3" w:rsidRPr="004C2151" w:rsidTr="00311D8F">
        <w:trPr>
          <w:jc w:val="center"/>
        </w:trPr>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02A3" w:rsidRPr="004C2151" w:rsidRDefault="004E02A3" w:rsidP="00311D8F">
            <w:pPr>
              <w:pStyle w:val="Tablecolumnheading"/>
            </w:pPr>
          </w:p>
        </w:tc>
        <w:tc>
          <w:tcPr>
            <w:tcW w:w="6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02A3" w:rsidRPr="004C2151" w:rsidRDefault="004E02A3" w:rsidP="00311D8F">
            <w:pPr>
              <w:pStyle w:val="Tablecolumnheading"/>
            </w:pPr>
            <w:r w:rsidRPr="004C2151">
              <w:t>Jan.</w:t>
            </w:r>
          </w:p>
        </w:tc>
        <w:tc>
          <w:tcPr>
            <w:tcW w:w="680"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Feb.</w:t>
            </w:r>
          </w:p>
        </w:tc>
        <w:tc>
          <w:tcPr>
            <w:tcW w:w="68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March</w:t>
            </w:r>
          </w:p>
        </w:tc>
        <w:tc>
          <w:tcPr>
            <w:tcW w:w="68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April</w:t>
            </w:r>
          </w:p>
        </w:tc>
        <w:tc>
          <w:tcPr>
            <w:tcW w:w="682"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May</w:t>
            </w:r>
          </w:p>
        </w:tc>
        <w:tc>
          <w:tcPr>
            <w:tcW w:w="680"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June</w:t>
            </w:r>
          </w:p>
        </w:tc>
        <w:tc>
          <w:tcPr>
            <w:tcW w:w="681"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July</w:t>
            </w:r>
          </w:p>
        </w:tc>
        <w:tc>
          <w:tcPr>
            <w:tcW w:w="680"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Aug.</w:t>
            </w:r>
          </w:p>
        </w:tc>
        <w:tc>
          <w:tcPr>
            <w:tcW w:w="681"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E02A3" w:rsidRPr="004C2151" w:rsidRDefault="004E02A3" w:rsidP="00311D8F">
            <w:pPr>
              <w:pStyle w:val="Tablecolumnheading"/>
            </w:pPr>
            <w:r w:rsidRPr="004C2151">
              <w:t>Sept.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02A3" w:rsidRPr="004C2151" w:rsidRDefault="004E02A3" w:rsidP="00311D8F">
            <w:pPr>
              <w:pStyle w:val="Tablecolumnheading"/>
            </w:pPr>
            <w:r w:rsidRPr="004C2151">
              <w:t>Oct.</w:t>
            </w:r>
          </w:p>
        </w:tc>
        <w:tc>
          <w:tcPr>
            <w:tcW w:w="6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02A3" w:rsidRPr="004C2151" w:rsidRDefault="004E02A3" w:rsidP="00311D8F">
            <w:pPr>
              <w:pStyle w:val="Tablecolumnheading"/>
            </w:pPr>
            <w:r w:rsidRPr="004C2151">
              <w:t>Nov.</w:t>
            </w:r>
          </w:p>
        </w:tc>
        <w:tc>
          <w:tcPr>
            <w:tcW w:w="6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E02A3" w:rsidRPr="004C2151" w:rsidRDefault="004E02A3" w:rsidP="00311D8F">
            <w:pPr>
              <w:pStyle w:val="Tablecolumnheading"/>
            </w:pPr>
            <w:r w:rsidRPr="004C2151">
              <w:t>Dec.</w:t>
            </w:r>
          </w:p>
        </w:tc>
      </w:tr>
      <w:tr w:rsidR="004E02A3" w:rsidRPr="004C2151" w:rsidTr="00311D8F">
        <w:trPr>
          <w:jc w:val="center"/>
        </w:trPr>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4E02A3" w:rsidRPr="004C2151" w:rsidRDefault="004E02A3" w:rsidP="00311D8F">
            <w:pPr>
              <w:pStyle w:val="TableText"/>
              <w:ind w:left="113" w:hanging="113"/>
              <w:rPr>
                <w:rFonts w:cs="Arial"/>
              </w:rPr>
            </w:pPr>
            <w:r w:rsidRPr="004C2151">
              <w:rPr>
                <w:rFonts w:cs="Arial"/>
              </w:rPr>
              <w:t>Rainfall pattern</w:t>
            </w:r>
          </w:p>
        </w:tc>
        <w:tc>
          <w:tcPr>
            <w:tcW w:w="680" w:type="dxa"/>
            <w:gridSpan w:val="5"/>
            <w:tcBorders>
              <w:top w:val="single" w:sz="4" w:space="0" w:color="808080" w:themeColor="background1" w:themeShade="80"/>
              <w:bottom w:val="single" w:sz="4" w:space="0" w:color="808080" w:themeColor="background1" w:themeShade="80"/>
              <w:right w:val="nil"/>
            </w:tcBorders>
          </w:tcPr>
          <w:p w:rsidR="004E02A3" w:rsidRPr="004C2151" w:rsidRDefault="004E02A3" w:rsidP="00311D8F">
            <w:pPr>
              <w:rPr>
                <w:rFonts w:ascii="Arial" w:hAnsi="Arial" w:cs="Arial"/>
                <w:sz w:val="16"/>
                <w:szCs w:val="16"/>
              </w:rPr>
            </w:pPr>
          </w:p>
        </w:tc>
        <w:tc>
          <w:tcPr>
            <w:tcW w:w="2722" w:type="dxa"/>
            <w:gridSpan w:val="7"/>
            <w:tcBorders>
              <w:top w:val="nil"/>
              <w:left w:val="nil"/>
              <w:bottom w:val="single" w:sz="4" w:space="0" w:color="808080" w:themeColor="background1" w:themeShade="80"/>
              <w:right w:val="nil"/>
            </w:tcBorders>
            <w:shd w:val="clear" w:color="auto" w:fill="FFD966" w:themeFill="accent4" w:themeFillTint="99"/>
            <w:vAlign w:val="center"/>
          </w:tcPr>
          <w:p w:rsidR="004E02A3" w:rsidRPr="004C2151" w:rsidRDefault="004E02A3" w:rsidP="00311D8F">
            <w:pPr>
              <w:jc w:val="center"/>
              <w:rPr>
                <w:rFonts w:ascii="Arial" w:hAnsi="Arial" w:cs="Arial"/>
                <w:b/>
                <w:bCs/>
                <w:sz w:val="16"/>
                <w:szCs w:val="16"/>
              </w:rPr>
            </w:pPr>
            <w:r w:rsidRPr="004C2151">
              <w:rPr>
                <w:rFonts w:ascii="Arial" w:hAnsi="Arial" w:cs="Arial"/>
                <w:b/>
                <w:bCs/>
                <w:sz w:val="16"/>
                <w:szCs w:val="16"/>
              </w:rPr>
              <w:t>Dry period</w:t>
            </w:r>
          </w:p>
        </w:tc>
        <w:tc>
          <w:tcPr>
            <w:tcW w:w="2722" w:type="dxa"/>
            <w:gridSpan w:val="10"/>
            <w:tcBorders>
              <w:top w:val="nil"/>
              <w:left w:val="nil"/>
              <w:bottom w:val="single" w:sz="4" w:space="0" w:color="808080" w:themeColor="background1" w:themeShade="80"/>
              <w:right w:val="nil"/>
            </w:tcBorders>
            <w:shd w:val="clear" w:color="auto" w:fill="92D050"/>
            <w:vAlign w:val="center"/>
          </w:tcPr>
          <w:p w:rsidR="004E02A3" w:rsidRPr="004C2151" w:rsidRDefault="004E02A3" w:rsidP="00311D8F">
            <w:pPr>
              <w:jc w:val="center"/>
              <w:rPr>
                <w:rFonts w:ascii="Arial" w:hAnsi="Arial" w:cs="Arial"/>
                <w:b/>
                <w:bCs/>
                <w:sz w:val="16"/>
                <w:szCs w:val="16"/>
              </w:rPr>
            </w:pPr>
            <w:r w:rsidRPr="004C2151">
              <w:rPr>
                <w:rFonts w:ascii="Arial" w:hAnsi="Arial" w:cs="Arial"/>
                <w:b/>
                <w:bCs/>
                <w:sz w:val="16"/>
                <w:szCs w:val="16"/>
              </w:rPr>
              <w:t>Summer rains</w:t>
            </w:r>
          </w:p>
        </w:tc>
        <w:tc>
          <w:tcPr>
            <w:tcW w:w="200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E02A3" w:rsidRPr="004C2151" w:rsidRDefault="004E02A3" w:rsidP="00311D8F">
            <w:pPr>
              <w:jc w:val="center"/>
              <w:rPr>
                <w:rFonts w:ascii="Arial" w:hAnsi="Arial" w:cs="Arial"/>
                <w:sz w:val="16"/>
                <w:szCs w:val="16"/>
              </w:rPr>
            </w:pPr>
          </w:p>
        </w:tc>
      </w:tr>
      <w:tr w:rsidR="004E02A3" w:rsidRPr="004C2151" w:rsidTr="00311D8F">
        <w:trPr>
          <w:jc w:val="center"/>
        </w:trPr>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E02A3" w:rsidRPr="004C2151" w:rsidRDefault="004E02A3" w:rsidP="00311D8F">
            <w:pPr>
              <w:pStyle w:val="TableText"/>
              <w:ind w:left="113" w:hanging="113"/>
              <w:rPr>
                <w:rFonts w:cs="Arial"/>
              </w:rPr>
            </w:pPr>
            <w:r w:rsidRPr="004C2151">
              <w:rPr>
                <w:rFonts w:cs="Arial"/>
              </w:rPr>
              <w:t>Agricultural seasons</w:t>
            </w:r>
          </w:p>
        </w:tc>
        <w:tc>
          <w:tcPr>
            <w:tcW w:w="340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E02A3" w:rsidRPr="004C2151" w:rsidRDefault="004E02A3" w:rsidP="00311D8F">
            <w:pPr>
              <w:jc w:val="center"/>
              <w:rPr>
                <w:rFonts w:ascii="Arial" w:hAnsi="Arial" w:cs="Arial"/>
                <w:sz w:val="16"/>
                <w:szCs w:val="16"/>
              </w:rPr>
            </w:pPr>
          </w:p>
        </w:tc>
        <w:tc>
          <w:tcPr>
            <w:tcW w:w="1361" w:type="dxa"/>
            <w:gridSpan w:val="5"/>
            <w:tcBorders>
              <w:top w:val="single" w:sz="4" w:space="0" w:color="808080" w:themeColor="background1" w:themeShade="80"/>
              <w:left w:val="nil"/>
              <w:bottom w:val="single" w:sz="4" w:space="0" w:color="808080" w:themeColor="background1" w:themeShade="80"/>
              <w:right w:val="nil"/>
            </w:tcBorders>
            <w:shd w:val="clear" w:color="auto" w:fill="7030A0"/>
            <w:vAlign w:val="center"/>
          </w:tcPr>
          <w:p w:rsidR="004E02A3" w:rsidRPr="004C2151" w:rsidRDefault="004E02A3" w:rsidP="00311D8F">
            <w:pPr>
              <w:jc w:val="center"/>
              <w:rPr>
                <w:rFonts w:ascii="Arial" w:hAnsi="Arial" w:cs="Arial"/>
                <w:b/>
                <w:bCs/>
                <w:color w:val="FFFFFF" w:themeColor="background1"/>
                <w:sz w:val="16"/>
                <w:szCs w:val="16"/>
              </w:rPr>
            </w:pPr>
            <w:r w:rsidRPr="004C2151">
              <w:rPr>
                <w:rFonts w:ascii="Arial" w:hAnsi="Arial" w:cs="Arial"/>
                <w:b/>
                <w:bCs/>
                <w:color w:val="FFFFFF" w:themeColor="background1"/>
                <w:sz w:val="16"/>
                <w:szCs w:val="16"/>
              </w:rPr>
              <w:t>Lean season</w:t>
            </w:r>
          </w:p>
        </w:tc>
        <w:tc>
          <w:tcPr>
            <w:tcW w:w="1361" w:type="dxa"/>
            <w:gridSpan w:val="5"/>
            <w:tcBorders>
              <w:top w:val="single" w:sz="4" w:space="0" w:color="808080" w:themeColor="background1" w:themeShade="80"/>
              <w:left w:val="nil"/>
              <w:bottom w:val="single" w:sz="4" w:space="0" w:color="808080" w:themeColor="background1" w:themeShade="80"/>
              <w:right w:val="nil"/>
            </w:tcBorders>
            <w:vAlign w:val="center"/>
          </w:tcPr>
          <w:p w:rsidR="004E02A3" w:rsidRPr="004C2151" w:rsidRDefault="004E02A3" w:rsidP="00311D8F">
            <w:pPr>
              <w:jc w:val="center"/>
              <w:rPr>
                <w:rFonts w:ascii="Arial" w:hAnsi="Arial" w:cs="Arial"/>
                <w:sz w:val="16"/>
                <w:szCs w:val="16"/>
              </w:rPr>
            </w:pPr>
          </w:p>
        </w:tc>
        <w:tc>
          <w:tcPr>
            <w:tcW w:w="200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70AD47" w:themeFill="accent6"/>
            <w:vAlign w:val="center"/>
          </w:tcPr>
          <w:p w:rsidR="004E02A3" w:rsidRPr="004C2151" w:rsidRDefault="004E02A3" w:rsidP="00311D8F">
            <w:pPr>
              <w:jc w:val="center"/>
              <w:rPr>
                <w:rFonts w:ascii="Arial" w:hAnsi="Arial" w:cs="Arial"/>
                <w:b/>
                <w:bCs/>
                <w:color w:val="FFFFFF" w:themeColor="background1"/>
                <w:sz w:val="16"/>
                <w:szCs w:val="16"/>
              </w:rPr>
            </w:pPr>
            <w:r w:rsidRPr="004C2151">
              <w:rPr>
                <w:rFonts w:ascii="Arial" w:hAnsi="Arial" w:cs="Arial"/>
                <w:b/>
                <w:bCs/>
                <w:color w:val="FFFFFF" w:themeColor="background1"/>
                <w:sz w:val="16"/>
                <w:szCs w:val="16"/>
              </w:rPr>
              <w:t>Main harvest season</w:t>
            </w:r>
          </w:p>
        </w:tc>
      </w:tr>
      <w:tr w:rsidR="004E02A3" w:rsidRPr="004C2151" w:rsidTr="00311D8F">
        <w:trPr>
          <w:jc w:val="center"/>
        </w:trPr>
        <w:tc>
          <w:tcPr>
            <w:tcW w:w="13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E02A3" w:rsidRPr="004C2151" w:rsidRDefault="004E02A3" w:rsidP="00311D8F">
            <w:pPr>
              <w:pStyle w:val="TableText"/>
              <w:ind w:left="113" w:hanging="113"/>
              <w:rPr>
                <w:rFonts w:cs="Arial"/>
              </w:rPr>
            </w:pPr>
            <w:r w:rsidRPr="004C2151">
              <w:rPr>
                <w:rFonts w:cs="Arial"/>
              </w:rPr>
              <w:t>Orthodox fasts and feasts</w:t>
            </w:r>
          </w:p>
        </w:tc>
        <w:tc>
          <w:tcPr>
            <w:tcW w:w="152" w:type="dxa"/>
            <w:tcBorders>
              <w:top w:val="single" w:sz="4" w:space="0" w:color="808080" w:themeColor="background1" w:themeShade="80"/>
              <w:left w:val="single" w:sz="4" w:space="0" w:color="808080" w:themeColor="background1" w:themeShade="80"/>
              <w:bottom w:val="single" w:sz="4" w:space="0" w:color="C00000"/>
              <w:right w:val="single" w:sz="18" w:space="0" w:color="C00000"/>
            </w:tcBorders>
            <w:shd w:val="clear" w:color="auto" w:fill="F7CAAC" w:themeFill="accent2" w:themeFillTint="66"/>
            <w:vAlign w:val="center"/>
          </w:tcPr>
          <w:p w:rsidR="004E02A3" w:rsidRPr="004C2151" w:rsidRDefault="004E02A3" w:rsidP="00311D8F">
            <w:pPr>
              <w:jc w:val="center"/>
              <w:rPr>
                <w:rFonts w:ascii="Arial" w:hAnsi="Arial" w:cs="Arial"/>
                <w:sz w:val="16"/>
                <w:szCs w:val="16"/>
              </w:rPr>
            </w:pPr>
          </w:p>
        </w:tc>
        <w:tc>
          <w:tcPr>
            <w:tcW w:w="259" w:type="dxa"/>
            <w:tcBorders>
              <w:top w:val="single" w:sz="4" w:space="0" w:color="808080" w:themeColor="background1" w:themeShade="80"/>
              <w:left w:val="single" w:sz="18" w:space="0" w:color="C00000"/>
              <w:bottom w:val="single" w:sz="4" w:space="0" w:color="808080" w:themeColor="background1" w:themeShade="80"/>
              <w:right w:val="single" w:sz="18" w:space="0" w:color="C00000"/>
            </w:tcBorders>
            <w:shd w:val="clear" w:color="auto" w:fill="FFFFFF" w:themeFill="background1"/>
            <w:vAlign w:val="center"/>
          </w:tcPr>
          <w:p w:rsidR="004E02A3" w:rsidRPr="004C2151" w:rsidRDefault="004E02A3" w:rsidP="00311D8F">
            <w:pPr>
              <w:rPr>
                <w:rFonts w:ascii="Arial" w:hAnsi="Arial" w:cs="Arial"/>
                <w:color w:val="C00000"/>
                <w:sz w:val="16"/>
                <w:szCs w:val="16"/>
                <w:lang w:val="nl-NL"/>
              </w:rPr>
            </w:pPr>
            <w:r w:rsidRPr="004C2151">
              <w:rPr>
                <w:rFonts w:ascii="Arial" w:hAnsi="Arial" w:cs="Arial"/>
                <w:color w:val="C00000"/>
                <w:sz w:val="16"/>
                <w:szCs w:val="16"/>
                <w:lang w:val="nl-NL"/>
              </w:rPr>
              <w:t>1</w:t>
            </w:r>
          </w:p>
        </w:tc>
        <w:tc>
          <w:tcPr>
            <w:tcW w:w="142" w:type="dxa"/>
            <w:tcBorders>
              <w:top w:val="single" w:sz="4" w:space="0" w:color="808080" w:themeColor="background1" w:themeShade="80"/>
              <w:left w:val="single" w:sz="18" w:space="0" w:color="C00000"/>
              <w:bottom w:val="single" w:sz="4" w:space="0" w:color="808080" w:themeColor="background1" w:themeShade="80"/>
              <w:right w:val="single" w:sz="4" w:space="0" w:color="FFFFFF" w:themeColor="background1"/>
            </w:tcBorders>
            <w:shd w:val="clear" w:color="auto" w:fill="FFFFFF" w:themeFill="background1"/>
            <w:vAlign w:val="center"/>
          </w:tcPr>
          <w:p w:rsidR="004E02A3" w:rsidRPr="004C2151" w:rsidRDefault="004E02A3" w:rsidP="00311D8F">
            <w:pPr>
              <w:rPr>
                <w:rFonts w:ascii="Arial" w:hAnsi="Arial" w:cs="Arial"/>
                <w:color w:val="C00000"/>
                <w:sz w:val="16"/>
                <w:lang w:val="nl-NL"/>
              </w:rPr>
            </w:pPr>
            <w:r w:rsidRPr="004C2151">
              <w:rPr>
                <w:rFonts w:ascii="Arial" w:hAnsi="Arial" w:cs="Arial"/>
                <w:color w:val="C00000"/>
                <w:sz w:val="16"/>
                <w:szCs w:val="16"/>
              </w:rPr>
              <w:t>2</w:t>
            </w:r>
          </w:p>
        </w:tc>
        <w:tc>
          <w:tcPr>
            <w:tcW w:w="76"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FFFFFF" w:themeColor="background1"/>
            </w:tcBorders>
            <w:shd w:val="clear" w:color="auto" w:fill="F7CAAC" w:themeFill="accent2" w:themeFillTint="66"/>
            <w:vAlign w:val="center"/>
          </w:tcPr>
          <w:p w:rsidR="004E02A3" w:rsidRPr="004C2151" w:rsidRDefault="004E02A3" w:rsidP="00311D8F">
            <w:pPr>
              <w:jc w:val="center"/>
              <w:rPr>
                <w:rFonts w:ascii="Arial" w:hAnsi="Arial" w:cs="Arial"/>
                <w:color w:val="C00000"/>
                <w:sz w:val="16"/>
                <w:szCs w:val="16"/>
              </w:rPr>
            </w:pPr>
          </w:p>
        </w:tc>
        <w:tc>
          <w:tcPr>
            <w:tcW w:w="208" w:type="dxa"/>
            <w:gridSpan w:val="2"/>
            <w:tcBorders>
              <w:top w:val="single" w:sz="4" w:space="0" w:color="808080" w:themeColor="background1" w:themeShade="80"/>
              <w:left w:val="single" w:sz="4" w:space="0" w:color="FFFFFF" w:themeColor="background1"/>
              <w:bottom w:val="single" w:sz="4" w:space="0" w:color="808080" w:themeColor="background1" w:themeShade="80"/>
              <w:right w:val="single" w:sz="18" w:space="0" w:color="F7CAAC" w:themeColor="accent2" w:themeTint="66"/>
            </w:tcBorders>
            <w:shd w:val="clear" w:color="auto" w:fill="FFFFFF" w:themeFill="background1"/>
            <w:vAlign w:val="center"/>
          </w:tcPr>
          <w:p w:rsidR="004E02A3" w:rsidRPr="004C2151" w:rsidRDefault="004E02A3" w:rsidP="00311D8F">
            <w:pPr>
              <w:rPr>
                <w:rFonts w:ascii="Arial" w:hAnsi="Arial" w:cs="Arial"/>
                <w:color w:val="C00000"/>
                <w:sz w:val="16"/>
                <w:szCs w:val="16"/>
              </w:rPr>
            </w:pPr>
            <w:r w:rsidRPr="004C2151">
              <w:rPr>
                <w:rFonts w:ascii="Arial" w:hAnsi="Arial" w:cs="Arial"/>
                <w:color w:val="C00000"/>
                <w:sz w:val="16"/>
                <w:szCs w:val="16"/>
              </w:rPr>
              <w:t>3</w:t>
            </w:r>
          </w:p>
        </w:tc>
        <w:tc>
          <w:tcPr>
            <w:tcW w:w="1984" w:type="dxa"/>
            <w:gridSpan w:val="4"/>
            <w:tcBorders>
              <w:top w:val="single" w:sz="4" w:space="0" w:color="808080" w:themeColor="background1" w:themeShade="80"/>
              <w:left w:val="single" w:sz="18" w:space="0" w:color="F7CAAC" w:themeColor="accent2" w:themeTint="66"/>
              <w:bottom w:val="single" w:sz="4" w:space="0" w:color="808080" w:themeColor="background1" w:themeShade="80"/>
              <w:right w:val="single" w:sz="18" w:space="0" w:color="C00000"/>
            </w:tcBorders>
            <w:shd w:val="clear" w:color="auto" w:fill="F7CAAC" w:themeFill="accent2" w:themeFillTint="66"/>
            <w:vAlign w:val="center"/>
          </w:tcPr>
          <w:p w:rsidR="004E02A3" w:rsidRPr="004C2151" w:rsidRDefault="004E02A3" w:rsidP="00311D8F">
            <w:pPr>
              <w:jc w:val="center"/>
              <w:rPr>
                <w:rFonts w:ascii="Arial" w:hAnsi="Arial" w:cs="Arial"/>
                <w:color w:val="C00000"/>
                <w:sz w:val="16"/>
                <w:szCs w:val="16"/>
              </w:rPr>
            </w:pPr>
            <w:r w:rsidRPr="004C2151">
              <w:rPr>
                <w:rFonts w:ascii="Arial" w:hAnsi="Arial" w:cs="Arial"/>
                <w:color w:val="C00000"/>
                <w:sz w:val="16"/>
                <w:szCs w:val="16"/>
              </w:rPr>
              <w:t>4</w:t>
            </w:r>
          </w:p>
        </w:tc>
        <w:tc>
          <w:tcPr>
            <w:tcW w:w="567" w:type="dxa"/>
            <w:tcBorders>
              <w:top w:val="single" w:sz="4" w:space="0" w:color="808080" w:themeColor="background1" w:themeShade="80"/>
              <w:left w:val="single" w:sz="18" w:space="0" w:color="C00000"/>
              <w:bottom w:val="single" w:sz="4" w:space="0" w:color="808080" w:themeColor="background1" w:themeShade="80"/>
              <w:right w:val="single" w:sz="18" w:space="0" w:color="C00000"/>
            </w:tcBorders>
            <w:vAlign w:val="center"/>
          </w:tcPr>
          <w:p w:rsidR="004E02A3" w:rsidRPr="004C2151" w:rsidRDefault="004E02A3" w:rsidP="00311D8F">
            <w:pPr>
              <w:rPr>
                <w:rFonts w:ascii="Arial" w:hAnsi="Arial" w:cs="Arial"/>
                <w:color w:val="C00000"/>
                <w:sz w:val="16"/>
                <w:szCs w:val="16"/>
              </w:rPr>
            </w:pPr>
            <w:r w:rsidRPr="004C2151">
              <w:rPr>
                <w:rFonts w:ascii="Arial" w:hAnsi="Arial" w:cs="Arial"/>
                <w:color w:val="C00000"/>
                <w:sz w:val="16"/>
                <w:szCs w:val="16"/>
              </w:rPr>
              <w:t>5</w:t>
            </w:r>
          </w:p>
        </w:tc>
        <w:tc>
          <w:tcPr>
            <w:tcW w:w="349" w:type="dxa"/>
            <w:gridSpan w:val="2"/>
            <w:tcBorders>
              <w:top w:val="single" w:sz="4" w:space="0" w:color="808080" w:themeColor="background1" w:themeShade="80"/>
              <w:left w:val="single" w:sz="18" w:space="0" w:color="C00000"/>
              <w:bottom w:val="single" w:sz="4" w:space="0" w:color="808080" w:themeColor="background1" w:themeShade="80"/>
              <w:right w:val="single" w:sz="18" w:space="0" w:color="C00000"/>
            </w:tcBorders>
            <w:vAlign w:val="center"/>
          </w:tcPr>
          <w:p w:rsidR="004E02A3" w:rsidRPr="004C2151" w:rsidRDefault="004E02A3" w:rsidP="00311D8F">
            <w:pPr>
              <w:tabs>
                <w:tab w:val="left" w:pos="46"/>
              </w:tabs>
              <w:rPr>
                <w:rFonts w:ascii="Arial" w:hAnsi="Arial" w:cs="Arial"/>
                <w:color w:val="C00000"/>
                <w:sz w:val="16"/>
                <w:szCs w:val="16"/>
              </w:rPr>
            </w:pPr>
            <w:r w:rsidRPr="004C2151">
              <w:rPr>
                <w:rFonts w:ascii="Arial" w:hAnsi="Arial" w:cs="Arial"/>
                <w:color w:val="C00000"/>
                <w:sz w:val="16"/>
                <w:szCs w:val="16"/>
              </w:rPr>
              <w:t>6</w:t>
            </w:r>
          </w:p>
        </w:tc>
        <w:tc>
          <w:tcPr>
            <w:tcW w:w="218" w:type="dxa"/>
            <w:tcBorders>
              <w:top w:val="single" w:sz="4" w:space="0" w:color="808080" w:themeColor="background1" w:themeShade="80"/>
              <w:left w:val="single" w:sz="18" w:space="0" w:color="C00000"/>
              <w:bottom w:val="single" w:sz="4" w:space="0" w:color="808080" w:themeColor="background1" w:themeShade="80"/>
              <w:right w:val="single" w:sz="18" w:space="0" w:color="F7CAAC" w:themeColor="accent2" w:themeTint="66"/>
            </w:tcBorders>
            <w:shd w:val="clear" w:color="auto" w:fill="FFFFFF" w:themeFill="background1"/>
            <w:vAlign w:val="center"/>
          </w:tcPr>
          <w:p w:rsidR="004E02A3" w:rsidRPr="004C2151" w:rsidRDefault="004E02A3" w:rsidP="00311D8F">
            <w:pPr>
              <w:rPr>
                <w:rFonts w:ascii="Arial" w:hAnsi="Arial" w:cs="Arial"/>
                <w:color w:val="C00000"/>
                <w:sz w:val="16"/>
                <w:szCs w:val="16"/>
              </w:rPr>
            </w:pPr>
            <w:r w:rsidRPr="004C2151">
              <w:rPr>
                <w:rFonts w:ascii="Arial" w:hAnsi="Arial" w:cs="Arial"/>
                <w:color w:val="C00000"/>
                <w:sz w:val="16"/>
                <w:szCs w:val="16"/>
              </w:rPr>
              <w:t>7</w:t>
            </w:r>
          </w:p>
        </w:tc>
        <w:tc>
          <w:tcPr>
            <w:tcW w:w="567" w:type="dxa"/>
            <w:gridSpan w:val="2"/>
            <w:tcBorders>
              <w:top w:val="single" w:sz="4" w:space="0" w:color="808080" w:themeColor="background1" w:themeShade="80"/>
              <w:left w:val="single" w:sz="18" w:space="0" w:color="F7CAAC" w:themeColor="accent2" w:themeTint="66"/>
              <w:bottom w:val="single" w:sz="4" w:space="0" w:color="808080" w:themeColor="background1" w:themeShade="80"/>
              <w:right w:val="single" w:sz="18" w:space="0" w:color="C00000"/>
            </w:tcBorders>
            <w:shd w:val="clear" w:color="auto" w:fill="F7CAAC" w:themeFill="accent2" w:themeFillTint="66"/>
            <w:vAlign w:val="center"/>
          </w:tcPr>
          <w:p w:rsidR="004E02A3" w:rsidRPr="004C2151" w:rsidRDefault="004E02A3" w:rsidP="00311D8F">
            <w:pPr>
              <w:jc w:val="center"/>
              <w:rPr>
                <w:rFonts w:ascii="Arial" w:hAnsi="Arial" w:cs="Arial"/>
                <w:color w:val="C00000"/>
                <w:sz w:val="16"/>
                <w:szCs w:val="16"/>
              </w:rPr>
            </w:pPr>
            <w:r w:rsidRPr="004C2151">
              <w:rPr>
                <w:rFonts w:ascii="Arial" w:hAnsi="Arial" w:cs="Arial"/>
                <w:color w:val="C00000"/>
                <w:sz w:val="16"/>
                <w:szCs w:val="16"/>
              </w:rPr>
              <w:t>8</w:t>
            </w:r>
          </w:p>
        </w:tc>
        <w:tc>
          <w:tcPr>
            <w:tcW w:w="425" w:type="dxa"/>
            <w:gridSpan w:val="2"/>
            <w:tcBorders>
              <w:top w:val="single" w:sz="4" w:space="0" w:color="808080" w:themeColor="background1" w:themeShade="80"/>
              <w:left w:val="single" w:sz="18" w:space="0" w:color="C00000"/>
              <w:bottom w:val="single" w:sz="4" w:space="0" w:color="808080" w:themeColor="background1" w:themeShade="80"/>
              <w:right w:val="single" w:sz="18" w:space="0" w:color="F7CAAC" w:themeColor="accent2" w:themeTint="66"/>
            </w:tcBorders>
            <w:vAlign w:val="center"/>
          </w:tcPr>
          <w:p w:rsidR="004E02A3" w:rsidRPr="004C2151" w:rsidRDefault="004E02A3" w:rsidP="00311D8F">
            <w:pPr>
              <w:tabs>
                <w:tab w:val="left" w:pos="438"/>
              </w:tabs>
              <w:rPr>
                <w:rFonts w:ascii="Arial" w:hAnsi="Arial" w:cs="Arial"/>
                <w:color w:val="C00000"/>
                <w:sz w:val="16"/>
                <w:szCs w:val="16"/>
              </w:rPr>
            </w:pPr>
            <w:r w:rsidRPr="004C2151">
              <w:rPr>
                <w:rFonts w:ascii="Arial" w:hAnsi="Arial" w:cs="Arial"/>
                <w:color w:val="C00000"/>
                <w:sz w:val="16"/>
                <w:szCs w:val="16"/>
              </w:rPr>
              <w:t>9</w:t>
            </w:r>
          </w:p>
        </w:tc>
        <w:tc>
          <w:tcPr>
            <w:tcW w:w="426" w:type="dxa"/>
            <w:tcBorders>
              <w:top w:val="single" w:sz="4" w:space="0" w:color="808080" w:themeColor="background1" w:themeShade="80"/>
              <w:left w:val="single" w:sz="18" w:space="0" w:color="F7CAAC" w:themeColor="accent2" w:themeTint="66"/>
              <w:bottom w:val="single" w:sz="4" w:space="0" w:color="808080" w:themeColor="background1" w:themeShade="80"/>
              <w:right w:val="single" w:sz="18" w:space="0" w:color="C00000"/>
            </w:tcBorders>
            <w:shd w:val="clear" w:color="auto" w:fill="F7CAAC" w:themeFill="accent2" w:themeFillTint="66"/>
            <w:vAlign w:val="center"/>
          </w:tcPr>
          <w:p w:rsidR="004E02A3" w:rsidRPr="004C2151" w:rsidRDefault="004E02A3" w:rsidP="00311D8F">
            <w:pPr>
              <w:jc w:val="center"/>
              <w:rPr>
                <w:rFonts w:ascii="Arial" w:hAnsi="Arial" w:cs="Arial"/>
                <w:color w:val="C00000"/>
                <w:sz w:val="16"/>
                <w:szCs w:val="16"/>
              </w:rPr>
            </w:pPr>
            <w:r w:rsidRPr="004C2151">
              <w:rPr>
                <w:rFonts w:ascii="Arial" w:hAnsi="Arial" w:cs="Arial"/>
                <w:color w:val="C00000"/>
                <w:sz w:val="16"/>
                <w:szCs w:val="16"/>
                <w:shd w:val="clear" w:color="auto" w:fill="F7CAAC" w:themeFill="accent2" w:themeFillTint="66"/>
              </w:rPr>
              <w:t>10</w:t>
            </w:r>
          </w:p>
        </w:tc>
        <w:tc>
          <w:tcPr>
            <w:tcW w:w="314" w:type="dxa"/>
            <w:gridSpan w:val="2"/>
            <w:tcBorders>
              <w:top w:val="single" w:sz="4" w:space="0" w:color="808080" w:themeColor="background1" w:themeShade="80"/>
              <w:left w:val="single" w:sz="18" w:space="0" w:color="C00000"/>
              <w:bottom w:val="single" w:sz="4" w:space="0" w:color="808080" w:themeColor="background1" w:themeShade="80"/>
              <w:right w:val="single" w:sz="18" w:space="0" w:color="C00000"/>
            </w:tcBorders>
            <w:vAlign w:val="center"/>
          </w:tcPr>
          <w:p w:rsidR="004E02A3" w:rsidRPr="004C2151" w:rsidRDefault="004E02A3" w:rsidP="00311D8F">
            <w:pPr>
              <w:rPr>
                <w:rFonts w:ascii="Arial" w:hAnsi="Arial" w:cs="Arial"/>
                <w:color w:val="C00000"/>
                <w:sz w:val="16"/>
                <w:szCs w:val="16"/>
              </w:rPr>
            </w:pPr>
            <w:r w:rsidRPr="004C2151">
              <w:rPr>
                <w:rFonts w:ascii="Arial" w:hAnsi="Arial" w:cs="Arial"/>
                <w:color w:val="C00000"/>
                <w:sz w:val="16"/>
                <w:szCs w:val="16"/>
              </w:rPr>
              <w:t>11</w:t>
            </w:r>
          </w:p>
        </w:tc>
        <w:tc>
          <w:tcPr>
            <w:tcW w:w="1757" w:type="dxa"/>
            <w:gridSpan w:val="3"/>
            <w:tcBorders>
              <w:top w:val="single" w:sz="4" w:space="0" w:color="808080" w:themeColor="background1" w:themeShade="80"/>
              <w:left w:val="single" w:sz="18" w:space="0" w:color="C00000"/>
              <w:bottom w:val="single" w:sz="4" w:space="0" w:color="808080" w:themeColor="background1" w:themeShade="80"/>
              <w:right w:val="single" w:sz="18" w:space="0" w:color="F7CAAC" w:themeColor="accent2" w:themeTint="66"/>
            </w:tcBorders>
            <w:vAlign w:val="center"/>
          </w:tcPr>
          <w:p w:rsidR="004E02A3" w:rsidRPr="004C2151" w:rsidRDefault="004E02A3" w:rsidP="00311D8F">
            <w:pPr>
              <w:rPr>
                <w:rFonts w:ascii="Arial" w:hAnsi="Arial" w:cs="Arial"/>
                <w:color w:val="C00000"/>
                <w:sz w:val="16"/>
                <w:szCs w:val="16"/>
              </w:rPr>
            </w:pPr>
            <w:r w:rsidRPr="004C2151">
              <w:rPr>
                <w:rFonts w:ascii="Arial" w:hAnsi="Arial" w:cs="Arial"/>
                <w:color w:val="C00000"/>
                <w:sz w:val="16"/>
                <w:szCs w:val="16"/>
              </w:rPr>
              <w:t>12</w:t>
            </w:r>
          </w:p>
        </w:tc>
        <w:tc>
          <w:tcPr>
            <w:tcW w:w="688" w:type="dxa"/>
            <w:gridSpan w:val="2"/>
            <w:tcBorders>
              <w:top w:val="single" w:sz="4" w:space="0" w:color="808080" w:themeColor="background1" w:themeShade="80"/>
              <w:left w:val="single" w:sz="18" w:space="0" w:color="F7CAAC" w:themeColor="accent2" w:themeTint="66"/>
              <w:bottom w:val="single" w:sz="4" w:space="0" w:color="808080" w:themeColor="background1" w:themeShade="80"/>
              <w:right w:val="single" w:sz="4" w:space="0" w:color="808080" w:themeColor="background1" w:themeShade="80"/>
            </w:tcBorders>
            <w:shd w:val="clear" w:color="auto" w:fill="F7CAAC" w:themeFill="accent2" w:themeFillTint="66"/>
            <w:vAlign w:val="center"/>
          </w:tcPr>
          <w:p w:rsidR="004E02A3" w:rsidRPr="004C2151" w:rsidRDefault="004E02A3" w:rsidP="00311D8F">
            <w:pPr>
              <w:keepNext/>
              <w:jc w:val="center"/>
              <w:rPr>
                <w:rFonts w:ascii="Arial" w:hAnsi="Arial" w:cs="Arial"/>
                <w:color w:val="C00000"/>
                <w:sz w:val="16"/>
                <w:szCs w:val="16"/>
              </w:rPr>
            </w:pPr>
            <w:r w:rsidRPr="004C2151">
              <w:rPr>
                <w:rFonts w:ascii="Arial" w:hAnsi="Arial" w:cs="Arial"/>
                <w:color w:val="C00000"/>
                <w:sz w:val="16"/>
                <w:szCs w:val="16"/>
              </w:rPr>
              <w:t>13</w:t>
            </w:r>
          </w:p>
        </w:tc>
      </w:tr>
    </w:tbl>
    <w:p w:rsidR="004E02A3" w:rsidRPr="00CD7A4E" w:rsidRDefault="004E02A3" w:rsidP="009D4AD3">
      <w:pPr>
        <w:pStyle w:val="NoteSource"/>
        <w:jc w:val="both"/>
        <w:rPr>
          <w:rFonts w:ascii="Arial" w:hAnsi="Arial" w:cs="Arial"/>
          <w:sz w:val="20"/>
          <w:szCs w:val="20"/>
        </w:rPr>
      </w:pPr>
      <w:r w:rsidRPr="00CD7A4E">
        <w:rPr>
          <w:rFonts w:ascii="Arial" w:hAnsi="Arial" w:cs="Arial"/>
          <w:i/>
          <w:sz w:val="20"/>
          <w:szCs w:val="20"/>
        </w:rPr>
        <w:t>Note</w:t>
      </w:r>
      <w:r>
        <w:rPr>
          <w:rFonts w:ascii="Arial" w:hAnsi="Arial" w:cs="Arial"/>
          <w:sz w:val="20"/>
          <w:szCs w:val="20"/>
        </w:rPr>
        <w:t xml:space="preserve">. </w:t>
      </w:r>
      <w:r w:rsidRPr="00CD7A4E">
        <w:rPr>
          <w:rFonts w:ascii="Arial" w:hAnsi="Arial" w:cs="Arial"/>
          <w:sz w:val="20"/>
          <w:szCs w:val="20"/>
        </w:rPr>
        <w:t xml:space="preserve">(1) Christmas, (2) Epiphany, (3) Nineveh fast, (4) Lent fast, (5) Easter, (6) Ascension, (7) Pentecost, (8) Apostles fast, (9) Feast of the Apostles, (10) </w:t>
      </w:r>
      <w:proofErr w:type="spellStart"/>
      <w:r w:rsidRPr="00CD7A4E">
        <w:rPr>
          <w:rFonts w:ascii="Arial" w:hAnsi="Arial" w:cs="Arial"/>
          <w:sz w:val="20"/>
          <w:szCs w:val="20"/>
        </w:rPr>
        <w:t>Felseta</w:t>
      </w:r>
      <w:proofErr w:type="spellEnd"/>
      <w:r w:rsidRPr="00CD7A4E">
        <w:rPr>
          <w:rFonts w:ascii="Arial" w:hAnsi="Arial" w:cs="Arial"/>
          <w:sz w:val="20"/>
          <w:szCs w:val="20"/>
        </w:rPr>
        <w:t xml:space="preserve"> fast, (11) Assumption feast, (12) Ethiopian New Year, (13) Advent fast. </w:t>
      </w:r>
    </w:p>
    <w:p w:rsidR="004E02A3" w:rsidRPr="00CD7A4E" w:rsidRDefault="004E02A3" w:rsidP="009D4AD3">
      <w:pPr>
        <w:pStyle w:val="NoteSource"/>
        <w:jc w:val="both"/>
        <w:rPr>
          <w:rFonts w:ascii="Arial" w:hAnsi="Arial" w:cs="Arial"/>
          <w:sz w:val="20"/>
          <w:szCs w:val="20"/>
        </w:rPr>
      </w:pPr>
      <w:r w:rsidRPr="00CD7A4E">
        <w:rPr>
          <w:rFonts w:ascii="Arial" w:hAnsi="Arial" w:cs="Arial"/>
          <w:sz w:val="20"/>
          <w:szCs w:val="20"/>
        </w:rPr>
        <w:t>The dates for Lent, Easter, and associated fasts and feasts are not fixed calendar dates, but can vary by several weeks from year-to-year based on the lunar calendar.</w:t>
      </w:r>
    </w:p>
    <w:p w:rsidR="004E02A3" w:rsidRPr="004C2151" w:rsidRDefault="004E02A3" w:rsidP="00CD7A4E">
      <w:pPr>
        <w:pStyle w:val="FigureTitle"/>
        <w:jc w:val="both"/>
        <w:rPr>
          <w:rFonts w:ascii="Arial" w:hAnsi="Arial" w:cs="Arial"/>
          <w:b w:val="0"/>
          <w:color w:val="auto"/>
          <w:sz w:val="22"/>
        </w:rPr>
      </w:pPr>
      <w:bookmarkStart w:id="1" w:name="_Toc39136209"/>
      <w:r w:rsidRPr="004C2151">
        <w:rPr>
          <w:rFonts w:ascii="Arial" w:hAnsi="Arial" w:cs="Arial"/>
          <w:color w:val="auto"/>
          <w:sz w:val="22"/>
        </w:rPr>
        <w:t>Fig B2</w:t>
      </w:r>
      <w:r>
        <w:rPr>
          <w:rFonts w:ascii="Arial" w:hAnsi="Arial" w:cs="Arial"/>
          <w:color w:val="auto"/>
          <w:sz w:val="22"/>
        </w:rPr>
        <w:t>.</w:t>
      </w:r>
      <w:r w:rsidRPr="00CD7A4E">
        <w:rPr>
          <w:rFonts w:ascii="Arial" w:hAnsi="Arial" w:cs="Arial"/>
          <w:color w:val="auto"/>
          <w:sz w:val="22"/>
        </w:rPr>
        <w:t xml:space="preserve"> Variation in average daily milk production per cow in milk through the year, liters</w:t>
      </w:r>
      <w:bookmarkEnd w:id="1"/>
    </w:p>
    <w:p w:rsidR="004E02A3" w:rsidRPr="004C2151" w:rsidRDefault="004E02A3" w:rsidP="004C2151">
      <w:pPr>
        <w:pStyle w:val="Geenafstand"/>
        <w:jc w:val="center"/>
        <w:rPr>
          <w:rFonts w:ascii="Arial" w:hAnsi="Arial" w:cs="Arial"/>
        </w:rPr>
      </w:pPr>
      <w:r w:rsidRPr="004C2151">
        <w:rPr>
          <w:rFonts w:ascii="Arial" w:hAnsi="Arial" w:cs="Arial"/>
          <w:noProof/>
          <w:lang w:val="nl-BE" w:eastAsia="nl-BE"/>
        </w:rPr>
        <w:drawing>
          <wp:inline distT="0" distB="0" distL="0" distR="0" wp14:anchorId="7858E79B" wp14:editId="05BA16D4">
            <wp:extent cx="3055620" cy="2160539"/>
            <wp:effectExtent l="0" t="0" r="0" b="0"/>
            <wp:docPr id="251" name="Picture 251" descr="Y:\Ethiopia Value Chain\Analysis\Nutrition\Figures\Production 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thiopia Value Chain\Analysis\Nutrition\Figures\Production evolution.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3077106" cy="2175731"/>
                    </a:xfrm>
                    <a:prstGeom prst="rect">
                      <a:avLst/>
                    </a:prstGeom>
                    <a:noFill/>
                    <a:ln>
                      <a:noFill/>
                    </a:ln>
                    <a:extLst>
                      <a:ext uri="{53640926-AAD7-44D8-BBD7-CCE9431645EC}">
                        <a14:shadowObscured xmlns:a14="http://schemas.microsoft.com/office/drawing/2010/main"/>
                      </a:ext>
                    </a:extLst>
                  </pic:spPr>
                </pic:pic>
              </a:graphicData>
            </a:graphic>
          </wp:inline>
        </w:drawing>
      </w:r>
    </w:p>
    <w:p w:rsidR="004E02A3" w:rsidRPr="00CD7A4E" w:rsidRDefault="004E02A3" w:rsidP="004C2151">
      <w:pPr>
        <w:pStyle w:val="NoteSource"/>
        <w:jc w:val="center"/>
        <w:rPr>
          <w:rFonts w:ascii="Arial" w:hAnsi="Arial" w:cs="Arial"/>
          <w:sz w:val="20"/>
          <w:szCs w:val="20"/>
        </w:rPr>
      </w:pPr>
      <w:r w:rsidRPr="00CD7A4E">
        <w:rPr>
          <w:rFonts w:ascii="Arial" w:hAnsi="Arial" w:cs="Arial"/>
          <w:i/>
          <w:sz w:val="20"/>
          <w:szCs w:val="20"/>
        </w:rPr>
        <w:t>Note</w:t>
      </w:r>
      <w:r>
        <w:rPr>
          <w:rFonts w:ascii="Arial" w:hAnsi="Arial" w:cs="Arial"/>
          <w:sz w:val="20"/>
          <w:szCs w:val="20"/>
        </w:rPr>
        <w:t xml:space="preserve">. </w:t>
      </w:r>
      <w:r w:rsidRPr="00CD7A4E">
        <w:rPr>
          <w:rFonts w:ascii="Arial" w:hAnsi="Arial" w:cs="Arial"/>
          <w:sz w:val="20"/>
          <w:szCs w:val="20"/>
        </w:rPr>
        <w:t>Whisker-plots around points are 95-percent confidence intervals.</w:t>
      </w:r>
    </w:p>
    <w:p w:rsidR="004E02A3" w:rsidRPr="004C2151" w:rsidRDefault="004E02A3" w:rsidP="004C2151">
      <w:pPr>
        <w:pStyle w:val="FigureTitle"/>
        <w:rPr>
          <w:rFonts w:ascii="Arial" w:hAnsi="Arial" w:cs="Arial"/>
          <w:b w:val="0"/>
          <w:color w:val="auto"/>
          <w:sz w:val="22"/>
        </w:rPr>
      </w:pPr>
      <w:bookmarkStart w:id="2" w:name="_Toc39135105"/>
      <w:bookmarkStart w:id="3" w:name="_Toc39136210"/>
      <w:r w:rsidRPr="004C2151">
        <w:rPr>
          <w:rFonts w:ascii="Arial" w:hAnsi="Arial" w:cs="Arial"/>
          <w:color w:val="auto"/>
          <w:sz w:val="22"/>
        </w:rPr>
        <w:lastRenderedPageBreak/>
        <w:t>Fig B3</w:t>
      </w:r>
      <w:r>
        <w:rPr>
          <w:rFonts w:ascii="Arial" w:hAnsi="Arial" w:cs="Arial"/>
          <w:color w:val="auto"/>
          <w:sz w:val="22"/>
        </w:rPr>
        <w:t>.</w:t>
      </w:r>
      <w:r w:rsidRPr="00CD7A4E">
        <w:rPr>
          <w:rFonts w:ascii="Arial" w:hAnsi="Arial" w:cs="Arial"/>
          <w:color w:val="auto"/>
          <w:sz w:val="22"/>
        </w:rPr>
        <w:t xml:space="preserve"> Variation in local and cross-bred cows in milk through the year</w:t>
      </w:r>
      <w:bookmarkEnd w:id="2"/>
      <w:r w:rsidRPr="00CD7A4E">
        <w:rPr>
          <w:rFonts w:ascii="Arial" w:hAnsi="Arial" w:cs="Arial"/>
          <w:color w:val="auto"/>
          <w:sz w:val="22"/>
        </w:rPr>
        <w:t>, share</w:t>
      </w:r>
      <w:bookmarkEnd w:id="3"/>
    </w:p>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4962"/>
        <w:gridCol w:w="4394"/>
      </w:tblGrid>
      <w:tr w:rsidR="004E02A3" w:rsidRPr="004C2151" w:rsidTr="00311D8F">
        <w:tc>
          <w:tcPr>
            <w:tcW w:w="4962" w:type="dxa"/>
          </w:tcPr>
          <w:p w:rsidR="004E02A3" w:rsidRPr="009D4AD3" w:rsidRDefault="004E02A3" w:rsidP="00311D8F">
            <w:pPr>
              <w:pStyle w:val="Tablecolumnheading"/>
              <w:keepNext/>
              <w:rPr>
                <w:rStyle w:val="Zwaar"/>
                <w:b/>
                <w:bCs w:val="0"/>
                <w:color w:val="auto"/>
                <w:sz w:val="22"/>
                <w:szCs w:val="20"/>
              </w:rPr>
            </w:pPr>
            <w:r w:rsidRPr="009D4AD3">
              <w:rPr>
                <w:rStyle w:val="Zwaar"/>
                <w:b/>
                <w:color w:val="auto"/>
                <w:sz w:val="22"/>
                <w:szCs w:val="20"/>
              </w:rPr>
              <w:t>Local</w:t>
            </w:r>
          </w:p>
        </w:tc>
        <w:tc>
          <w:tcPr>
            <w:tcW w:w="4394" w:type="dxa"/>
          </w:tcPr>
          <w:p w:rsidR="004E02A3" w:rsidRPr="009D4AD3" w:rsidRDefault="004E02A3" w:rsidP="00311D8F">
            <w:pPr>
              <w:pStyle w:val="Tablecolumnheading"/>
              <w:rPr>
                <w:rStyle w:val="Zwaar"/>
                <w:b/>
                <w:bCs w:val="0"/>
                <w:color w:val="auto"/>
                <w:sz w:val="22"/>
                <w:szCs w:val="20"/>
              </w:rPr>
            </w:pPr>
            <w:r w:rsidRPr="009D4AD3">
              <w:rPr>
                <w:rStyle w:val="Zwaar"/>
                <w:b/>
                <w:color w:val="auto"/>
                <w:sz w:val="22"/>
                <w:szCs w:val="20"/>
              </w:rPr>
              <w:t>Cross-bred</w:t>
            </w:r>
          </w:p>
        </w:tc>
      </w:tr>
      <w:tr w:rsidR="004E02A3" w:rsidRPr="004C2151" w:rsidTr="00311D8F">
        <w:tc>
          <w:tcPr>
            <w:tcW w:w="4962" w:type="dxa"/>
          </w:tcPr>
          <w:p w:rsidR="004E02A3" w:rsidRPr="004C2151" w:rsidRDefault="004E02A3" w:rsidP="00311D8F">
            <w:pPr>
              <w:pStyle w:val="Geenafstand"/>
              <w:keepNext/>
              <w:rPr>
                <w:rFonts w:ascii="Arial" w:hAnsi="Arial" w:cs="Arial"/>
              </w:rPr>
            </w:pPr>
            <w:r w:rsidRPr="004C2151">
              <w:rPr>
                <w:rFonts w:ascii="Arial" w:hAnsi="Arial" w:cs="Arial"/>
                <w:noProof/>
                <w:sz w:val="24"/>
                <w:lang w:val="nl-BE" w:eastAsia="nl-BE"/>
              </w:rPr>
              <w:drawing>
                <wp:anchor distT="0" distB="0" distL="114300" distR="114300" simplePos="0" relativeHeight="251660288" behindDoc="1" locked="0" layoutInCell="1" allowOverlap="1" wp14:anchorId="4F0A7DAF" wp14:editId="60848507">
                  <wp:simplePos x="0" y="0"/>
                  <wp:positionH relativeFrom="column">
                    <wp:posOffset>449580</wp:posOffset>
                  </wp:positionH>
                  <wp:positionV relativeFrom="paragraph">
                    <wp:posOffset>0</wp:posOffset>
                  </wp:positionV>
                  <wp:extent cx="2237379" cy="2989580"/>
                  <wp:effectExtent l="0" t="0" r="0" b="1270"/>
                  <wp:wrapTight wrapText="bothSides">
                    <wp:wrapPolygon edited="0">
                      <wp:start x="0" y="0"/>
                      <wp:lineTo x="0" y="21472"/>
                      <wp:lineTo x="21336" y="21472"/>
                      <wp:lineTo x="21336" y="0"/>
                      <wp:lineTo x="0" y="0"/>
                    </wp:wrapPolygon>
                  </wp:wrapTight>
                  <wp:docPr id="15" name="Picture 4" descr="Y:\Ethiopia Value Chain\Analysis\Nutrition\Figures\In milk 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thiopia Value Chain\Analysis\Nutrition\Figures\In milk evolution.png"/>
                          <pic:cNvPicPr>
                            <a:picLocks noChangeAspect="1" noChangeArrowheads="1"/>
                          </pic:cNvPicPr>
                        </pic:nvPicPr>
                        <pic:blipFill rotWithShape="1">
                          <a:blip r:embed="rId7">
                            <a:extLst>
                              <a:ext uri="{28A0092B-C50C-407E-A947-70E740481C1C}">
                                <a14:useLocalDpi xmlns:a14="http://schemas.microsoft.com/office/drawing/2010/main" val="0"/>
                              </a:ext>
                            </a:extLst>
                          </a:blip>
                          <a:srcRect/>
                          <a:stretch/>
                        </pic:blipFill>
                        <pic:spPr bwMode="auto">
                          <a:xfrm>
                            <a:off x="0" y="0"/>
                            <a:ext cx="2237379" cy="29895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394" w:type="dxa"/>
          </w:tcPr>
          <w:p w:rsidR="004E02A3" w:rsidRPr="004C2151" w:rsidRDefault="004E02A3" w:rsidP="00311D8F">
            <w:pPr>
              <w:pStyle w:val="Geenafstand"/>
              <w:rPr>
                <w:rFonts w:ascii="Arial" w:hAnsi="Arial" w:cs="Arial"/>
              </w:rPr>
            </w:pPr>
            <w:r w:rsidRPr="004C2151">
              <w:rPr>
                <w:rFonts w:ascii="Arial" w:hAnsi="Arial" w:cs="Arial"/>
                <w:noProof/>
                <w:sz w:val="24"/>
                <w:lang w:val="nl-BE" w:eastAsia="nl-BE"/>
              </w:rPr>
              <w:drawing>
                <wp:anchor distT="0" distB="0" distL="114300" distR="114300" simplePos="0" relativeHeight="251659264" behindDoc="1" locked="0" layoutInCell="1" allowOverlap="1" wp14:anchorId="56F0514E" wp14:editId="5C6C0F86">
                  <wp:simplePos x="0" y="0"/>
                  <wp:positionH relativeFrom="column">
                    <wp:posOffset>202565</wp:posOffset>
                  </wp:positionH>
                  <wp:positionV relativeFrom="paragraph">
                    <wp:posOffset>0</wp:posOffset>
                  </wp:positionV>
                  <wp:extent cx="2279101" cy="2988000"/>
                  <wp:effectExtent l="0" t="0" r="6985" b="3175"/>
                  <wp:wrapTight wrapText="bothSides">
                    <wp:wrapPolygon edited="0">
                      <wp:start x="0" y="0"/>
                      <wp:lineTo x="0" y="21485"/>
                      <wp:lineTo x="21486" y="21485"/>
                      <wp:lineTo x="21486" y="0"/>
                      <wp:lineTo x="0" y="0"/>
                    </wp:wrapPolygon>
                  </wp:wrapTight>
                  <wp:docPr id="16" name="Picture 4" descr="Y:\Ethiopia Value Chain\Analysis\Nutrition\Figures\In milk 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thiopia Value Chain\Analysis\Nutrition\Figures\In milk evolution.pn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279101" cy="298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E02A3" w:rsidRPr="00CD7A4E" w:rsidTr="00311D8F">
        <w:tc>
          <w:tcPr>
            <w:tcW w:w="9356" w:type="dxa"/>
            <w:gridSpan w:val="2"/>
          </w:tcPr>
          <w:p w:rsidR="004E02A3" w:rsidRPr="00CD7A4E" w:rsidRDefault="004E02A3" w:rsidP="00311D8F">
            <w:pPr>
              <w:pStyle w:val="TableText"/>
              <w:jc w:val="center"/>
              <w:rPr>
                <w:rFonts w:cs="Arial"/>
                <w:sz w:val="20"/>
                <w:szCs w:val="20"/>
              </w:rPr>
            </w:pPr>
            <w:r w:rsidRPr="00CD7A4E">
              <w:rPr>
                <w:rFonts w:cs="Arial"/>
                <w:sz w:val="20"/>
                <w:szCs w:val="20"/>
              </w:rPr>
              <w:t>(1) Jan-Feb; (2) Mar-Apr; (3) May-Jun; (4) Jul-Aug; (5) Sep-Oct; (6) Nov-Dec.</w:t>
            </w:r>
          </w:p>
        </w:tc>
      </w:tr>
    </w:tbl>
    <w:p w:rsidR="004E02A3" w:rsidRDefault="004E02A3" w:rsidP="005D53B6">
      <w:pPr>
        <w:pStyle w:val="NoteSource"/>
        <w:jc w:val="center"/>
        <w:rPr>
          <w:rFonts w:ascii="Arial" w:hAnsi="Arial" w:cs="Arial"/>
          <w:sz w:val="20"/>
          <w:szCs w:val="20"/>
        </w:rPr>
      </w:pPr>
      <w:r w:rsidRPr="00CD7A4E">
        <w:rPr>
          <w:rFonts w:ascii="Arial" w:hAnsi="Arial" w:cs="Arial"/>
          <w:i/>
          <w:sz w:val="20"/>
          <w:szCs w:val="20"/>
        </w:rPr>
        <w:t>Note</w:t>
      </w:r>
      <w:r>
        <w:rPr>
          <w:rFonts w:ascii="Arial" w:hAnsi="Arial" w:cs="Arial"/>
          <w:sz w:val="20"/>
          <w:szCs w:val="20"/>
        </w:rPr>
        <w:t>.</w:t>
      </w:r>
      <w:r w:rsidRPr="00CD7A4E">
        <w:rPr>
          <w:rFonts w:ascii="Arial" w:hAnsi="Arial" w:cs="Arial"/>
          <w:sz w:val="20"/>
          <w:szCs w:val="20"/>
        </w:rPr>
        <w:t xml:space="preserve"> Whisker-plots around points are 95-percent confidence intervals.</w:t>
      </w:r>
    </w:p>
    <w:p w:rsidR="004E02A3" w:rsidRDefault="004E02A3" w:rsidP="005D53B6">
      <w:pPr>
        <w:pStyle w:val="NoteSource"/>
        <w:jc w:val="center"/>
        <w:rPr>
          <w:rFonts w:ascii="Arial" w:hAnsi="Arial" w:cs="Arial"/>
          <w:b/>
          <w:sz w:val="24"/>
        </w:rPr>
      </w:pPr>
    </w:p>
    <w:p w:rsidR="004E02A3" w:rsidRPr="004E02A3" w:rsidRDefault="004E02A3" w:rsidP="004E02A3">
      <w:pPr>
        <w:pStyle w:val="NoteSource"/>
        <w:jc w:val="both"/>
        <w:rPr>
          <w:rFonts w:ascii="Arial" w:hAnsi="Arial" w:cs="Arial"/>
          <w:b/>
          <w:sz w:val="24"/>
        </w:rPr>
      </w:pPr>
    </w:p>
    <w:p w:rsidR="004E02A3" w:rsidRPr="004E02A3" w:rsidRDefault="004E02A3" w:rsidP="004E02A3">
      <w:pPr>
        <w:pStyle w:val="EndNoteBibliography"/>
        <w:spacing w:after="0"/>
        <w:jc w:val="both"/>
        <w:rPr>
          <w:rFonts w:ascii="Arial" w:hAnsi="Arial" w:cs="Arial"/>
        </w:rPr>
      </w:pPr>
      <w:r w:rsidRPr="004E02A3">
        <w:rPr>
          <w:rFonts w:ascii="Arial" w:hAnsi="Arial" w:cs="Arial"/>
        </w:rPr>
        <w:t>1.</w:t>
      </w:r>
      <w:r w:rsidRPr="004E02A3">
        <w:rPr>
          <w:rFonts w:ascii="Arial" w:hAnsi="Arial" w:cs="Arial"/>
        </w:rPr>
        <w:tab/>
        <w:t>Gizaw S, Ebro A, Tesfaye Y, Mekuriaw Z, Mekasha Y, Hoekstra D, et al. Feed resources in the highlands of Ethiopia: A value chain assessment and intervention options. Nairobi: International Livestock Research Institute (ILRI); 2017.</w:t>
      </w:r>
    </w:p>
    <w:p w:rsidR="004E02A3" w:rsidRPr="004E02A3" w:rsidRDefault="004E02A3" w:rsidP="004E02A3">
      <w:pPr>
        <w:pStyle w:val="EndNoteBibliography"/>
        <w:jc w:val="both"/>
        <w:rPr>
          <w:rFonts w:ascii="Arial" w:hAnsi="Arial" w:cs="Arial"/>
        </w:rPr>
      </w:pPr>
      <w:r w:rsidRPr="004E02A3">
        <w:rPr>
          <w:rFonts w:ascii="Arial" w:hAnsi="Arial" w:cs="Arial"/>
        </w:rPr>
        <w:t>2.</w:t>
      </w:r>
      <w:r w:rsidRPr="004E02A3">
        <w:rPr>
          <w:rFonts w:ascii="Arial" w:hAnsi="Arial" w:cs="Arial"/>
        </w:rPr>
        <w:tab/>
        <w:t>Dirks R. Social responses during severe food shortages and famine Current Anthropology. 1980;21(1):21-44.</w:t>
      </w:r>
      <w:bookmarkStart w:id="4" w:name="_GoBack"/>
      <w:bookmarkEnd w:id="4"/>
    </w:p>
    <w:p w:rsidR="004E02A3" w:rsidRPr="004C2151" w:rsidRDefault="004E02A3" w:rsidP="005D53B6">
      <w:pPr>
        <w:jc w:val="both"/>
        <w:rPr>
          <w:rFonts w:ascii="Arial" w:hAnsi="Arial" w:cs="Arial"/>
        </w:rPr>
      </w:pPr>
    </w:p>
    <w:p w:rsidR="00CB7F9B" w:rsidRDefault="00CB7F9B"/>
    <w:sectPr w:rsidR="00CB7F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AD0" w:rsidRDefault="00976AD0" w:rsidP="004E02A3">
      <w:pPr>
        <w:spacing w:after="0" w:line="240" w:lineRule="auto"/>
      </w:pPr>
      <w:r>
        <w:separator/>
      </w:r>
    </w:p>
  </w:endnote>
  <w:endnote w:type="continuationSeparator" w:id="0">
    <w:p w:rsidR="00976AD0" w:rsidRDefault="00976AD0" w:rsidP="004E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AD0" w:rsidRDefault="00976AD0" w:rsidP="004E02A3">
      <w:pPr>
        <w:spacing w:after="0" w:line="240" w:lineRule="auto"/>
      </w:pPr>
      <w:r>
        <w:separator/>
      </w:r>
    </w:p>
  </w:footnote>
  <w:footnote w:type="continuationSeparator" w:id="0">
    <w:p w:rsidR="00976AD0" w:rsidRDefault="00976AD0" w:rsidP="004E02A3">
      <w:pPr>
        <w:spacing w:after="0" w:line="240" w:lineRule="auto"/>
      </w:pPr>
      <w:r>
        <w:continuationSeparator/>
      </w:r>
    </w:p>
  </w:footnote>
  <w:footnote w:id="1">
    <w:p w:rsidR="004E02A3" w:rsidRPr="009D4AD3" w:rsidRDefault="004E02A3" w:rsidP="004C2151">
      <w:pPr>
        <w:pStyle w:val="Voetnoottekst"/>
        <w:jc w:val="both"/>
        <w:rPr>
          <w:rFonts w:ascii="Arial" w:hAnsi="Arial" w:cs="Arial"/>
          <w:sz w:val="20"/>
        </w:rPr>
      </w:pPr>
      <w:r w:rsidRPr="009D4AD3">
        <w:rPr>
          <w:rStyle w:val="Voetnootmarkering"/>
          <w:sz w:val="20"/>
        </w:rPr>
        <w:footnoteRef/>
      </w:r>
      <w:r w:rsidRPr="009D4AD3">
        <w:rPr>
          <w:rFonts w:ascii="Arial" w:hAnsi="Arial" w:cs="Arial"/>
          <w:sz w:val="20"/>
        </w:rPr>
        <w:t xml:space="preserve"> Alternatively, one could argue that it is not producers who adjust to the fasting periods, but that Orthodox fasting practices may have emerged in famine-prone Ethiopia to help reduce the pressure on food supply, as suggested by </w:t>
      </w:r>
      <w:r>
        <w:rPr>
          <w:rFonts w:ascii="Arial" w:hAnsi="Arial" w:cs="Arial"/>
          <w:noProof/>
          <w:sz w:val="20"/>
        </w:rPr>
        <w:t>Dirks [2]</w:t>
      </w:r>
      <w:r w:rsidRPr="009D4AD3">
        <w:rPr>
          <w:rFonts w:ascii="Arial" w:hAnsi="Arial" w:cs="Arial"/>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E02A3"/>
    <w:rsid w:val="001702E1"/>
    <w:rsid w:val="004E02A3"/>
    <w:rsid w:val="00665A23"/>
    <w:rsid w:val="00976AD0"/>
    <w:rsid w:val="00A212D0"/>
    <w:rsid w:val="00CB7F9B"/>
    <w:rsid w:val="00E71265"/>
    <w:rsid w:val="00EF5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3FE1"/>
  <w15:chartTrackingRefBased/>
  <w15:docId w15:val="{C98B4908-BF84-4719-93FB-7968BF3F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7"/>
    <w:qFormat/>
    <w:rsid w:val="004E02A3"/>
    <w:pPr>
      <w:spacing w:after="180" w:line="276" w:lineRule="auto"/>
    </w:pPr>
    <w:rPr>
      <w:rFonts w:eastAsiaTheme="minorEastAsia"/>
      <w:lang w:val="en-US"/>
    </w:rPr>
  </w:style>
  <w:style w:type="character" w:default="1" w:styleId="Standaardalinea-lettertype">
    <w:name w:val="Default Paragraph Font"/>
    <w:uiPriority w:val="1"/>
    <w:unhideWhenUsed/>
    <w:rsid w:val="004E02A3"/>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E02A3"/>
  </w:style>
  <w:style w:type="table" w:styleId="Tabelraster">
    <w:name w:val="Table Grid"/>
    <w:basedOn w:val="Standaardtabel"/>
    <w:uiPriority w:val="39"/>
    <w:rsid w:val="004E02A3"/>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ttetekst">
    <w:name w:val="Body Text"/>
    <w:basedOn w:val="Standaard"/>
    <w:next w:val="Plattetekstinspringen"/>
    <w:link w:val="PlattetekstChar"/>
    <w:uiPriority w:val="8"/>
    <w:qFormat/>
    <w:rsid w:val="004E02A3"/>
    <w:pPr>
      <w:suppressAutoHyphens/>
      <w:spacing w:after="120"/>
    </w:pPr>
    <w:rPr>
      <w:rFonts w:cs="Times New Roman"/>
    </w:rPr>
  </w:style>
  <w:style w:type="character" w:customStyle="1" w:styleId="PlattetekstChar">
    <w:name w:val="Platte tekst Char"/>
    <w:basedOn w:val="Standaardalinea-lettertype"/>
    <w:link w:val="Plattetekst"/>
    <w:uiPriority w:val="8"/>
    <w:rsid w:val="004E02A3"/>
    <w:rPr>
      <w:rFonts w:eastAsiaTheme="minorEastAsia" w:cs="Times New Roman"/>
      <w:lang w:val="en-US"/>
    </w:rPr>
  </w:style>
  <w:style w:type="character" w:styleId="Zwaar">
    <w:name w:val="Strong"/>
    <w:basedOn w:val="Standaardalinea-lettertype"/>
    <w:uiPriority w:val="22"/>
    <w:qFormat/>
    <w:rsid w:val="004E02A3"/>
    <w:rPr>
      <w:b/>
      <w:bCs/>
      <w:color w:val="3D5567"/>
    </w:rPr>
  </w:style>
  <w:style w:type="paragraph" w:styleId="Voetnoottekst">
    <w:name w:val="footnote text"/>
    <w:aliases w:val="DSE note,DSE note1,DSE note2,DSE note3,DSE note4,DSE note5,DSE note6,DSE note7,DSE note8,DSE note9,DSE note10,DSE note11,DSE note21,DSE note31,DSE note41,DSE note51,DSE note61,DSE note71,DSE note81,DSE note91,DSE note101,DSE note12,ft,fn,f"/>
    <w:basedOn w:val="Standaard"/>
    <w:link w:val="VoetnoottekstChar"/>
    <w:uiPriority w:val="99"/>
    <w:qFormat/>
    <w:rsid w:val="004E02A3"/>
    <w:pPr>
      <w:suppressAutoHyphens/>
      <w:spacing w:before="60" w:after="0" w:line="240" w:lineRule="auto"/>
    </w:pPr>
    <w:rPr>
      <w:sz w:val="16"/>
    </w:rPr>
  </w:style>
  <w:style w:type="character" w:customStyle="1" w:styleId="VoetnoottekstChar">
    <w:name w:val="Voetnoottekst Char"/>
    <w:aliases w:val="DSE note Char,DSE note1 Char,DSE note2 Char,DSE note3 Char,DSE note4 Char,DSE note5 Char,DSE note6 Char,DSE note7 Char,DSE note8 Char,DSE note9 Char,DSE note10 Char,DSE note11 Char,DSE note21 Char,DSE note31 Char,DSE note41 Char"/>
    <w:basedOn w:val="Standaardalinea-lettertype"/>
    <w:link w:val="Voetnoottekst"/>
    <w:uiPriority w:val="99"/>
    <w:rsid w:val="004E02A3"/>
    <w:rPr>
      <w:rFonts w:eastAsiaTheme="minorEastAsia"/>
      <w:sz w:val="16"/>
      <w:lang w:val="en-US"/>
    </w:rPr>
  </w:style>
  <w:style w:type="character" w:styleId="Voetnootmarkering">
    <w:name w:val="footnote reference"/>
    <w:aliases w:val="Footnote reference Char,ftref,heading1,16 Point Char Char Char,Superscript 6 Point Char Char Char,ftref Char Char Char1,BVI fnr Char Char Char Char Char Char Char Char Char Char Char Char Char Char Char Char Char Char1 Char Char Char"/>
    <w:basedOn w:val="Standaardalinea-lettertype"/>
    <w:link w:val="FootnoteReference1"/>
    <w:uiPriority w:val="99"/>
    <w:qFormat/>
    <w:rsid w:val="004E02A3"/>
    <w:rPr>
      <w:rFonts w:ascii="Arial" w:hAnsi="Arial" w:cs="Arial"/>
      <w:szCs w:val="16"/>
      <w:vertAlign w:val="superscript"/>
    </w:rPr>
  </w:style>
  <w:style w:type="paragraph" w:styleId="Geenafstand">
    <w:name w:val="No Spacing"/>
    <w:link w:val="GeenafstandChar"/>
    <w:uiPriority w:val="99"/>
    <w:unhideWhenUsed/>
    <w:rsid w:val="004E02A3"/>
    <w:pPr>
      <w:spacing w:after="0" w:line="240" w:lineRule="auto"/>
    </w:pPr>
    <w:rPr>
      <w:rFonts w:eastAsiaTheme="minorEastAsia" w:cs="Times New Roman"/>
      <w:szCs w:val="24"/>
      <w:lang w:val="en-US"/>
    </w:rPr>
  </w:style>
  <w:style w:type="paragraph" w:styleId="Plattetekstinspringen">
    <w:name w:val="Body Text Indent"/>
    <w:basedOn w:val="Plattetekst"/>
    <w:link w:val="PlattetekstinspringenChar"/>
    <w:uiPriority w:val="8"/>
    <w:qFormat/>
    <w:rsid w:val="004E02A3"/>
    <w:pPr>
      <w:ind w:firstLine="357"/>
    </w:pPr>
    <w:rPr>
      <w:rFonts w:cstheme="minorBidi"/>
    </w:rPr>
  </w:style>
  <w:style w:type="character" w:customStyle="1" w:styleId="PlattetekstinspringenChar">
    <w:name w:val="Platte tekst inspringen Char"/>
    <w:basedOn w:val="Standaardalinea-lettertype"/>
    <w:link w:val="Plattetekstinspringen"/>
    <w:uiPriority w:val="8"/>
    <w:rsid w:val="004E02A3"/>
    <w:rPr>
      <w:rFonts w:eastAsiaTheme="minorEastAsia"/>
      <w:lang w:val="en-US"/>
    </w:rPr>
  </w:style>
  <w:style w:type="paragraph" w:customStyle="1" w:styleId="NoteSource">
    <w:name w:val="Note/Source"/>
    <w:basedOn w:val="Standaard"/>
    <w:uiPriority w:val="13"/>
    <w:qFormat/>
    <w:rsid w:val="004E02A3"/>
    <w:pPr>
      <w:suppressAutoHyphens/>
      <w:spacing w:before="60" w:after="240" w:line="240" w:lineRule="auto"/>
      <w:contextualSpacing/>
    </w:pPr>
    <w:rPr>
      <w:rFonts w:cstheme="minorHAnsi"/>
      <w:sz w:val="16"/>
    </w:rPr>
  </w:style>
  <w:style w:type="character" w:customStyle="1" w:styleId="GeenafstandChar">
    <w:name w:val="Geen afstand Char"/>
    <w:basedOn w:val="Standaardalinea-lettertype"/>
    <w:link w:val="Geenafstand"/>
    <w:uiPriority w:val="99"/>
    <w:rsid w:val="004E02A3"/>
    <w:rPr>
      <w:rFonts w:eastAsiaTheme="minorEastAsia" w:cs="Times New Roman"/>
      <w:szCs w:val="24"/>
      <w:lang w:val="en-US"/>
    </w:rPr>
  </w:style>
  <w:style w:type="paragraph" w:customStyle="1" w:styleId="FootnoteReference1">
    <w:name w:val="Footnote Reference1"/>
    <w:basedOn w:val="Standaard"/>
    <w:link w:val="Voetnootmarkering"/>
    <w:uiPriority w:val="99"/>
    <w:rsid w:val="004E02A3"/>
    <w:pPr>
      <w:spacing w:before="120" w:after="60" w:line="240" w:lineRule="auto"/>
      <w:jc w:val="both"/>
    </w:pPr>
    <w:rPr>
      <w:rFonts w:ascii="Arial" w:eastAsiaTheme="minorHAnsi" w:hAnsi="Arial" w:cs="Arial"/>
      <w:szCs w:val="16"/>
      <w:vertAlign w:val="superscript"/>
      <w:lang w:val="nl-BE"/>
    </w:rPr>
  </w:style>
  <w:style w:type="paragraph" w:customStyle="1" w:styleId="FigureTitle">
    <w:name w:val="Figure Title"/>
    <w:basedOn w:val="Bijschrift"/>
    <w:link w:val="FigureTitleChar"/>
    <w:qFormat/>
    <w:rsid w:val="004E02A3"/>
    <w:pPr>
      <w:keepNext/>
      <w:keepLines/>
      <w:suppressAutoHyphens/>
      <w:spacing w:before="180" w:after="60" w:line="264" w:lineRule="auto"/>
      <w:ind w:left="357" w:hanging="357"/>
      <w:outlineLvl w:val="3"/>
    </w:pPr>
    <w:rPr>
      <w:rFonts w:asciiTheme="majorHAnsi" w:eastAsiaTheme="majorEastAsia" w:hAnsiTheme="majorHAnsi"/>
      <w:b/>
      <w:i w:val="0"/>
      <w:color w:val="70AD47" w:themeColor="accent6"/>
      <w:sz w:val="24"/>
    </w:rPr>
  </w:style>
  <w:style w:type="character" w:customStyle="1" w:styleId="FigureTitleChar">
    <w:name w:val="Figure Title Char"/>
    <w:basedOn w:val="Standaardalinea-lettertype"/>
    <w:link w:val="FigureTitle"/>
    <w:locked/>
    <w:rsid w:val="004E02A3"/>
    <w:rPr>
      <w:rFonts w:asciiTheme="majorHAnsi" w:eastAsiaTheme="majorEastAsia" w:hAnsiTheme="majorHAnsi"/>
      <w:b/>
      <w:iCs/>
      <w:color w:val="70AD47" w:themeColor="accent6"/>
      <w:sz w:val="24"/>
      <w:szCs w:val="18"/>
      <w:lang w:val="en-US"/>
    </w:rPr>
  </w:style>
  <w:style w:type="paragraph" w:customStyle="1" w:styleId="TableText">
    <w:name w:val="Table Text"/>
    <w:basedOn w:val="Standaard"/>
    <w:qFormat/>
    <w:rsid w:val="004E02A3"/>
    <w:pPr>
      <w:suppressAutoHyphens/>
      <w:spacing w:after="0" w:line="240" w:lineRule="auto"/>
    </w:pPr>
    <w:rPr>
      <w:rFonts w:ascii="Arial" w:hAnsi="Arial" w:cstheme="minorHAnsi"/>
      <w:sz w:val="18"/>
      <w:szCs w:val="16"/>
    </w:rPr>
  </w:style>
  <w:style w:type="paragraph" w:customStyle="1" w:styleId="Tablecolumnheading">
    <w:name w:val="Table column heading"/>
    <w:basedOn w:val="TableText"/>
    <w:qFormat/>
    <w:rsid w:val="004E02A3"/>
    <w:pPr>
      <w:jc w:val="center"/>
    </w:pPr>
    <w:rPr>
      <w:rFonts w:cs="Arial"/>
      <w:b/>
    </w:rPr>
  </w:style>
  <w:style w:type="paragraph" w:styleId="Bijschrift">
    <w:name w:val="caption"/>
    <w:basedOn w:val="Standaard"/>
    <w:next w:val="Standaard"/>
    <w:uiPriority w:val="35"/>
    <w:semiHidden/>
    <w:unhideWhenUsed/>
    <w:qFormat/>
    <w:rsid w:val="004E02A3"/>
    <w:pPr>
      <w:spacing w:after="200" w:line="240" w:lineRule="auto"/>
    </w:pPr>
    <w:rPr>
      <w:i/>
      <w:iCs/>
      <w:color w:val="44546A" w:themeColor="text2"/>
      <w:sz w:val="18"/>
      <w:szCs w:val="18"/>
    </w:rPr>
  </w:style>
  <w:style w:type="paragraph" w:customStyle="1" w:styleId="EndNoteBibliographyTitle">
    <w:name w:val="EndNote Bibliography Title"/>
    <w:basedOn w:val="Standaard"/>
    <w:link w:val="EndNoteBibliographyTitleChar"/>
    <w:rsid w:val="004E02A3"/>
    <w:pPr>
      <w:spacing w:after="0"/>
      <w:jc w:val="center"/>
    </w:pPr>
    <w:rPr>
      <w:rFonts w:ascii="Calibri" w:hAnsi="Calibri" w:cs="Calibri"/>
      <w:noProof/>
    </w:rPr>
  </w:style>
  <w:style w:type="character" w:customStyle="1" w:styleId="EndNoteBibliographyTitleChar">
    <w:name w:val="EndNote Bibliography Title Char"/>
    <w:basedOn w:val="PlattetekstinspringenChar"/>
    <w:link w:val="EndNoteBibliographyTitle"/>
    <w:rsid w:val="004E02A3"/>
    <w:rPr>
      <w:rFonts w:ascii="Calibri" w:eastAsiaTheme="minorEastAsia" w:hAnsi="Calibri" w:cs="Calibri"/>
      <w:noProof/>
      <w:lang w:val="en-US"/>
    </w:rPr>
  </w:style>
  <w:style w:type="paragraph" w:customStyle="1" w:styleId="EndNoteBibliography">
    <w:name w:val="EndNote Bibliography"/>
    <w:basedOn w:val="Standaard"/>
    <w:link w:val="EndNoteBibliographyChar"/>
    <w:rsid w:val="004E02A3"/>
    <w:pPr>
      <w:spacing w:line="240" w:lineRule="auto"/>
    </w:pPr>
    <w:rPr>
      <w:rFonts w:ascii="Calibri" w:hAnsi="Calibri" w:cs="Calibri"/>
      <w:noProof/>
    </w:rPr>
  </w:style>
  <w:style w:type="character" w:customStyle="1" w:styleId="EndNoteBibliographyChar">
    <w:name w:val="EndNote Bibliography Char"/>
    <w:basedOn w:val="PlattetekstinspringenChar"/>
    <w:link w:val="EndNoteBibliography"/>
    <w:rsid w:val="004E02A3"/>
    <w:rPr>
      <w:rFonts w:ascii="Calibri" w:eastAsiaTheme="minorEastAsia"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3631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D'Haene</dc:creator>
  <cp:keywords/>
  <dc:description/>
  <cp:lastModifiedBy>Eline D'Haene</cp:lastModifiedBy>
  <cp:revision>1</cp:revision>
  <dcterms:created xsi:type="dcterms:W3CDTF">2021-04-02T13:43:00Z</dcterms:created>
  <dcterms:modified xsi:type="dcterms:W3CDTF">2021-04-02T13:44:00Z</dcterms:modified>
</cp:coreProperties>
</file>