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EB" w:rsidRDefault="00B25AEB" w:rsidP="00B25AEB">
      <w:r w:rsidRPr="004B7809">
        <w:rPr>
          <w:b/>
          <w:bCs/>
        </w:rPr>
        <w:t xml:space="preserve">S1 Table. </w:t>
      </w:r>
      <w:r>
        <w:rPr>
          <w:b/>
          <w:bCs/>
        </w:rPr>
        <w:t xml:space="preserve"> </w:t>
      </w:r>
      <w:r w:rsidRPr="004B7809">
        <w:rPr>
          <w:b/>
          <w:bCs/>
        </w:rPr>
        <w:t>Model results for soil carbon content.</w:t>
      </w:r>
      <w:r w:rsidRPr="009538A8">
        <w:t xml:space="preserve"> </w:t>
      </w:r>
    </w:p>
    <w:p w:rsidR="00B25AEB" w:rsidRDefault="00B25AEB" w:rsidP="00B25AEB"/>
    <w:p w:rsidR="00B25AEB" w:rsidRPr="005A57C6" w:rsidRDefault="00B25AEB" w:rsidP="00B25AEB">
      <w:r w:rsidRPr="005A57C6">
        <w:t>Results of</w:t>
      </w:r>
      <w:r>
        <w:t xml:space="preserve"> </w:t>
      </w:r>
      <w:r w:rsidRPr="005A57C6">
        <w:t>linear mixed-effects model of the cumulative sum of carbon content (kg</w:t>
      </w:r>
      <w:r w:rsidRPr="002D5A26">
        <w:t>·</w:t>
      </w:r>
      <w:r w:rsidRPr="005A57C6">
        <w:t>C</w:t>
      </w:r>
      <w:r w:rsidRPr="002D5A26">
        <w:t>·</w:t>
      </w:r>
      <w:r w:rsidRPr="005A57C6">
        <w:t>m</w:t>
      </w:r>
      <w:r w:rsidRPr="005A57C6">
        <w:rPr>
          <w:vertAlign w:val="superscript"/>
        </w:rPr>
        <w:t>-2</w:t>
      </w:r>
      <w:r w:rsidRPr="005A57C6">
        <w:t xml:space="preserve">) as a function of depth, </w:t>
      </w:r>
      <w:r>
        <w:t>depth</w:t>
      </w:r>
      <w:r w:rsidRPr="00BC537F">
        <w:rPr>
          <w:vertAlign w:val="superscript"/>
        </w:rPr>
        <w:t>2</w:t>
      </w:r>
      <w:r>
        <w:t xml:space="preserve">, </w:t>
      </w:r>
      <w:r w:rsidRPr="005A57C6">
        <w:t>moisture</w:t>
      </w:r>
      <w:r>
        <w:t xml:space="preserve"> class</w:t>
      </w:r>
      <w:r w:rsidRPr="005A57C6">
        <w:t xml:space="preserve">, and </w:t>
      </w:r>
      <w:r>
        <w:t xml:space="preserve">the interaction between depth and moisture class. The model </w:t>
      </w:r>
      <w:proofErr w:type="gramStart"/>
      <w:r>
        <w:t>was fit</w:t>
      </w:r>
      <w:proofErr w:type="gramEnd"/>
      <w:r>
        <w:t xml:space="preserve"> on 205 soil increments from 50 soil monoliths in 15 plots. Random effects of plot and soil monolith </w:t>
      </w:r>
      <w:r w:rsidRPr="006C72C2">
        <w:t xml:space="preserve">nested within </w:t>
      </w:r>
      <w:r>
        <w:t xml:space="preserve">plot </w:t>
      </w:r>
      <w:proofErr w:type="gramStart"/>
      <w:r>
        <w:t>were used</w:t>
      </w:r>
      <w:proofErr w:type="gramEnd"/>
      <w:r>
        <w:t xml:space="preserve"> to account for the depth non-independence of soil depth increments sampled within a soil monolith and the spatial non-independence of soil monoliths located within a plot.</w:t>
      </w:r>
    </w:p>
    <w:p w:rsidR="00B25AEB" w:rsidRPr="005A57C6" w:rsidRDefault="00B25AEB" w:rsidP="00B25AEB"/>
    <w:tbl>
      <w:tblPr>
        <w:tblW w:w="8867" w:type="dxa"/>
        <w:tblLook w:val="04A0" w:firstRow="1" w:lastRow="0" w:firstColumn="1" w:lastColumn="0" w:noHBand="0" w:noVBand="1"/>
      </w:tblPr>
      <w:tblGrid>
        <w:gridCol w:w="4045"/>
        <w:gridCol w:w="1980"/>
        <w:gridCol w:w="1632"/>
        <w:gridCol w:w="1210"/>
      </w:tblGrid>
      <w:tr w:rsidR="00B25AEB" w:rsidTr="00612C01"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AEB" w:rsidRPr="002F610E" w:rsidRDefault="00B25AEB" w:rsidP="00612C01">
            <w:r w:rsidRPr="002F610E">
              <w:t>Variable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AEB" w:rsidRPr="002F610E" w:rsidRDefault="00B25AEB" w:rsidP="00612C01">
            <w:r w:rsidRPr="002F610E">
              <w:rPr>
                <w:color w:val="000000"/>
              </w:rPr>
              <w:t>Estimate ± S.E.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AEB" w:rsidRPr="002F610E" w:rsidRDefault="00B25AEB" w:rsidP="00612C01">
            <w:r w:rsidRPr="002F610E">
              <w:rPr>
                <w:color w:val="000000"/>
              </w:rPr>
              <w:t>t-value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AEB" w:rsidRPr="002F610E" w:rsidRDefault="00B25AEB" w:rsidP="00612C01">
            <w:pPr>
              <w:rPr>
                <w:color w:val="000000"/>
              </w:rPr>
            </w:pPr>
            <w:r w:rsidRPr="002F610E">
              <w:rPr>
                <w:color w:val="000000"/>
              </w:rPr>
              <w:t>p-value</w:t>
            </w:r>
          </w:p>
        </w:tc>
      </w:tr>
      <w:tr w:rsidR="00B25AEB" w:rsidTr="00612C01"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:rsidR="00B25AEB" w:rsidRPr="00BC537F" w:rsidRDefault="00B25AEB" w:rsidP="00612C01">
            <w:r w:rsidRPr="00BC537F">
              <w:t>(Intercept) moisture=mesic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20.7 ± 110.63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0.19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B25AEB" w:rsidRPr="00BC537F" w:rsidRDefault="00B25AEB" w:rsidP="00612C01">
            <w:pPr>
              <w:rPr>
                <w:color w:val="000000"/>
              </w:rPr>
            </w:pPr>
            <w:r w:rsidRPr="00BC537F">
              <w:rPr>
                <w:color w:val="000000"/>
              </w:rPr>
              <w:t>0.85</w:t>
            </w:r>
          </w:p>
        </w:tc>
      </w:tr>
      <w:tr w:rsidR="00B25AEB" w:rsidTr="00612C01">
        <w:tc>
          <w:tcPr>
            <w:tcW w:w="4045" w:type="dxa"/>
            <w:vAlign w:val="center"/>
          </w:tcPr>
          <w:p w:rsidR="00B25AEB" w:rsidRPr="00BC537F" w:rsidRDefault="00B25AEB" w:rsidP="00612C01">
            <w:r w:rsidRPr="00BC537F">
              <w:t>Depth</w:t>
            </w:r>
          </w:p>
        </w:tc>
        <w:tc>
          <w:tcPr>
            <w:tcW w:w="1980" w:type="dxa"/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23.77 ± 25.65</w:t>
            </w:r>
          </w:p>
        </w:tc>
        <w:tc>
          <w:tcPr>
            <w:tcW w:w="1632" w:type="dxa"/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0.93</w:t>
            </w:r>
          </w:p>
        </w:tc>
        <w:tc>
          <w:tcPr>
            <w:tcW w:w="1210" w:type="dxa"/>
            <w:vAlign w:val="bottom"/>
          </w:tcPr>
          <w:p w:rsidR="00B25AEB" w:rsidRPr="00BC537F" w:rsidRDefault="00B25AEB" w:rsidP="00612C01">
            <w:pPr>
              <w:rPr>
                <w:color w:val="000000"/>
              </w:rPr>
            </w:pPr>
            <w:r w:rsidRPr="00BC537F">
              <w:rPr>
                <w:color w:val="000000"/>
              </w:rPr>
              <w:t>0.36</w:t>
            </w:r>
          </w:p>
        </w:tc>
      </w:tr>
      <w:tr w:rsidR="00B25AEB" w:rsidTr="00612C01">
        <w:tc>
          <w:tcPr>
            <w:tcW w:w="4045" w:type="dxa"/>
            <w:vAlign w:val="center"/>
          </w:tcPr>
          <w:p w:rsidR="00B25AEB" w:rsidRPr="00BC537F" w:rsidRDefault="00B25AEB" w:rsidP="00612C01">
            <w:r>
              <w:t>M</w:t>
            </w:r>
            <w:r w:rsidRPr="00BC537F">
              <w:t>oisture=mesic-</w:t>
            </w:r>
            <w:proofErr w:type="spellStart"/>
            <w:r w:rsidRPr="00BC537F">
              <w:t>subhygric</w:t>
            </w:r>
            <w:proofErr w:type="spellEnd"/>
          </w:p>
        </w:tc>
        <w:tc>
          <w:tcPr>
            <w:tcW w:w="1980" w:type="dxa"/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-121.66 ± 143.69</w:t>
            </w:r>
          </w:p>
        </w:tc>
        <w:tc>
          <w:tcPr>
            <w:tcW w:w="1632" w:type="dxa"/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-0.85</w:t>
            </w:r>
          </w:p>
        </w:tc>
        <w:tc>
          <w:tcPr>
            <w:tcW w:w="1210" w:type="dxa"/>
            <w:vAlign w:val="bottom"/>
          </w:tcPr>
          <w:p w:rsidR="00B25AEB" w:rsidRPr="00BC537F" w:rsidRDefault="00B25AEB" w:rsidP="00612C01">
            <w:pPr>
              <w:rPr>
                <w:color w:val="000000"/>
              </w:rPr>
            </w:pPr>
            <w:r w:rsidRPr="00BC537F">
              <w:rPr>
                <w:color w:val="000000"/>
              </w:rPr>
              <w:t>0.41</w:t>
            </w:r>
          </w:p>
        </w:tc>
      </w:tr>
      <w:tr w:rsidR="00B25AEB" w:rsidTr="00612C01">
        <w:tc>
          <w:tcPr>
            <w:tcW w:w="4045" w:type="dxa"/>
            <w:vAlign w:val="center"/>
          </w:tcPr>
          <w:p w:rsidR="00B25AEB" w:rsidRPr="00BC537F" w:rsidRDefault="00B25AEB" w:rsidP="00612C01">
            <w:r>
              <w:t>M</w:t>
            </w:r>
            <w:r w:rsidRPr="00BC537F">
              <w:t>oisture=</w:t>
            </w:r>
            <w:proofErr w:type="spellStart"/>
            <w:r w:rsidRPr="00BC537F">
              <w:t>subhygric</w:t>
            </w:r>
            <w:proofErr w:type="spellEnd"/>
          </w:p>
        </w:tc>
        <w:tc>
          <w:tcPr>
            <w:tcW w:w="1980" w:type="dxa"/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306.05 ± 154.73</w:t>
            </w:r>
          </w:p>
        </w:tc>
        <w:tc>
          <w:tcPr>
            <w:tcW w:w="1632" w:type="dxa"/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1.98</w:t>
            </w:r>
          </w:p>
        </w:tc>
        <w:tc>
          <w:tcPr>
            <w:tcW w:w="1210" w:type="dxa"/>
            <w:vAlign w:val="bottom"/>
          </w:tcPr>
          <w:p w:rsidR="00B25AEB" w:rsidRPr="00BC537F" w:rsidRDefault="00B25AEB" w:rsidP="00612C01">
            <w:pPr>
              <w:rPr>
                <w:color w:val="000000"/>
              </w:rPr>
            </w:pPr>
            <w:r w:rsidRPr="00BC537F">
              <w:rPr>
                <w:color w:val="000000"/>
              </w:rPr>
              <w:t>0.07</w:t>
            </w:r>
          </w:p>
        </w:tc>
      </w:tr>
      <w:tr w:rsidR="00B25AEB" w:rsidTr="00612C01">
        <w:tc>
          <w:tcPr>
            <w:tcW w:w="4045" w:type="dxa"/>
            <w:vAlign w:val="center"/>
          </w:tcPr>
          <w:p w:rsidR="00B25AEB" w:rsidRPr="00BC537F" w:rsidRDefault="00B25AEB" w:rsidP="00612C01">
            <w:r>
              <w:t>Depth</w:t>
            </w:r>
            <w:r w:rsidRPr="00BC537F">
              <w:rPr>
                <w:vertAlign w:val="superscript"/>
              </w:rPr>
              <w:t>2</w:t>
            </w:r>
          </w:p>
        </w:tc>
        <w:tc>
          <w:tcPr>
            <w:tcW w:w="1980" w:type="dxa"/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8.00 ± 1.49</w:t>
            </w:r>
          </w:p>
        </w:tc>
        <w:tc>
          <w:tcPr>
            <w:tcW w:w="1632" w:type="dxa"/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5.35</w:t>
            </w:r>
          </w:p>
        </w:tc>
        <w:tc>
          <w:tcPr>
            <w:tcW w:w="1210" w:type="dxa"/>
            <w:vAlign w:val="bottom"/>
          </w:tcPr>
          <w:p w:rsidR="00B25AEB" w:rsidRPr="00BC537F" w:rsidRDefault="00B25AEB" w:rsidP="00612C01">
            <w:pPr>
              <w:rPr>
                <w:color w:val="000000"/>
              </w:rPr>
            </w:pPr>
            <w:r w:rsidRPr="00BC537F">
              <w:rPr>
                <w:color w:val="000000"/>
              </w:rPr>
              <w:t>&lt;0.0001</w:t>
            </w:r>
          </w:p>
        </w:tc>
      </w:tr>
      <w:tr w:rsidR="00B25AEB" w:rsidTr="00612C01">
        <w:tc>
          <w:tcPr>
            <w:tcW w:w="4045" w:type="dxa"/>
            <w:vAlign w:val="center"/>
          </w:tcPr>
          <w:p w:rsidR="00B25AEB" w:rsidRPr="00BC537F" w:rsidRDefault="00B25AEB" w:rsidP="00612C01">
            <w:proofErr w:type="spellStart"/>
            <w:r>
              <w:t>D</w:t>
            </w:r>
            <w:r w:rsidRPr="00BC537F">
              <w:t>epth:moisture</w:t>
            </w:r>
            <w:proofErr w:type="spellEnd"/>
            <w:r w:rsidRPr="00BC537F">
              <w:t>=mesic-</w:t>
            </w:r>
            <w:proofErr w:type="spellStart"/>
            <w:r w:rsidRPr="00BC537F">
              <w:t>subhygric</w:t>
            </w:r>
            <w:proofErr w:type="spellEnd"/>
          </w:p>
        </w:tc>
        <w:tc>
          <w:tcPr>
            <w:tcW w:w="1980" w:type="dxa"/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109.21 ± 24.58</w:t>
            </w:r>
          </w:p>
        </w:tc>
        <w:tc>
          <w:tcPr>
            <w:tcW w:w="1632" w:type="dxa"/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4.44</w:t>
            </w:r>
          </w:p>
        </w:tc>
        <w:tc>
          <w:tcPr>
            <w:tcW w:w="1210" w:type="dxa"/>
            <w:vAlign w:val="bottom"/>
          </w:tcPr>
          <w:p w:rsidR="00B25AEB" w:rsidRPr="00BC537F" w:rsidRDefault="00B25AEB" w:rsidP="00612C01">
            <w:pPr>
              <w:rPr>
                <w:color w:val="000000"/>
              </w:rPr>
            </w:pPr>
            <w:r w:rsidRPr="00BC537F">
              <w:rPr>
                <w:color w:val="000000"/>
              </w:rPr>
              <w:t>&lt;0.0001</w:t>
            </w:r>
          </w:p>
        </w:tc>
      </w:tr>
      <w:tr w:rsidR="00B25AEB" w:rsidTr="00612C01">
        <w:trPr>
          <w:trHeight w:val="162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:rsidR="00B25AEB" w:rsidRPr="00BC537F" w:rsidRDefault="00B25AEB" w:rsidP="00612C01">
            <w:proofErr w:type="spellStart"/>
            <w:r>
              <w:t>D</w:t>
            </w:r>
            <w:r w:rsidRPr="00BC537F">
              <w:t>epth:moisture</w:t>
            </w:r>
            <w:proofErr w:type="spellEnd"/>
            <w:r w:rsidRPr="00BC537F">
              <w:t>=</w:t>
            </w:r>
            <w:proofErr w:type="spellStart"/>
            <w:r w:rsidRPr="00BC537F">
              <w:t>subhygric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23.57 ± 26.08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B25AEB" w:rsidRPr="00BC537F" w:rsidRDefault="00B25AEB" w:rsidP="00612C01">
            <w:r w:rsidRPr="00BC537F">
              <w:rPr>
                <w:color w:val="000000"/>
              </w:rPr>
              <w:t>0.90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B25AEB" w:rsidRPr="00BC537F" w:rsidRDefault="00B25AEB" w:rsidP="00612C01">
            <w:pPr>
              <w:rPr>
                <w:color w:val="000000"/>
              </w:rPr>
            </w:pPr>
            <w:r w:rsidRPr="00BC537F">
              <w:rPr>
                <w:color w:val="000000"/>
              </w:rPr>
              <w:t>0.37</w:t>
            </w:r>
          </w:p>
        </w:tc>
      </w:tr>
    </w:tbl>
    <w:p w:rsidR="00B25AEB" w:rsidRDefault="00B25AEB" w:rsidP="00B25AEB"/>
    <w:p w:rsidR="00B25AEB" w:rsidRDefault="00B25AEB" w:rsidP="00B25AEB"/>
    <w:p w:rsidR="00B25AEB" w:rsidRDefault="00B25AEB" w:rsidP="00B25AEB"/>
    <w:p w:rsidR="00B25AEB" w:rsidRDefault="00B25AEB" w:rsidP="00B25AEB"/>
    <w:p w:rsidR="00B25AEB" w:rsidRDefault="00B25AEB" w:rsidP="00B25AEB"/>
    <w:p w:rsidR="00B25AEB" w:rsidRDefault="00B25AEB" w:rsidP="00B25AEB"/>
    <w:p w:rsidR="00B25AEB" w:rsidRDefault="00B25AEB" w:rsidP="00B25AEB"/>
    <w:p w:rsidR="00A762CF" w:rsidRDefault="00A762CF">
      <w:bookmarkStart w:id="0" w:name="_GoBack"/>
      <w:bookmarkEnd w:id="0"/>
    </w:p>
    <w:sectPr w:rsidR="00A7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EB"/>
    <w:rsid w:val="00A762CF"/>
    <w:rsid w:val="00B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F9A01-29B5-41DA-A9BD-1164925D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Xanthe J Walker</dc:creator>
  <cp:keywords/>
  <dc:description/>
  <cp:lastModifiedBy>Xanthe J Walker</cp:lastModifiedBy>
  <cp:revision>1</cp:revision>
  <dcterms:created xsi:type="dcterms:W3CDTF">2021-10-05T16:12:00Z</dcterms:created>
  <dcterms:modified xsi:type="dcterms:W3CDTF">2021-10-05T16:13:00Z</dcterms:modified>
</cp:coreProperties>
</file>