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C0E6" w14:textId="75D522DE" w:rsidR="00760DBF" w:rsidRPr="00DD3336" w:rsidRDefault="00B81552" w:rsidP="00760DBF">
      <w:pPr>
        <w:pStyle w:val="Heading1"/>
        <w:tabs>
          <w:tab w:val="clear" w:pos="567"/>
        </w:tabs>
        <w:spacing w:line="360" w:lineRule="auto"/>
        <w:ind w:left="0" w:firstLine="0"/>
        <w:rPr>
          <w:sz w:val="32"/>
          <w:szCs w:val="36"/>
        </w:rPr>
      </w:pPr>
      <w:r>
        <w:rPr>
          <w:sz w:val="32"/>
          <w:szCs w:val="36"/>
        </w:rPr>
        <w:t xml:space="preserve">S1 File. </w:t>
      </w:r>
      <w:r w:rsidR="00760DBF" w:rsidRPr="00760DBF">
        <w:rPr>
          <w:sz w:val="32"/>
          <w:szCs w:val="36"/>
        </w:rPr>
        <w:t>Supplemental</w:t>
      </w:r>
      <w:r w:rsidR="00760DBF">
        <w:rPr>
          <w:rFonts w:asciiTheme="minorEastAsia" w:eastAsiaTheme="minorEastAsia" w:hAnsiTheme="minorEastAsia" w:hint="eastAsia"/>
          <w:sz w:val="32"/>
          <w:szCs w:val="36"/>
          <w:lang w:eastAsia="ja-JP"/>
        </w:rPr>
        <w:t xml:space="preserve"> </w:t>
      </w:r>
      <w:r w:rsidR="003F3654">
        <w:rPr>
          <w:sz w:val="32"/>
          <w:szCs w:val="36"/>
        </w:rPr>
        <w:t>M</w:t>
      </w:r>
      <w:r w:rsidR="00760DBF" w:rsidRPr="00DD3336">
        <w:rPr>
          <w:sz w:val="32"/>
          <w:szCs w:val="36"/>
        </w:rPr>
        <w:t>ethods</w:t>
      </w:r>
    </w:p>
    <w:p w14:paraId="04F8F287" w14:textId="77777777" w:rsidR="00760DBF" w:rsidRPr="00DD3336" w:rsidRDefault="00760DBF" w:rsidP="00760DBF">
      <w:pPr>
        <w:pStyle w:val="EndNoteBibliography"/>
        <w:spacing w:line="360" w:lineRule="auto"/>
        <w:rPr>
          <w:rFonts w:eastAsiaTheme="minorEastAsia"/>
          <w:b/>
          <w:sz w:val="28"/>
          <w:szCs w:val="32"/>
          <w:lang w:eastAsia="ja-JP"/>
        </w:rPr>
      </w:pPr>
      <w:r w:rsidRPr="00DD3336">
        <w:rPr>
          <w:rFonts w:eastAsiaTheme="minorEastAsia"/>
          <w:b/>
          <w:sz w:val="28"/>
          <w:szCs w:val="32"/>
          <w:lang w:eastAsia="ja-JP"/>
        </w:rPr>
        <w:t>The analysis of the effect of ingredient on fluorescent substance using the assay of TMPRSS2 serine protease activity</w:t>
      </w:r>
    </w:p>
    <w:p w14:paraId="5D7CD6A5" w14:textId="77777777" w:rsidR="00760DBF" w:rsidRPr="00DD3336" w:rsidRDefault="00760DBF" w:rsidP="00760DBF">
      <w:pPr>
        <w:pStyle w:val="EndNoteBibliography"/>
        <w:spacing w:line="360" w:lineRule="auto"/>
        <w:rPr>
          <w:rFonts w:eastAsiaTheme="minorEastAsia"/>
          <w:lang w:eastAsia="ja-JP"/>
        </w:rPr>
      </w:pPr>
      <w:r w:rsidRPr="00DD3336">
        <w:rPr>
          <w:rFonts w:eastAsiaTheme="minorEastAsia"/>
          <w:lang w:eastAsia="ja-JP"/>
        </w:rPr>
        <w:t>Test ingredients and 7-Amino-4-methyl coumarin (2.5 μM final concentration) diluted with assay buffer added into the black 384 well plates. Immediately after dilution, fluorescence intensity was read using the SpectraMax M5 plate reader at excitation of 380 nm and emission of 460 nm. The inhibitory rate of ingredients was calculated as follows: Inhibition (%) = (FI of control – FI of treatment) / FI of control × 100. This assay was performed in triplicate.</w:t>
      </w:r>
    </w:p>
    <w:p w14:paraId="19435B39" w14:textId="77777777" w:rsidR="00760DBF" w:rsidRPr="00DD3336" w:rsidRDefault="00760DBF" w:rsidP="00760DBF">
      <w:pPr>
        <w:pStyle w:val="Heading2"/>
        <w:tabs>
          <w:tab w:val="clear" w:pos="567"/>
        </w:tabs>
        <w:spacing w:line="360" w:lineRule="auto"/>
        <w:ind w:left="0" w:firstLine="0"/>
        <w:rPr>
          <w:sz w:val="28"/>
          <w:szCs w:val="32"/>
        </w:rPr>
      </w:pPr>
      <w:r w:rsidRPr="00DD3336">
        <w:rPr>
          <w:i/>
          <w:sz w:val="28"/>
          <w:szCs w:val="32"/>
        </w:rPr>
        <w:t>In vitro</w:t>
      </w:r>
      <w:r w:rsidRPr="00DD3336">
        <w:rPr>
          <w:sz w:val="28"/>
          <w:szCs w:val="32"/>
        </w:rPr>
        <w:t xml:space="preserve"> assay of the interaction between the receptor-binding domain of spike protein and ACE2 </w:t>
      </w:r>
      <w:r w:rsidRPr="00DD3336">
        <w:rPr>
          <w:rFonts w:eastAsiaTheme="minorEastAsia"/>
          <w:sz w:val="28"/>
          <w:szCs w:val="32"/>
          <w:lang w:eastAsia="ja-JP"/>
        </w:rPr>
        <w:t xml:space="preserve">in assay solutions </w:t>
      </w:r>
      <w:r w:rsidRPr="00DD3336">
        <w:rPr>
          <w:sz w:val="28"/>
          <w:szCs w:val="30"/>
        </w:rPr>
        <w:t>containing</w:t>
      </w:r>
      <w:r w:rsidRPr="00DD3336">
        <w:rPr>
          <w:rFonts w:eastAsiaTheme="minorEastAsia"/>
          <w:sz w:val="28"/>
          <w:szCs w:val="32"/>
          <w:lang w:eastAsia="ja-JP"/>
        </w:rPr>
        <w:t xml:space="preserve"> saliva</w:t>
      </w:r>
    </w:p>
    <w:p w14:paraId="480F6708" w14:textId="77777777" w:rsidR="00760DBF" w:rsidRPr="00DD3336" w:rsidRDefault="00760DBF" w:rsidP="00393DDF">
      <w:pPr>
        <w:spacing w:line="360" w:lineRule="auto"/>
        <w:rPr>
          <w:rFonts w:eastAsia="MS Mincho" w:cs="Times New Roman"/>
        </w:rPr>
      </w:pPr>
      <w:r w:rsidRPr="00DD3336">
        <w:rPr>
          <w:rFonts w:cs="Times New Roman"/>
        </w:rPr>
        <w:t>The interaction between the receptor-binding domain (RBD) of the SARS-CoV-2 spike protein and ACE2 was estimated using Spike S1 (SARS-CoV-2): ACE2 Inhibitor Screening Colorimetric Assay Kit. Saliva was used Saliva - COVID-19 Negative Samples (Unconfirmed) (</w:t>
      </w:r>
      <w:r w:rsidRPr="00DD3336">
        <w:rPr>
          <w:rFonts w:eastAsia="Times New Roman" w:cs="Times New Roman"/>
        </w:rPr>
        <w:t xml:space="preserve">Lee </w:t>
      </w:r>
      <w:proofErr w:type="spellStart"/>
      <w:r w:rsidRPr="00DD3336">
        <w:rPr>
          <w:rFonts w:eastAsia="Times New Roman" w:cs="Times New Roman"/>
        </w:rPr>
        <w:t>Biosolutions</w:t>
      </w:r>
      <w:proofErr w:type="spellEnd"/>
      <w:r w:rsidRPr="00DD3336">
        <w:rPr>
          <w:rFonts w:eastAsia="Times New Roman" w:cs="Times New Roman"/>
        </w:rPr>
        <w:t>, Inc, Maryland Heights, MO, USA</w:t>
      </w:r>
      <w:r w:rsidRPr="00DD3336">
        <w:rPr>
          <w:rFonts w:cs="Times New Roman"/>
        </w:rPr>
        <w:t xml:space="preserve">). </w:t>
      </w:r>
      <w:r w:rsidRPr="00DD3336">
        <w:rPr>
          <w:rFonts w:eastAsia="MS Mincho" w:cs="Times New Roman"/>
        </w:rPr>
        <w:t xml:space="preserve">Test ingredients and saliva (16.7% (v/v) in this incubate solution) were added to a 96 well plate coated with Spike S1 and incubated for 1 hour. Then, ACE2-Biotin solution was added so that the saliva reached a final concentration (10% (v/v)), and incubated for 1 hour. The following processes were performed according to </w:t>
      </w:r>
      <w:r w:rsidRPr="00DD3336">
        <w:rPr>
          <w:rFonts w:eastAsia="Times New Roman" w:cs="Times New Roman"/>
        </w:rPr>
        <w:t>the materials and methods described in the manuscript.</w:t>
      </w:r>
      <w:r w:rsidRPr="00DD3336">
        <w:rPr>
          <w:rFonts w:eastAsiaTheme="minorEastAsia"/>
          <w:lang w:eastAsia="ja-JP"/>
        </w:rPr>
        <w:t xml:space="preserve"> Control data for</w:t>
      </w:r>
      <w:r w:rsidRPr="00DD3336">
        <w:t xml:space="preserve"> </w:t>
      </w:r>
      <w:r w:rsidRPr="00DD3336">
        <w:rPr>
          <w:rFonts w:eastAsiaTheme="minorEastAsia"/>
          <w:lang w:eastAsia="ja-JP"/>
        </w:rPr>
        <w:t>assay solutions containing saliva and no ingredients were used.</w:t>
      </w:r>
    </w:p>
    <w:p w14:paraId="11F08922" w14:textId="77777777" w:rsidR="00760DBF" w:rsidRPr="00DD3336" w:rsidRDefault="00760DBF" w:rsidP="00760DBF">
      <w:pPr>
        <w:pStyle w:val="Heading2"/>
        <w:tabs>
          <w:tab w:val="clear" w:pos="567"/>
        </w:tabs>
        <w:spacing w:line="360" w:lineRule="auto"/>
        <w:ind w:left="0" w:firstLine="0"/>
        <w:rPr>
          <w:sz w:val="28"/>
          <w:szCs w:val="32"/>
        </w:rPr>
      </w:pPr>
      <w:r w:rsidRPr="00DD3336">
        <w:rPr>
          <w:i/>
          <w:sz w:val="28"/>
          <w:szCs w:val="32"/>
        </w:rPr>
        <w:t>In vitro</w:t>
      </w:r>
      <w:r w:rsidRPr="00DD3336">
        <w:rPr>
          <w:sz w:val="28"/>
          <w:szCs w:val="32"/>
        </w:rPr>
        <w:t xml:space="preserve"> assay of TMPRSS2 serine protease activity</w:t>
      </w:r>
      <w:r w:rsidRPr="00DD3336">
        <w:rPr>
          <w:rFonts w:eastAsiaTheme="minorEastAsia"/>
          <w:sz w:val="28"/>
          <w:szCs w:val="32"/>
          <w:lang w:eastAsia="ja-JP"/>
        </w:rPr>
        <w:t xml:space="preserve"> in assay solutions </w:t>
      </w:r>
      <w:r w:rsidRPr="00DD3336">
        <w:rPr>
          <w:sz w:val="28"/>
          <w:szCs w:val="30"/>
        </w:rPr>
        <w:t>containing</w:t>
      </w:r>
      <w:r w:rsidRPr="00DD3336">
        <w:rPr>
          <w:rFonts w:eastAsiaTheme="minorEastAsia"/>
          <w:sz w:val="28"/>
          <w:szCs w:val="32"/>
          <w:lang w:eastAsia="ja-JP"/>
        </w:rPr>
        <w:t xml:space="preserve"> saliva</w:t>
      </w:r>
    </w:p>
    <w:p w14:paraId="53C98E0E" w14:textId="77777777" w:rsidR="00760DBF" w:rsidRPr="00DD3336" w:rsidRDefault="00760DBF" w:rsidP="00393DDF">
      <w:pPr>
        <w:spacing w:line="360" w:lineRule="auto"/>
        <w:rPr>
          <w:rFonts w:cs="Times New Roman"/>
          <w:shd w:val="clear" w:color="auto" w:fill="FFFFFF"/>
          <w:lang w:eastAsia="ja-JP"/>
        </w:rPr>
      </w:pPr>
      <w:r w:rsidRPr="00DD3336">
        <w:rPr>
          <w:rFonts w:cs="Times New Roman"/>
        </w:rPr>
        <w:t>Recombinant</w:t>
      </w:r>
      <w:r w:rsidRPr="00DD3336">
        <w:rPr>
          <w:rFonts w:cs="Times New Roman"/>
          <w:shd w:val="clear" w:color="auto" w:fill="FFFFFF"/>
        </w:rPr>
        <w:t xml:space="preserve"> </w:t>
      </w:r>
      <w:r w:rsidRPr="00DD3336">
        <w:rPr>
          <w:rFonts w:cs="Times New Roman"/>
        </w:rPr>
        <w:t xml:space="preserve">human TMPRSS2 (4 </w:t>
      </w:r>
      <w:proofErr w:type="spellStart"/>
      <w:r w:rsidRPr="00DD3336">
        <w:rPr>
          <w:rFonts w:cs="Times New Roman"/>
        </w:rPr>
        <w:t>μg</w:t>
      </w:r>
      <w:proofErr w:type="spellEnd"/>
      <w:r w:rsidRPr="00DD3336">
        <w:rPr>
          <w:rFonts w:cs="Times New Roman"/>
        </w:rPr>
        <w:t xml:space="preserve">/mL final concentration) diluted with an </w:t>
      </w:r>
      <w:r w:rsidRPr="00DD3336">
        <w:rPr>
          <w:rFonts w:cs="Times New Roman"/>
          <w:shd w:val="clear" w:color="auto" w:fill="FFFFFF"/>
        </w:rPr>
        <w:t>assay buffer</w:t>
      </w:r>
      <w:r w:rsidRPr="00DD3336">
        <w:rPr>
          <w:rFonts w:eastAsia="Meiryo UI" w:cs="Times New Roman"/>
          <w:shd w:val="clear" w:color="auto" w:fill="FFFFFF"/>
        </w:rPr>
        <w:t xml:space="preserve"> </w:t>
      </w:r>
      <w:r w:rsidRPr="00DD3336">
        <w:rPr>
          <w:rFonts w:cs="Times New Roman"/>
        </w:rPr>
        <w:t xml:space="preserve">(50 mM Tris-HCl pH 8.0, 154 mM NaCl), test ingredients </w:t>
      </w:r>
      <w:r w:rsidRPr="00DD3336">
        <w:rPr>
          <w:rFonts w:eastAsiaTheme="minorEastAsia" w:cs="Times New Roman"/>
          <w:lang w:eastAsia="ja-JP"/>
        </w:rPr>
        <w:t>and saliva</w:t>
      </w:r>
      <w:r w:rsidRPr="00DD3336">
        <w:rPr>
          <w:rFonts w:eastAsia="MS Mincho" w:cs="Times New Roman"/>
        </w:rPr>
        <w:t xml:space="preserve"> (10% (v/v</w:t>
      </w:r>
      <w:r w:rsidRPr="00DD3336">
        <w:rPr>
          <w:rFonts w:eastAsia="MS Mincho" w:cs="Times New Roman"/>
          <w:lang w:eastAsia="ja-JP"/>
        </w:rPr>
        <w:t>)</w:t>
      </w:r>
      <w:r w:rsidRPr="00DD3336">
        <w:t xml:space="preserve"> </w:t>
      </w:r>
      <w:r w:rsidRPr="00DD3336">
        <w:rPr>
          <w:rFonts w:eastAsia="MS Mincho" w:cs="Times New Roman"/>
        </w:rPr>
        <w:t>final concentration)</w:t>
      </w:r>
      <w:r w:rsidRPr="00DD3336">
        <w:rPr>
          <w:rFonts w:eastAsiaTheme="minorEastAsia" w:cs="Times New Roman"/>
          <w:lang w:eastAsia="ja-JP"/>
        </w:rPr>
        <w:t xml:space="preserve"> </w:t>
      </w:r>
      <w:r w:rsidRPr="00DD3336">
        <w:rPr>
          <w:rFonts w:cs="Times New Roman"/>
        </w:rPr>
        <w:t xml:space="preserve">were </w:t>
      </w:r>
      <w:r w:rsidRPr="00DD3336">
        <w:rPr>
          <w:rFonts w:cs="Times New Roman"/>
        </w:rPr>
        <w:lastRenderedPageBreak/>
        <w:t>added to the 384 well black plate.</w:t>
      </w:r>
      <w:r w:rsidRPr="00DD3336">
        <w:rPr>
          <w:rStyle w:val="st1"/>
          <w:rFonts w:cs="Times New Roman"/>
        </w:rPr>
        <w:t xml:space="preserve"> </w:t>
      </w:r>
      <w:r w:rsidRPr="00DD3336">
        <w:rPr>
          <w:rFonts w:cs="Times New Roman"/>
        </w:rPr>
        <w:t xml:space="preserve">Then, Boc-Gln-Ala-Arg-MCA (10 </w:t>
      </w:r>
      <w:proofErr w:type="spellStart"/>
      <w:r w:rsidRPr="00DD3336">
        <w:rPr>
          <w:rFonts w:cs="Times New Roman"/>
        </w:rPr>
        <w:t>μM</w:t>
      </w:r>
      <w:proofErr w:type="spellEnd"/>
      <w:r w:rsidRPr="00DD3336">
        <w:rPr>
          <w:rFonts w:cs="Times New Roman"/>
        </w:rPr>
        <w:t xml:space="preserve"> final concentration) diluted with an assay buffer containing dimethyl sulfoxide (DMSO; 0.1% (w/w) final concentration) was added to induce an enzyme reaction. </w:t>
      </w:r>
      <w:r w:rsidRPr="00DD3336">
        <w:rPr>
          <w:rFonts w:eastAsia="MS Mincho" w:cs="Times New Roman"/>
        </w:rPr>
        <w:t xml:space="preserve">The following processes were performed according </w:t>
      </w:r>
      <w:r w:rsidRPr="00DD3336">
        <w:rPr>
          <w:rFonts w:eastAsia="Times New Roman" w:cs="Times New Roman"/>
        </w:rPr>
        <w:t>the materials and methods described in the manuscript.</w:t>
      </w:r>
      <w:r w:rsidRPr="00DD3336">
        <w:rPr>
          <w:rFonts w:eastAsiaTheme="minorEastAsia"/>
          <w:bCs/>
          <w:lang w:eastAsia="ja-JP"/>
        </w:rPr>
        <w:t xml:space="preserve"> Control data for</w:t>
      </w:r>
      <w:r w:rsidRPr="00DD3336">
        <w:t xml:space="preserve"> </w:t>
      </w:r>
      <w:r w:rsidRPr="00DD3336">
        <w:rPr>
          <w:rFonts w:eastAsiaTheme="minorEastAsia"/>
          <w:bCs/>
          <w:lang w:eastAsia="ja-JP"/>
        </w:rPr>
        <w:t>assay solutions containing saliva and no ingredients were used</w:t>
      </w:r>
      <w:r w:rsidR="00393DDF">
        <w:rPr>
          <w:rFonts w:eastAsiaTheme="minorEastAsia" w:hint="eastAsia"/>
          <w:bCs/>
          <w:lang w:eastAsia="ja-JP"/>
        </w:rPr>
        <w:t>.</w:t>
      </w:r>
    </w:p>
    <w:p w14:paraId="765B8B78" w14:textId="77777777" w:rsidR="004A61E8" w:rsidRDefault="004A61E8"/>
    <w:sectPr w:rsidR="004A61E8" w:rsidSect="00760DBF">
      <w:pgSz w:w="12240" w:h="15840" w:code="1"/>
      <w:pgMar w:top="1140" w:right="1179" w:bottom="1140" w:left="128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A73D" w14:textId="77777777" w:rsidR="009446E4" w:rsidRDefault="009446E4" w:rsidP="00772567">
      <w:pPr>
        <w:spacing w:before="0" w:after="0"/>
      </w:pPr>
      <w:r>
        <w:separator/>
      </w:r>
    </w:p>
  </w:endnote>
  <w:endnote w:type="continuationSeparator" w:id="0">
    <w:p w14:paraId="3248833C" w14:textId="77777777" w:rsidR="009446E4" w:rsidRDefault="009446E4" w:rsidP="007725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7960" w14:textId="77777777" w:rsidR="009446E4" w:rsidRDefault="009446E4" w:rsidP="00772567">
      <w:pPr>
        <w:spacing w:before="0" w:after="0"/>
      </w:pPr>
      <w:r>
        <w:separator/>
      </w:r>
    </w:p>
  </w:footnote>
  <w:footnote w:type="continuationSeparator" w:id="0">
    <w:p w14:paraId="1069B720" w14:textId="77777777" w:rsidR="009446E4" w:rsidRDefault="009446E4" w:rsidP="0077256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BF"/>
    <w:rsid w:val="00393DDF"/>
    <w:rsid w:val="00395D02"/>
    <w:rsid w:val="003F3654"/>
    <w:rsid w:val="00487390"/>
    <w:rsid w:val="004A61E8"/>
    <w:rsid w:val="005E143E"/>
    <w:rsid w:val="00760DBF"/>
    <w:rsid w:val="00772567"/>
    <w:rsid w:val="009446E4"/>
    <w:rsid w:val="00B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2051E0"/>
  <w15:chartTrackingRefBased/>
  <w15:docId w15:val="{FD150153-24DE-4AED-9550-A18AA8CA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BF"/>
    <w:pPr>
      <w:spacing w:before="120" w:after="240"/>
    </w:pPr>
    <w:rPr>
      <w:rFonts w:ascii="Times New Roman" w:eastAsiaTheme="minorHAnsi" w:hAnsi="Times New Roman"/>
      <w:kern w:val="0"/>
      <w:sz w:val="24"/>
      <w:lang w:eastAsia="en-US"/>
    </w:rPr>
  </w:style>
  <w:style w:type="paragraph" w:styleId="Heading1">
    <w:name w:val="heading 1"/>
    <w:basedOn w:val="ListParagraph"/>
    <w:next w:val="Normal"/>
    <w:link w:val="Heading1Char"/>
    <w:uiPriority w:val="9"/>
    <w:qFormat/>
    <w:rsid w:val="00760DBF"/>
    <w:pPr>
      <w:tabs>
        <w:tab w:val="num" w:pos="567"/>
      </w:tabs>
      <w:spacing w:before="240"/>
      <w:ind w:leftChars="0" w:left="567" w:hanging="567"/>
      <w:outlineLvl w:val="0"/>
    </w:pPr>
    <w:rPr>
      <w:rFonts w:eastAsia="Cambria" w:cs="Times New Roman"/>
      <w:b/>
      <w:szCs w:val="24"/>
    </w:rPr>
  </w:style>
  <w:style w:type="paragraph" w:styleId="Heading2">
    <w:name w:val="heading 2"/>
    <w:basedOn w:val="Heading1"/>
    <w:next w:val="Normal"/>
    <w:link w:val="Heading2Char"/>
    <w:uiPriority w:val="9"/>
    <w:qFormat/>
    <w:rsid w:val="00760DBF"/>
    <w:pPr>
      <w:spacing w:after="200"/>
      <w:outlineLvl w:val="1"/>
    </w:pPr>
  </w:style>
  <w:style w:type="paragraph" w:styleId="Heading3">
    <w:name w:val="heading 3"/>
    <w:basedOn w:val="Normal"/>
    <w:next w:val="Normal"/>
    <w:link w:val="Heading3Char"/>
    <w:uiPriority w:val="9"/>
    <w:semiHidden/>
    <w:unhideWhenUsed/>
    <w:qFormat/>
    <w:rsid w:val="00760DBF"/>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DBF"/>
    <w:rPr>
      <w:rFonts w:ascii="Times New Roman" w:eastAsia="Cambria" w:hAnsi="Times New Roman" w:cs="Times New Roman"/>
      <w:b/>
      <w:kern w:val="0"/>
      <w:sz w:val="24"/>
      <w:szCs w:val="24"/>
      <w:lang w:eastAsia="en-US"/>
    </w:rPr>
  </w:style>
  <w:style w:type="character" w:customStyle="1" w:styleId="Heading2Char">
    <w:name w:val="Heading 2 Char"/>
    <w:basedOn w:val="DefaultParagraphFont"/>
    <w:link w:val="Heading2"/>
    <w:uiPriority w:val="9"/>
    <w:rsid w:val="00760DBF"/>
    <w:rPr>
      <w:rFonts w:ascii="Times New Roman" w:eastAsia="Cambria" w:hAnsi="Times New Roman" w:cs="Times New Roman"/>
      <w:b/>
      <w:kern w:val="0"/>
      <w:sz w:val="24"/>
      <w:szCs w:val="24"/>
      <w:lang w:eastAsia="en-US"/>
    </w:rPr>
  </w:style>
  <w:style w:type="character" w:customStyle="1" w:styleId="st1">
    <w:name w:val="st1"/>
    <w:basedOn w:val="DefaultParagraphFont"/>
    <w:rsid w:val="00760DBF"/>
  </w:style>
  <w:style w:type="paragraph" w:customStyle="1" w:styleId="EndNoteBibliography">
    <w:name w:val="EndNote Bibliography"/>
    <w:basedOn w:val="Normal"/>
    <w:link w:val="EndNoteBibliography0"/>
    <w:rsid w:val="00760DBF"/>
    <w:rPr>
      <w:rFonts w:cs="Times New Roman"/>
      <w:noProof/>
    </w:rPr>
  </w:style>
  <w:style w:type="character" w:customStyle="1" w:styleId="EndNoteBibliography0">
    <w:name w:val="EndNote Bibliography (文字)"/>
    <w:basedOn w:val="DefaultParagraphFont"/>
    <w:link w:val="EndNoteBibliography"/>
    <w:rsid w:val="00760DBF"/>
    <w:rPr>
      <w:rFonts w:ascii="Times New Roman" w:eastAsiaTheme="minorHAnsi" w:hAnsi="Times New Roman" w:cs="Times New Roman"/>
      <w:noProof/>
      <w:kern w:val="0"/>
      <w:sz w:val="24"/>
      <w:lang w:eastAsia="en-US"/>
    </w:rPr>
  </w:style>
  <w:style w:type="paragraph" w:styleId="ListParagraph">
    <w:name w:val="List Paragraph"/>
    <w:basedOn w:val="Normal"/>
    <w:uiPriority w:val="34"/>
    <w:qFormat/>
    <w:rsid w:val="00760DBF"/>
    <w:pPr>
      <w:ind w:leftChars="400" w:left="840"/>
    </w:pPr>
  </w:style>
  <w:style w:type="character" w:customStyle="1" w:styleId="Heading3Char">
    <w:name w:val="Heading 3 Char"/>
    <w:basedOn w:val="DefaultParagraphFont"/>
    <w:link w:val="Heading3"/>
    <w:uiPriority w:val="9"/>
    <w:semiHidden/>
    <w:rsid w:val="00760DBF"/>
    <w:rPr>
      <w:rFonts w:asciiTheme="majorHAnsi" w:eastAsiaTheme="majorEastAsia" w:hAnsiTheme="majorHAnsi" w:cstheme="majorBidi"/>
      <w:kern w:val="0"/>
      <w:sz w:val="24"/>
      <w:lang w:eastAsia="en-US"/>
    </w:rPr>
  </w:style>
  <w:style w:type="paragraph" w:styleId="Header">
    <w:name w:val="header"/>
    <w:basedOn w:val="Normal"/>
    <w:link w:val="HeaderChar"/>
    <w:uiPriority w:val="99"/>
    <w:unhideWhenUsed/>
    <w:rsid w:val="00772567"/>
    <w:pPr>
      <w:tabs>
        <w:tab w:val="center" w:pos="4252"/>
        <w:tab w:val="right" w:pos="8504"/>
      </w:tabs>
      <w:snapToGrid w:val="0"/>
    </w:pPr>
  </w:style>
  <w:style w:type="character" w:customStyle="1" w:styleId="HeaderChar">
    <w:name w:val="Header Char"/>
    <w:basedOn w:val="DefaultParagraphFont"/>
    <w:link w:val="Header"/>
    <w:uiPriority w:val="99"/>
    <w:rsid w:val="00772567"/>
    <w:rPr>
      <w:rFonts w:ascii="Times New Roman" w:eastAsiaTheme="minorHAnsi" w:hAnsi="Times New Roman"/>
      <w:kern w:val="0"/>
      <w:sz w:val="24"/>
      <w:lang w:eastAsia="en-US"/>
    </w:rPr>
  </w:style>
  <w:style w:type="paragraph" w:styleId="Footer">
    <w:name w:val="footer"/>
    <w:basedOn w:val="Normal"/>
    <w:link w:val="FooterChar"/>
    <w:uiPriority w:val="99"/>
    <w:unhideWhenUsed/>
    <w:rsid w:val="00772567"/>
    <w:pPr>
      <w:tabs>
        <w:tab w:val="center" w:pos="4252"/>
        <w:tab w:val="right" w:pos="8504"/>
      </w:tabs>
      <w:snapToGrid w:val="0"/>
    </w:pPr>
  </w:style>
  <w:style w:type="character" w:customStyle="1" w:styleId="FooterChar">
    <w:name w:val="Footer Char"/>
    <w:basedOn w:val="DefaultParagraphFont"/>
    <w:link w:val="Footer"/>
    <w:uiPriority w:val="99"/>
    <w:rsid w:val="00772567"/>
    <w:rPr>
      <w:rFonts w:ascii="Times New Roman" w:eastAsiaTheme="minorHAnsi"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1870</Characters>
  <Application>Microsoft Office Word</Application>
  <DocSecurity>0</DocSecurity>
  <Lines>15</Lines>
  <Paragraphs>4</Paragraphs>
  <ScaleCrop>false</ScaleCrop>
  <Company>lion</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莉帆</dc:creator>
  <cp:keywords/>
  <dc:description/>
  <cp:lastModifiedBy>chn off32</cp:lastModifiedBy>
  <cp:revision>6</cp:revision>
  <dcterms:created xsi:type="dcterms:W3CDTF">2021-09-10T01:50:00Z</dcterms:created>
  <dcterms:modified xsi:type="dcterms:W3CDTF">2021-09-11T09:11:00Z</dcterms:modified>
</cp:coreProperties>
</file>