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E7B5" w14:textId="77777777" w:rsidR="005E513C" w:rsidRDefault="00771FB3">
      <w:r w:rsidRPr="00771FB3">
        <w:rPr>
          <w:noProof/>
        </w:rPr>
        <w:drawing>
          <wp:anchor distT="0" distB="0" distL="114300" distR="114300" simplePos="0" relativeHeight="251663360" behindDoc="1" locked="0" layoutInCell="1" allowOverlap="1" wp14:anchorId="476BC02D" wp14:editId="0BB86BBF">
            <wp:simplePos x="0" y="0"/>
            <wp:positionH relativeFrom="column">
              <wp:posOffset>92075</wp:posOffset>
            </wp:positionH>
            <wp:positionV relativeFrom="paragraph">
              <wp:posOffset>168275</wp:posOffset>
            </wp:positionV>
            <wp:extent cx="3059430" cy="1799590"/>
            <wp:effectExtent l="0" t="0" r="7620" b="10160"/>
            <wp:wrapTight wrapText="bothSides">
              <wp:wrapPolygon edited="0">
                <wp:start x="0" y="0"/>
                <wp:lineTo x="0" y="21493"/>
                <wp:lineTo x="21519" y="21493"/>
                <wp:lineTo x="21519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771FB3">
        <w:rPr>
          <w:noProof/>
        </w:rPr>
        <w:drawing>
          <wp:anchor distT="0" distB="0" distL="114300" distR="114300" simplePos="0" relativeHeight="251662336" behindDoc="1" locked="0" layoutInCell="1" allowOverlap="1" wp14:anchorId="3D0A395B" wp14:editId="4C473006">
            <wp:simplePos x="0" y="0"/>
            <wp:positionH relativeFrom="column">
              <wp:posOffset>3264231</wp:posOffset>
            </wp:positionH>
            <wp:positionV relativeFrom="paragraph">
              <wp:posOffset>168673</wp:posOffset>
            </wp:positionV>
            <wp:extent cx="3059430" cy="1799590"/>
            <wp:effectExtent l="0" t="0" r="7620" b="10160"/>
            <wp:wrapTight wrapText="bothSides">
              <wp:wrapPolygon edited="0">
                <wp:start x="0" y="0"/>
                <wp:lineTo x="0" y="21493"/>
                <wp:lineTo x="21519" y="21493"/>
                <wp:lineTo x="21519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771F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A3975" wp14:editId="3D4B31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48425" cy="20859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085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F79B6" id="Rounded Rectangle 3" o:spid="_x0000_s1026" style="position:absolute;margin-left:0;margin-top:0;width:507.75pt;height:16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 w:rsidRPr="00771FB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AB1007" wp14:editId="25928D40">
                <wp:simplePos x="0" y="0"/>
                <wp:positionH relativeFrom="column">
                  <wp:posOffset>133350</wp:posOffset>
                </wp:positionH>
                <wp:positionV relativeFrom="paragraph">
                  <wp:posOffset>2456180</wp:posOffset>
                </wp:positionV>
                <wp:extent cx="61531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18647" w14:textId="0DFAE494" w:rsidR="00771FB3" w:rsidRPr="00EC3EF3" w:rsidRDefault="00771FB3" w:rsidP="00771F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3E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2C08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EC3EF3" w:rsidRPr="00EC3E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Fig</w:t>
                            </w:r>
                            <w:r w:rsidRPr="00EC3E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EC3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bookmarkStart w:id="0" w:name="_Hlk66028934"/>
                            <w:r w:rsidRPr="00EC3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Distribution of mean scores in Limit Setting and Emotional Regulation in the validation study (sub study I). Mean scores in both parenting practices were higher than average.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AB10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93.4pt;width:48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yH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" stroked="f">
                <v:textbox style="mso-fit-shape-to-text:t">
                  <w:txbxContent>
                    <w:p w14:paraId="02418647" w14:textId="0DFAE494" w:rsidR="00771FB3" w:rsidRPr="00EC3EF3" w:rsidRDefault="00771FB3" w:rsidP="00771F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3E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2C08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EC3EF3" w:rsidRPr="00EC3E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Fig</w:t>
                      </w:r>
                      <w:r w:rsidRPr="00EC3E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EC3EF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bookmarkStart w:id="1" w:name="_Hlk66028934"/>
                      <w:r w:rsidRPr="00EC3EF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Distribution of mean scores in Limit Setting and Emotional Regulation in the validation study (sub study I). Mean scores in both parenting practices were higher than average.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E513C" w:rsidSect="0074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B3"/>
    <w:rsid w:val="002C0835"/>
    <w:rsid w:val="005E513C"/>
    <w:rsid w:val="00743060"/>
    <w:rsid w:val="00771FB3"/>
    <w:rsid w:val="00E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5334"/>
  <w15:chartTrackingRefBased/>
  <w15:docId w15:val="{82902B93-1C7C-4833-A055-794A1AF9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.uu.se\bmci\IKV-Users\marso803\Desktop\KAPPA%20notes\paper%204\Paper%204%20Material\Validation\Mean%20scores_Floor%20&amp;%20ceili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.uu.se\bmci\IKV-Users\marso803\Desktop\KAPPA%20notes\paper%204\Paper%204%20Material\Validation\Mean%20scores_Floor%20&amp;%20ceilin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 sz="1200"/>
              <a:t>limit</a:t>
            </a:r>
            <a:r>
              <a:rPr lang="sv-SE" sz="1200" baseline="0"/>
              <a:t> setting</a:t>
            </a:r>
            <a:endParaRPr lang="sv-SE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dk1">
                  <a:tint val="88500"/>
                </a:schemeClr>
              </a:fgClr>
              <a:bgClr>
                <a:schemeClr val="dk1">
                  <a:tint val="885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dk1">
                  <a:tint val="88500"/>
                </a:schemeClr>
              </a:innerShdw>
            </a:effectLst>
          </c:spPr>
          <c:invertIfNegative val="0"/>
          <c:cat>
            <c:strRef>
              <c:f>Sheet1!$B$3:$B$20</c:f>
              <c:strCache>
                <c:ptCount val="18"/>
                <c:pt idx="0">
                  <c:v>1,60</c:v>
                </c:pt>
                <c:pt idx="1">
                  <c:v>1,80</c:v>
                </c:pt>
                <c:pt idx="2">
                  <c:v>2,00</c:v>
                </c:pt>
                <c:pt idx="3">
                  <c:v>2,20</c:v>
                </c:pt>
                <c:pt idx="4">
                  <c:v>2,40</c:v>
                </c:pt>
                <c:pt idx="5">
                  <c:v>2,60</c:v>
                </c:pt>
                <c:pt idx="6">
                  <c:v>2,80</c:v>
                </c:pt>
                <c:pt idx="7">
                  <c:v>3,00</c:v>
                </c:pt>
                <c:pt idx="8">
                  <c:v>3,20</c:v>
                </c:pt>
                <c:pt idx="9">
                  <c:v>3,40</c:v>
                </c:pt>
                <c:pt idx="10">
                  <c:v>3,60</c:v>
                </c:pt>
                <c:pt idx="11">
                  <c:v>3,80</c:v>
                </c:pt>
                <c:pt idx="12">
                  <c:v>4,00</c:v>
                </c:pt>
                <c:pt idx="13">
                  <c:v>4,20</c:v>
                </c:pt>
                <c:pt idx="14">
                  <c:v>4,40</c:v>
                </c:pt>
                <c:pt idx="15">
                  <c:v>4,60</c:v>
                </c:pt>
                <c:pt idx="16">
                  <c:v>4,80</c:v>
                </c:pt>
                <c:pt idx="17">
                  <c:v>5,00</c:v>
                </c:pt>
              </c:strCache>
            </c:strRef>
          </c:cat>
          <c:val>
            <c:numRef>
              <c:f>Sheet1!$E$3:$E$20</c:f>
              <c:numCache>
                <c:formatCode>###0.0</c:formatCode>
                <c:ptCount val="18"/>
                <c:pt idx="0">
                  <c:v>0.17921146953405018</c:v>
                </c:pt>
                <c:pt idx="1">
                  <c:v>0.35842293906810035</c:v>
                </c:pt>
                <c:pt idx="2">
                  <c:v>0.53763440860215062</c:v>
                </c:pt>
                <c:pt idx="3">
                  <c:v>0.71684587813620071</c:v>
                </c:pt>
                <c:pt idx="4">
                  <c:v>0.8960573476702508</c:v>
                </c:pt>
                <c:pt idx="5">
                  <c:v>1.4336917562724014</c:v>
                </c:pt>
                <c:pt idx="6">
                  <c:v>1.9713261648745519</c:v>
                </c:pt>
                <c:pt idx="7">
                  <c:v>3.0465949820788532</c:v>
                </c:pt>
                <c:pt idx="8">
                  <c:v>4.1218637992831546</c:v>
                </c:pt>
                <c:pt idx="9">
                  <c:v>5.1971326164874547</c:v>
                </c:pt>
                <c:pt idx="10">
                  <c:v>6.8100358422939076</c:v>
                </c:pt>
                <c:pt idx="11">
                  <c:v>8.7813620071684575</c:v>
                </c:pt>
                <c:pt idx="12">
                  <c:v>13.082437275985665</c:v>
                </c:pt>
                <c:pt idx="13">
                  <c:v>15.232974910394265</c:v>
                </c:pt>
                <c:pt idx="14">
                  <c:v>13.082437275985665</c:v>
                </c:pt>
                <c:pt idx="15">
                  <c:v>11.29032258064516</c:v>
                </c:pt>
                <c:pt idx="16">
                  <c:v>9.67741935483871</c:v>
                </c:pt>
                <c:pt idx="17">
                  <c:v>3.5842293906810032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6-48CD-BD98-2A1EC71A25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398046752"/>
        <c:axId val="398043472"/>
      </c:barChart>
      <c:catAx>
        <c:axId val="3980467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/>
                  <a:t>Mean</a:t>
                </a:r>
                <a:r>
                  <a:rPr lang="sv-SE" baseline="0"/>
                  <a:t> scores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043472"/>
        <c:crosses val="autoZero"/>
        <c:auto val="1"/>
        <c:lblAlgn val="ctr"/>
        <c:lblOffset val="100"/>
        <c:noMultiLvlLbl val="0"/>
      </c:catAx>
      <c:valAx>
        <c:axId val="3980434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/>
                  <a:t>Percentage</a:t>
                </a:r>
                <a:r>
                  <a:rPr lang="sv-SE" baseline="0"/>
                  <a:t> frequency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04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emotional regulation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dk1">
                  <a:tint val="88500"/>
                </a:schemeClr>
              </a:fgClr>
              <a:bgClr>
                <a:schemeClr val="dk1">
                  <a:tint val="885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dk1">
                  <a:tint val="88500"/>
                </a:schemeClr>
              </a:innerShdw>
            </a:effectLst>
          </c:spPr>
          <c:invertIfNegative val="0"/>
          <c:cat>
            <c:strRef>
              <c:f>Sheet1!$B$25:$B$40</c:f>
              <c:strCache>
                <c:ptCount val="16"/>
                <c:pt idx="0">
                  <c:v>1,25</c:v>
                </c:pt>
                <c:pt idx="1">
                  <c:v>1,50</c:v>
                </c:pt>
                <c:pt idx="2">
                  <c:v>1,75</c:v>
                </c:pt>
                <c:pt idx="3">
                  <c:v>2,00</c:v>
                </c:pt>
                <c:pt idx="4">
                  <c:v>2,25</c:v>
                </c:pt>
                <c:pt idx="5">
                  <c:v>2,50</c:v>
                </c:pt>
                <c:pt idx="6">
                  <c:v>2,75</c:v>
                </c:pt>
                <c:pt idx="7">
                  <c:v>3,00</c:v>
                </c:pt>
                <c:pt idx="8">
                  <c:v>3,25</c:v>
                </c:pt>
                <c:pt idx="9">
                  <c:v>3,50</c:v>
                </c:pt>
                <c:pt idx="10">
                  <c:v>3,75</c:v>
                </c:pt>
                <c:pt idx="11">
                  <c:v>4,00</c:v>
                </c:pt>
                <c:pt idx="12">
                  <c:v>4,25</c:v>
                </c:pt>
                <c:pt idx="13">
                  <c:v>4,50</c:v>
                </c:pt>
                <c:pt idx="14">
                  <c:v>4,75</c:v>
                </c:pt>
                <c:pt idx="15">
                  <c:v>5,00</c:v>
                </c:pt>
              </c:strCache>
            </c:strRef>
          </c:cat>
          <c:val>
            <c:numRef>
              <c:f>Sheet1!$E$25:$E$40</c:f>
              <c:numCache>
                <c:formatCode>###0.0</c:formatCode>
                <c:ptCount val="16"/>
                <c:pt idx="0">
                  <c:v>0.17921146953405018</c:v>
                </c:pt>
                <c:pt idx="1">
                  <c:v>0.17921146953405018</c:v>
                </c:pt>
                <c:pt idx="2">
                  <c:v>0.53763440860215062</c:v>
                </c:pt>
                <c:pt idx="3">
                  <c:v>1.0752688172043012</c:v>
                </c:pt>
                <c:pt idx="4">
                  <c:v>3.0465949820788532</c:v>
                </c:pt>
                <c:pt idx="5">
                  <c:v>5.7347670250896057</c:v>
                </c:pt>
                <c:pt idx="6">
                  <c:v>10.931899641577061</c:v>
                </c:pt>
                <c:pt idx="7">
                  <c:v>7.7060931899641583</c:v>
                </c:pt>
                <c:pt idx="8">
                  <c:v>10.394265232974909</c:v>
                </c:pt>
                <c:pt idx="9">
                  <c:v>14.336917562724013</c:v>
                </c:pt>
                <c:pt idx="10">
                  <c:v>15.232974910394265</c:v>
                </c:pt>
                <c:pt idx="11">
                  <c:v>10.931899641577061</c:v>
                </c:pt>
                <c:pt idx="12">
                  <c:v>9.3189964157706093</c:v>
                </c:pt>
                <c:pt idx="13">
                  <c:v>5.7347670250896057</c:v>
                </c:pt>
                <c:pt idx="14">
                  <c:v>3.225806451612903</c:v>
                </c:pt>
                <c:pt idx="15">
                  <c:v>1.4336917562724014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90-460E-8E1B-A0F00EA4D2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401764960"/>
        <c:axId val="401767584"/>
      </c:barChart>
      <c:catAx>
        <c:axId val="4017649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/>
                  <a:t>Mean</a:t>
                </a:r>
                <a:r>
                  <a:rPr lang="sv-SE" baseline="0"/>
                  <a:t> scores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767584"/>
        <c:crosses val="autoZero"/>
        <c:auto val="1"/>
        <c:lblAlgn val="ctr"/>
        <c:lblOffset val="100"/>
        <c:noMultiLvlLbl val="0"/>
      </c:catAx>
      <c:valAx>
        <c:axId val="4017675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/>
                  <a:t>Percentage frequency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764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Somaraki</dc:creator>
  <cp:keywords/>
  <dc:description/>
  <cp:lastModifiedBy>Vijayakumar AG</cp:lastModifiedBy>
  <cp:revision>3</cp:revision>
  <dcterms:created xsi:type="dcterms:W3CDTF">2021-03-07T15:30:00Z</dcterms:created>
  <dcterms:modified xsi:type="dcterms:W3CDTF">2021-09-16T09:36:00Z</dcterms:modified>
</cp:coreProperties>
</file>